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707C" w14:textId="706AD589" w:rsidR="003D3F25" w:rsidRPr="003D3F25" w:rsidRDefault="003D3F25" w:rsidP="003D3F25">
      <w:pPr>
        <w:spacing w:line="480" w:lineRule="auto"/>
        <w:rPr>
          <w:rFonts w:ascii="Arial" w:eastAsia="Calibri" w:hAnsi="Arial" w:cs="Arial"/>
          <w:b/>
        </w:rPr>
      </w:pPr>
      <w:r w:rsidRPr="003D3F25">
        <w:rPr>
          <w:rFonts w:ascii="Arial" w:eastAsia="Calibri" w:hAnsi="Arial" w:cs="Arial"/>
          <w:b/>
        </w:rPr>
        <w:t xml:space="preserve">Supplemental </w:t>
      </w:r>
      <w:r w:rsidR="00B74EE9">
        <w:rPr>
          <w:rFonts w:ascii="Arial" w:eastAsia="Calibri" w:hAnsi="Arial" w:cs="Arial"/>
          <w:b/>
        </w:rPr>
        <w:t xml:space="preserve">Materials and </w:t>
      </w:r>
      <w:r w:rsidRPr="003D3F25">
        <w:rPr>
          <w:rFonts w:ascii="Arial" w:eastAsia="Calibri" w:hAnsi="Arial" w:cs="Arial"/>
          <w:b/>
        </w:rPr>
        <w:t>Methods.</w:t>
      </w:r>
    </w:p>
    <w:p w14:paraId="5E8319CA" w14:textId="77777777" w:rsidR="003D3F25" w:rsidRPr="003D3F25" w:rsidRDefault="003D3F25" w:rsidP="003D3F25">
      <w:pPr>
        <w:spacing w:after="0" w:line="480" w:lineRule="auto"/>
        <w:rPr>
          <w:rFonts w:ascii="Arial" w:eastAsia="Calibri" w:hAnsi="Arial" w:cs="Arial"/>
        </w:rPr>
      </w:pPr>
      <w:r w:rsidRPr="003D3F25">
        <w:rPr>
          <w:rFonts w:ascii="Arial" w:eastAsia="Calibri" w:hAnsi="Arial" w:cs="Arial"/>
          <w:i/>
        </w:rPr>
        <w:t>Selection of Variables.</w:t>
      </w:r>
      <w:r w:rsidRPr="003D3F25">
        <w:rPr>
          <w:rFonts w:ascii="Arial" w:eastAsia="Calibri" w:hAnsi="Arial" w:cs="Arial"/>
        </w:rPr>
        <w:t xml:space="preserve"> While we initially considered including some clinical characteristics such as number of oocytes retrieved, fertilization method, number of fertilized oocytes, and use of preimplantation genetic testing (PGT), these variables were eventually dropped because the information was missing in all cycles that failed prior to oocyte retrieval and the parameters would be unknown to patients who have yet to start their assisted reproductive technology (ART) treatment. Due to a large amount of missing data on anti-mullerian hormone (AMH) (~36%) and due to the fact that it is often unknown to patients prior to an infertility workup, this variable was not considered further. Since smoking status was only weakly associated with cumulative chance of live birth, this variable was also removed. A variable encompassing sperm source and paternal age was also eventually dropped from consideration because, while the proportion of missing data was small (~8%), the group missing this information was highly informative, suggesting that excluding these cycles or conducting multiple imputation would not be appropriate. Although race/ethnicity had a significant impact on cumulative chance of live birth and has been successfully imputed in the NASS dataset,</w:t>
      </w:r>
      <w:r w:rsidRPr="003D3F25">
        <w:rPr>
          <w:rFonts w:ascii="Arial" w:eastAsia="Calibri" w:hAnsi="Arial" w:cs="Arial"/>
          <w:vertAlign w:val="superscript"/>
        </w:rPr>
        <w:t>30,31</w:t>
      </w:r>
      <w:r w:rsidRPr="003D3F25">
        <w:rPr>
          <w:rFonts w:ascii="Calibri" w:eastAsia="Calibri" w:hAnsi="Calibri" w:cs="Times New Roman"/>
          <w:sz w:val="16"/>
          <w:szCs w:val="16"/>
        </w:rPr>
        <w:t xml:space="preserve"> </w:t>
      </w:r>
      <w:r w:rsidRPr="003D3F25">
        <w:rPr>
          <w:rFonts w:ascii="Arial" w:eastAsia="Calibri" w:hAnsi="Arial" w:cs="Arial"/>
        </w:rPr>
        <w:t>we decided not to move forward with the addition of this variable to the model given the heterogeneity of this classification and to avoid potential harm such as reinforcing disproven notions of race as a biological construct and contributing to ongoing racial disparities in health and health care.</w:t>
      </w:r>
      <w:r w:rsidRPr="003D3F25">
        <w:rPr>
          <w:rFonts w:ascii="Arial" w:eastAsia="Calibri" w:hAnsi="Arial" w:cs="Arial"/>
          <w:vertAlign w:val="superscript"/>
        </w:rPr>
        <w:t>28</w:t>
      </w:r>
      <w:r w:rsidRPr="003D3F25">
        <w:rPr>
          <w:rFonts w:ascii="Arial" w:eastAsia="Calibri" w:hAnsi="Arial" w:cs="Arial"/>
        </w:rPr>
        <w:t xml:space="preserve"> </w:t>
      </w:r>
    </w:p>
    <w:p w14:paraId="668144EE" w14:textId="77777777" w:rsidR="003D3F25" w:rsidRPr="003D3F25" w:rsidRDefault="003D3F25" w:rsidP="003D3F25">
      <w:pPr>
        <w:spacing w:line="480" w:lineRule="auto"/>
        <w:rPr>
          <w:rFonts w:ascii="Arial" w:eastAsia="Calibri" w:hAnsi="Arial" w:cs="Arial"/>
        </w:rPr>
      </w:pPr>
    </w:p>
    <w:p w14:paraId="083E438B" w14:textId="77777777" w:rsidR="003D3F25" w:rsidRPr="003D3F25" w:rsidRDefault="003D3F25" w:rsidP="003D3F25">
      <w:pPr>
        <w:spacing w:after="0" w:line="480" w:lineRule="auto"/>
        <w:rPr>
          <w:rFonts w:ascii="Arial" w:eastAsia="Calibri" w:hAnsi="Arial" w:cs="Arial"/>
        </w:rPr>
      </w:pPr>
      <w:r w:rsidRPr="003D3F25">
        <w:rPr>
          <w:rFonts w:ascii="Arial" w:eastAsia="Calibri" w:hAnsi="Arial" w:cs="Arial"/>
          <w:i/>
        </w:rPr>
        <w:t>Multiple Imputation of Missing Data</w:t>
      </w:r>
      <w:r w:rsidRPr="003D3F25">
        <w:rPr>
          <w:rFonts w:ascii="Arial" w:eastAsia="Calibri" w:hAnsi="Arial" w:cs="Arial"/>
        </w:rPr>
        <w:t>. Using the SUDAAN HOTDECK procedure, under the assumption of missing at random (MAR), we derived the missing BMI, race/ethnicity, sperm source, number of oocytes retrieved, and PGT data. The MAR assumption appears reasonable because, although reporting of these variables likely varies from clinic to clinic, there is no evidence to support that missingness of the data varies systematically within a specific clinic.</w:t>
      </w:r>
      <w:r w:rsidRPr="003D3F25">
        <w:rPr>
          <w:rFonts w:ascii="Calibri" w:eastAsia="Calibri" w:hAnsi="Calibri" w:cs="Times New Roman"/>
        </w:rPr>
        <w:t xml:space="preserve"> </w:t>
      </w:r>
      <w:r w:rsidRPr="003D3F25">
        <w:rPr>
          <w:rFonts w:ascii="Arial" w:eastAsia="Calibri" w:hAnsi="Arial" w:cs="Arial"/>
        </w:rPr>
        <w:t xml:space="preserve">Five multiply imputed datasets were created to compute within- and between-variations of </w:t>
      </w:r>
      <w:r w:rsidRPr="003D3F25">
        <w:rPr>
          <w:rFonts w:ascii="Arial" w:eastAsia="Calibri" w:hAnsi="Arial" w:cs="Arial"/>
        </w:rPr>
        <w:lastRenderedPageBreak/>
        <w:t>imputed datasets in parameter estimates of models. Variables used in the imputation model included state where the cycle was performed, reporting year, patient age, gravidity, infertility diagnoses, patient race, BMI, sperm source, number of oocytes retrieved, and PGT.</w:t>
      </w:r>
    </w:p>
    <w:p w14:paraId="57B1E03F" w14:textId="77777777" w:rsidR="003D3F25" w:rsidRPr="003D3F25" w:rsidRDefault="003D3F25" w:rsidP="003D3F25">
      <w:pPr>
        <w:spacing w:after="0" w:line="480" w:lineRule="auto"/>
        <w:rPr>
          <w:rFonts w:ascii="Arial" w:eastAsia="Calibri" w:hAnsi="Arial" w:cs="Arial"/>
        </w:rPr>
      </w:pPr>
    </w:p>
    <w:p w14:paraId="5DF4A5EE" w14:textId="77777777" w:rsidR="003D3F25" w:rsidRPr="003D3F25" w:rsidRDefault="003D3F25" w:rsidP="003D3F25">
      <w:pPr>
        <w:spacing w:after="0" w:line="480" w:lineRule="auto"/>
        <w:rPr>
          <w:rFonts w:ascii="Arial" w:eastAsia="Calibri" w:hAnsi="Arial" w:cs="Arial"/>
        </w:rPr>
      </w:pPr>
      <w:r w:rsidRPr="003D3F25">
        <w:rPr>
          <w:rFonts w:ascii="Arial" w:eastAsia="Calibri" w:hAnsi="Arial" w:cs="Arial"/>
          <w:i/>
        </w:rPr>
        <w:t>Statistical Modelling.</w:t>
      </w:r>
      <w:r w:rsidRPr="003D3F25">
        <w:rPr>
          <w:rFonts w:ascii="Arial" w:eastAsia="Calibri" w:hAnsi="Arial" w:cs="Arial"/>
        </w:rPr>
        <w:t xml:space="preserve"> To obtain the CLBR after two retrievals and one, two, and three or more embryo transfer cycles, we applied the following equations proposed by Luke et al.</w:t>
      </w:r>
      <w:r w:rsidRPr="003D3F25">
        <w:rPr>
          <w:rFonts w:ascii="Arial" w:eastAsia="Calibri" w:hAnsi="Arial" w:cs="Arial"/>
          <w:vertAlign w:val="superscript"/>
        </w:rPr>
        <w:t>7</w:t>
      </w:r>
      <w:r w:rsidRPr="003D3F25">
        <w:rPr>
          <w:rFonts w:ascii="Arial" w:eastAsia="Calibri" w:hAnsi="Arial" w:cs="Arial"/>
        </w:rPr>
        <w:t xml:space="preserve"> and modified for use in our study</w:t>
      </w:r>
      <w:r w:rsidRPr="003D3F25">
        <w:rPr>
          <w:rFonts w:ascii="Calibri" w:eastAsia="Calibri" w:hAnsi="Calibri" w:cs="Times New Roman"/>
          <w:sz w:val="16"/>
          <w:szCs w:val="16"/>
        </w:rPr>
        <w:t xml:space="preserve">. </w:t>
      </w:r>
      <w:r w:rsidRPr="003D3F25">
        <w:rPr>
          <w:rFonts w:ascii="Arial" w:eastAsia="Calibri" w:hAnsi="Arial" w:cs="Arial"/>
          <w:szCs w:val="16"/>
        </w:rPr>
        <w:t>The Luke et al. paper used these equations to estimate CLBR following 1, 2, and 3 fresh ART cycles. We expanded on this to not only estimate CLBR following 1, 2, and ≥3 embryo transfer cycles (fresh or frozen) but also CLBR following 1, 2, and 3 oocyte retrievals and all embryo transfer cycles within 12 months of retrieval. Specifically, the equations we used were:</w:t>
      </w:r>
    </w:p>
    <w:p w14:paraId="0D8E7B86" w14:textId="77777777" w:rsidR="003D3F25" w:rsidRPr="003D3F25" w:rsidRDefault="003D3F25" w:rsidP="003D3F25">
      <w:pPr>
        <w:spacing w:after="0" w:line="480" w:lineRule="auto"/>
        <w:ind w:firstLine="720"/>
        <w:rPr>
          <w:rFonts w:ascii="Arial" w:eastAsia="Calibri" w:hAnsi="Arial" w:cs="Arial"/>
        </w:rPr>
      </w:pPr>
      <w:r w:rsidRPr="003D3F25">
        <w:rPr>
          <w:rFonts w:ascii="Arial" w:eastAsia="Calibri" w:hAnsi="Arial" w:cs="Arial"/>
        </w:rPr>
        <w:t>PROB</w:t>
      </w:r>
      <w:r w:rsidRPr="003D3F25">
        <w:rPr>
          <w:rFonts w:ascii="Arial" w:eastAsia="Calibri" w:hAnsi="Arial" w:cs="Arial"/>
          <w:vertAlign w:val="subscript"/>
        </w:rPr>
        <w:t>2,1</w:t>
      </w:r>
      <w:r w:rsidRPr="003D3F25">
        <w:rPr>
          <w:rFonts w:ascii="Arial" w:eastAsia="Calibri" w:hAnsi="Arial" w:cs="Arial"/>
        </w:rPr>
        <w:t xml:space="preserve"> = P</w:t>
      </w:r>
      <w:r w:rsidRPr="003D3F25">
        <w:rPr>
          <w:rFonts w:ascii="Arial" w:eastAsia="Calibri" w:hAnsi="Arial" w:cs="Arial"/>
          <w:vertAlign w:val="subscript"/>
        </w:rPr>
        <w:t>1,3</w:t>
      </w:r>
      <w:r w:rsidRPr="003D3F25">
        <w:rPr>
          <w:rFonts w:ascii="Arial" w:eastAsia="Calibri" w:hAnsi="Arial" w:cs="Arial"/>
        </w:rPr>
        <w:t xml:space="preserve"> + P</w:t>
      </w:r>
      <w:r w:rsidRPr="003D3F25">
        <w:rPr>
          <w:rFonts w:ascii="Arial" w:eastAsia="Calibri" w:hAnsi="Arial" w:cs="Arial"/>
          <w:vertAlign w:val="subscript"/>
        </w:rPr>
        <w:t>2,1</w:t>
      </w:r>
      <w:r w:rsidRPr="003D3F25">
        <w:rPr>
          <w:rFonts w:ascii="Arial" w:eastAsia="Calibri" w:hAnsi="Arial" w:cs="Arial"/>
        </w:rPr>
        <w:t xml:space="preserve"> (1-P</w:t>
      </w:r>
      <w:r w:rsidRPr="003D3F25">
        <w:rPr>
          <w:rFonts w:ascii="Arial" w:eastAsia="Calibri" w:hAnsi="Arial" w:cs="Arial"/>
          <w:vertAlign w:val="subscript"/>
        </w:rPr>
        <w:t>1,3</w:t>
      </w:r>
      <w:r w:rsidRPr="003D3F25">
        <w:rPr>
          <w:rFonts w:ascii="Arial" w:eastAsia="Calibri" w:hAnsi="Arial" w:cs="Arial"/>
        </w:rPr>
        <w:t xml:space="preserve">) </w:t>
      </w:r>
    </w:p>
    <w:p w14:paraId="5405CE85" w14:textId="4EB1E444" w:rsidR="009776D6" w:rsidRPr="003D3F25" w:rsidRDefault="009776D6" w:rsidP="009776D6">
      <w:pPr>
        <w:spacing w:after="0" w:line="480" w:lineRule="auto"/>
        <w:ind w:firstLine="720"/>
        <w:rPr>
          <w:rFonts w:ascii="Arial" w:eastAsia="Calibri" w:hAnsi="Arial" w:cs="Arial"/>
        </w:rPr>
      </w:pPr>
      <w:r w:rsidRPr="003D3F25">
        <w:rPr>
          <w:rFonts w:ascii="Arial" w:eastAsia="Calibri" w:hAnsi="Arial" w:cs="Arial"/>
        </w:rPr>
        <w:t>PROB</w:t>
      </w:r>
      <w:r w:rsidRPr="003D3F25">
        <w:rPr>
          <w:rFonts w:ascii="Arial" w:eastAsia="Calibri" w:hAnsi="Arial" w:cs="Arial"/>
          <w:vertAlign w:val="subscript"/>
        </w:rPr>
        <w:t>2,2</w:t>
      </w:r>
      <w:r w:rsidRPr="003D3F25">
        <w:rPr>
          <w:rFonts w:ascii="Arial" w:eastAsia="Calibri" w:hAnsi="Arial" w:cs="Arial"/>
        </w:rPr>
        <w:t xml:space="preserve"> = P</w:t>
      </w:r>
      <w:r w:rsidRPr="003D3F25">
        <w:rPr>
          <w:rFonts w:ascii="Arial" w:eastAsia="Calibri" w:hAnsi="Arial" w:cs="Arial"/>
          <w:vertAlign w:val="subscript"/>
        </w:rPr>
        <w:t>1,3</w:t>
      </w:r>
      <w:r w:rsidRPr="003D3F25">
        <w:rPr>
          <w:rFonts w:ascii="Arial" w:eastAsia="Calibri" w:hAnsi="Arial" w:cs="Arial"/>
        </w:rPr>
        <w:t xml:space="preserve"> + P</w:t>
      </w:r>
      <w:r w:rsidRPr="003D3F25">
        <w:rPr>
          <w:rFonts w:ascii="Arial" w:eastAsia="Calibri" w:hAnsi="Arial" w:cs="Arial"/>
          <w:vertAlign w:val="subscript"/>
        </w:rPr>
        <w:t>2,2</w:t>
      </w:r>
      <w:r w:rsidRPr="003D3F25">
        <w:rPr>
          <w:rFonts w:ascii="Arial" w:eastAsia="Calibri" w:hAnsi="Arial" w:cs="Arial"/>
        </w:rPr>
        <w:t xml:space="preserve"> (1- P</w:t>
      </w:r>
      <w:r w:rsidRPr="003D3F25">
        <w:rPr>
          <w:rFonts w:ascii="Arial" w:eastAsia="Calibri" w:hAnsi="Arial" w:cs="Arial"/>
          <w:vertAlign w:val="subscript"/>
        </w:rPr>
        <w:t>1,3</w:t>
      </w:r>
      <w:r w:rsidRPr="003D3F25">
        <w:rPr>
          <w:rFonts w:ascii="Arial" w:eastAsia="Calibri" w:hAnsi="Arial" w:cs="Arial"/>
        </w:rPr>
        <w:t>)</w:t>
      </w:r>
    </w:p>
    <w:p w14:paraId="382CA90B" w14:textId="2C2705CF" w:rsidR="009776D6" w:rsidRPr="003D3F25" w:rsidRDefault="009776D6" w:rsidP="009776D6">
      <w:pPr>
        <w:spacing w:after="0" w:line="480" w:lineRule="auto"/>
        <w:ind w:firstLine="720"/>
        <w:rPr>
          <w:rFonts w:ascii="Arial" w:eastAsia="Calibri" w:hAnsi="Arial" w:cs="Arial"/>
        </w:rPr>
      </w:pPr>
      <w:r w:rsidRPr="003D3F25">
        <w:rPr>
          <w:rFonts w:ascii="Arial" w:eastAsia="Calibri" w:hAnsi="Arial" w:cs="Arial"/>
        </w:rPr>
        <w:t>PROB</w:t>
      </w:r>
      <w:r w:rsidRPr="003D3F25">
        <w:rPr>
          <w:rFonts w:ascii="Arial" w:eastAsia="Calibri" w:hAnsi="Arial" w:cs="Arial"/>
          <w:vertAlign w:val="subscript"/>
        </w:rPr>
        <w:t>2,</w:t>
      </w:r>
      <w:r>
        <w:rPr>
          <w:rFonts w:ascii="Arial" w:eastAsia="Calibri" w:hAnsi="Arial" w:cs="Arial"/>
          <w:vertAlign w:val="subscript"/>
        </w:rPr>
        <w:t>3</w:t>
      </w:r>
      <w:r w:rsidRPr="003D3F25">
        <w:rPr>
          <w:rFonts w:ascii="Arial" w:eastAsia="Calibri" w:hAnsi="Arial" w:cs="Arial"/>
        </w:rPr>
        <w:t xml:space="preserve"> = P</w:t>
      </w:r>
      <w:r w:rsidRPr="003D3F25">
        <w:rPr>
          <w:rFonts w:ascii="Arial" w:eastAsia="Calibri" w:hAnsi="Arial" w:cs="Arial"/>
          <w:vertAlign w:val="subscript"/>
        </w:rPr>
        <w:t>1,3</w:t>
      </w:r>
      <w:r w:rsidRPr="003D3F25">
        <w:rPr>
          <w:rFonts w:ascii="Arial" w:eastAsia="Calibri" w:hAnsi="Arial" w:cs="Arial"/>
        </w:rPr>
        <w:t xml:space="preserve"> + P</w:t>
      </w:r>
      <w:r w:rsidRPr="003D3F25">
        <w:rPr>
          <w:rFonts w:ascii="Arial" w:eastAsia="Calibri" w:hAnsi="Arial" w:cs="Arial"/>
          <w:vertAlign w:val="subscript"/>
        </w:rPr>
        <w:t>2,</w:t>
      </w:r>
      <w:r>
        <w:rPr>
          <w:rFonts w:ascii="Arial" w:eastAsia="Calibri" w:hAnsi="Arial" w:cs="Arial"/>
          <w:vertAlign w:val="subscript"/>
        </w:rPr>
        <w:t>3</w:t>
      </w:r>
      <w:r w:rsidRPr="003D3F25">
        <w:rPr>
          <w:rFonts w:ascii="Arial" w:eastAsia="Calibri" w:hAnsi="Arial" w:cs="Arial"/>
        </w:rPr>
        <w:t xml:space="preserve"> (1- P</w:t>
      </w:r>
      <w:r w:rsidRPr="003D3F25">
        <w:rPr>
          <w:rFonts w:ascii="Arial" w:eastAsia="Calibri" w:hAnsi="Arial" w:cs="Arial"/>
          <w:vertAlign w:val="subscript"/>
        </w:rPr>
        <w:t>1,3</w:t>
      </w:r>
      <w:r w:rsidRPr="003D3F25">
        <w:rPr>
          <w:rFonts w:ascii="Arial" w:eastAsia="Calibri" w:hAnsi="Arial" w:cs="Arial"/>
        </w:rPr>
        <w:t>)</w:t>
      </w:r>
    </w:p>
    <w:p w14:paraId="41CEAEEF" w14:textId="4CB3967F" w:rsidR="003D3F25" w:rsidRDefault="003D3F25" w:rsidP="003D3F25">
      <w:pPr>
        <w:spacing w:after="0" w:line="480" w:lineRule="auto"/>
        <w:rPr>
          <w:rFonts w:ascii="Arial" w:eastAsia="Calibri" w:hAnsi="Arial" w:cs="Arial"/>
        </w:rPr>
      </w:pPr>
      <w:r w:rsidRPr="003D3F25">
        <w:rPr>
          <w:rFonts w:ascii="Arial" w:eastAsia="Calibri" w:hAnsi="Arial" w:cs="Arial"/>
        </w:rPr>
        <w:t xml:space="preserve">where </w:t>
      </w:r>
      <w:r w:rsidR="00DA64C3" w:rsidRPr="003D3F25">
        <w:rPr>
          <w:rFonts w:ascii="Arial" w:eastAsia="Calibri" w:hAnsi="Arial" w:cs="Arial"/>
        </w:rPr>
        <w:t>PROB</w:t>
      </w:r>
      <w:r w:rsidR="00DA64C3" w:rsidRPr="003D3F25">
        <w:rPr>
          <w:rFonts w:ascii="Arial" w:eastAsia="Calibri" w:hAnsi="Arial" w:cs="Arial"/>
          <w:vertAlign w:val="subscript"/>
        </w:rPr>
        <w:t>2,1</w:t>
      </w:r>
      <w:r w:rsidR="00DA64C3" w:rsidRPr="003D3F25">
        <w:rPr>
          <w:rFonts w:ascii="Arial" w:eastAsia="Calibri" w:hAnsi="Arial" w:cs="Arial"/>
        </w:rPr>
        <w:t xml:space="preserve"> </w:t>
      </w:r>
      <w:r w:rsidR="00DA64C3">
        <w:rPr>
          <w:rFonts w:ascii="Arial" w:eastAsia="Calibri" w:hAnsi="Arial" w:cs="Arial"/>
        </w:rPr>
        <w:t xml:space="preserve">is </w:t>
      </w:r>
      <w:r w:rsidR="00A51777">
        <w:rPr>
          <w:rFonts w:ascii="Arial" w:eastAsia="Calibri" w:hAnsi="Arial" w:cs="Arial"/>
        </w:rPr>
        <w:t xml:space="preserve">the </w:t>
      </w:r>
      <w:r w:rsidR="00DA64C3">
        <w:rPr>
          <w:rFonts w:ascii="Arial" w:eastAsia="Calibri" w:hAnsi="Arial" w:cs="Arial"/>
        </w:rPr>
        <w:t xml:space="preserve">CLBR after </w:t>
      </w:r>
      <w:r w:rsidR="004F0A0A">
        <w:rPr>
          <w:rFonts w:ascii="Arial" w:eastAsia="Calibri" w:hAnsi="Arial" w:cs="Arial"/>
        </w:rPr>
        <w:t>two</w:t>
      </w:r>
      <w:r w:rsidR="00DA64C3">
        <w:rPr>
          <w:rFonts w:ascii="Arial" w:eastAsia="Calibri" w:hAnsi="Arial" w:cs="Arial"/>
        </w:rPr>
        <w:t xml:space="preserve"> oocyte retrieval</w:t>
      </w:r>
      <w:r w:rsidR="004F0A0A">
        <w:rPr>
          <w:rFonts w:ascii="Arial" w:eastAsia="Calibri" w:hAnsi="Arial" w:cs="Arial"/>
        </w:rPr>
        <w:t>s</w:t>
      </w:r>
      <w:r w:rsidR="00DA64C3">
        <w:rPr>
          <w:rFonts w:ascii="Arial" w:eastAsia="Calibri" w:hAnsi="Arial" w:cs="Arial"/>
        </w:rPr>
        <w:t xml:space="preserve"> and </w:t>
      </w:r>
      <w:r w:rsidR="004F0A0A">
        <w:rPr>
          <w:rFonts w:ascii="Arial" w:eastAsia="Calibri" w:hAnsi="Arial" w:cs="Arial"/>
        </w:rPr>
        <w:t xml:space="preserve">the </w:t>
      </w:r>
      <w:r w:rsidR="00DA64C3">
        <w:rPr>
          <w:rFonts w:ascii="Arial" w:eastAsia="Calibri" w:hAnsi="Arial" w:cs="Arial"/>
        </w:rPr>
        <w:t xml:space="preserve">first </w:t>
      </w:r>
      <w:r w:rsidR="004F0A0A">
        <w:rPr>
          <w:rFonts w:ascii="Arial" w:eastAsia="Calibri" w:hAnsi="Arial" w:cs="Arial"/>
        </w:rPr>
        <w:t xml:space="preserve">embryo </w:t>
      </w:r>
      <w:r w:rsidR="00DA64C3">
        <w:rPr>
          <w:rFonts w:ascii="Arial" w:eastAsia="Calibri" w:hAnsi="Arial" w:cs="Arial"/>
        </w:rPr>
        <w:t xml:space="preserve">transfer, </w:t>
      </w:r>
      <w:r w:rsidRPr="003D3F25">
        <w:rPr>
          <w:rFonts w:ascii="Arial" w:eastAsia="Calibri" w:hAnsi="Arial" w:cs="Arial"/>
        </w:rPr>
        <w:t>P</w:t>
      </w:r>
      <w:r w:rsidRPr="003D3F25">
        <w:rPr>
          <w:rFonts w:ascii="Arial" w:eastAsia="Calibri" w:hAnsi="Arial" w:cs="Arial"/>
          <w:vertAlign w:val="subscript"/>
        </w:rPr>
        <w:t>1,3</w:t>
      </w:r>
      <w:r w:rsidRPr="003D3F25">
        <w:rPr>
          <w:rFonts w:ascii="Arial" w:eastAsia="Calibri" w:hAnsi="Arial" w:cs="Arial"/>
        </w:rPr>
        <w:t xml:space="preserve"> is the probability of live birth after the first oocyte retrieval and three or more embryo transfer cycles within 12 months, P</w:t>
      </w:r>
      <w:r w:rsidRPr="003D3F25">
        <w:rPr>
          <w:rFonts w:ascii="Arial" w:eastAsia="Calibri" w:hAnsi="Arial" w:cs="Arial"/>
          <w:vertAlign w:val="subscript"/>
        </w:rPr>
        <w:t>2,1</w:t>
      </w:r>
      <w:r w:rsidRPr="003D3F25">
        <w:rPr>
          <w:rFonts w:ascii="Arial" w:eastAsia="Calibri" w:hAnsi="Arial" w:cs="Arial"/>
        </w:rPr>
        <w:t xml:space="preserve"> is the probability of live birth after the second oocyte retrieval and one embryo transfer, PROB</w:t>
      </w:r>
      <w:r w:rsidRPr="003D3F25">
        <w:rPr>
          <w:rFonts w:ascii="Arial" w:eastAsia="Calibri" w:hAnsi="Arial" w:cs="Arial"/>
          <w:vertAlign w:val="subscript"/>
        </w:rPr>
        <w:t>2,</w:t>
      </w:r>
      <w:r w:rsidR="00DA64C3">
        <w:rPr>
          <w:rFonts w:ascii="Arial" w:eastAsia="Calibri" w:hAnsi="Arial" w:cs="Arial"/>
          <w:vertAlign w:val="subscript"/>
        </w:rPr>
        <w:t>2</w:t>
      </w:r>
      <w:r w:rsidRPr="003D3F25">
        <w:rPr>
          <w:rFonts w:ascii="Arial" w:eastAsia="Calibri" w:hAnsi="Arial" w:cs="Arial"/>
        </w:rPr>
        <w:t xml:space="preserve"> is </w:t>
      </w:r>
      <w:r w:rsidR="004F0A0A">
        <w:rPr>
          <w:rFonts w:ascii="Arial" w:eastAsia="Calibri" w:hAnsi="Arial" w:cs="Arial"/>
        </w:rPr>
        <w:t xml:space="preserve">the </w:t>
      </w:r>
      <w:r w:rsidR="00DA64C3">
        <w:rPr>
          <w:rFonts w:ascii="Arial" w:eastAsia="Calibri" w:hAnsi="Arial" w:cs="Arial"/>
        </w:rPr>
        <w:t>CLBR</w:t>
      </w:r>
      <w:r w:rsidRPr="003D3F25">
        <w:rPr>
          <w:rFonts w:ascii="Arial" w:eastAsia="Calibri" w:hAnsi="Arial" w:cs="Arial"/>
        </w:rPr>
        <w:t xml:space="preserve"> after two retrievals and the </w:t>
      </w:r>
      <w:r w:rsidR="00DA64C3">
        <w:rPr>
          <w:rFonts w:ascii="Arial" w:eastAsia="Calibri" w:hAnsi="Arial" w:cs="Arial"/>
        </w:rPr>
        <w:t>second</w:t>
      </w:r>
      <w:r w:rsidRPr="003D3F25">
        <w:rPr>
          <w:rFonts w:ascii="Arial" w:eastAsia="Calibri" w:hAnsi="Arial" w:cs="Arial"/>
        </w:rPr>
        <w:t xml:space="preserve"> embryo transfer</w:t>
      </w:r>
      <w:r w:rsidR="00DA64C3">
        <w:rPr>
          <w:rFonts w:ascii="Arial" w:eastAsia="Calibri" w:hAnsi="Arial" w:cs="Arial"/>
        </w:rPr>
        <w:t xml:space="preserve">, </w:t>
      </w:r>
      <w:r w:rsidR="00DA64C3" w:rsidRPr="003D3F25">
        <w:rPr>
          <w:rFonts w:ascii="Arial" w:eastAsia="Calibri" w:hAnsi="Arial" w:cs="Arial"/>
        </w:rPr>
        <w:t>P</w:t>
      </w:r>
      <w:r w:rsidR="00DA64C3" w:rsidRPr="003D3F25">
        <w:rPr>
          <w:rFonts w:ascii="Arial" w:eastAsia="Calibri" w:hAnsi="Arial" w:cs="Arial"/>
          <w:vertAlign w:val="subscript"/>
        </w:rPr>
        <w:t>2,</w:t>
      </w:r>
      <w:r w:rsidR="00DA64C3">
        <w:rPr>
          <w:rFonts w:ascii="Arial" w:eastAsia="Calibri" w:hAnsi="Arial" w:cs="Arial"/>
          <w:vertAlign w:val="subscript"/>
        </w:rPr>
        <w:t>2</w:t>
      </w:r>
      <w:r w:rsidR="00DA64C3" w:rsidRPr="003D3F25">
        <w:rPr>
          <w:rFonts w:ascii="Arial" w:eastAsia="Calibri" w:hAnsi="Arial" w:cs="Arial"/>
        </w:rPr>
        <w:t xml:space="preserve"> is the probability of live birth after </w:t>
      </w:r>
      <w:r w:rsidR="004F0A0A" w:rsidRPr="004F0A0A">
        <w:rPr>
          <w:rFonts w:ascii="Arial" w:eastAsia="Calibri" w:hAnsi="Arial" w:cs="Arial"/>
        </w:rPr>
        <w:t xml:space="preserve">two oocyte retrievals </w:t>
      </w:r>
      <w:r w:rsidR="00DA64C3" w:rsidRPr="003D3F25">
        <w:rPr>
          <w:rFonts w:ascii="Arial" w:eastAsia="Calibri" w:hAnsi="Arial" w:cs="Arial"/>
        </w:rPr>
        <w:t xml:space="preserve">and </w:t>
      </w:r>
      <w:r w:rsidR="004F0A0A">
        <w:rPr>
          <w:rFonts w:ascii="Arial" w:eastAsia="Calibri" w:hAnsi="Arial" w:cs="Arial"/>
        </w:rPr>
        <w:t xml:space="preserve">the </w:t>
      </w:r>
      <w:r w:rsidR="00DA64C3">
        <w:rPr>
          <w:rFonts w:ascii="Arial" w:eastAsia="Calibri" w:hAnsi="Arial" w:cs="Arial"/>
        </w:rPr>
        <w:t>second</w:t>
      </w:r>
      <w:r w:rsidR="00DA64C3" w:rsidRPr="003D3F25">
        <w:rPr>
          <w:rFonts w:ascii="Arial" w:eastAsia="Calibri" w:hAnsi="Arial" w:cs="Arial"/>
        </w:rPr>
        <w:t xml:space="preserve"> embryo transfer</w:t>
      </w:r>
      <w:r w:rsidR="00DA64C3">
        <w:rPr>
          <w:rFonts w:ascii="Arial" w:eastAsia="Calibri" w:hAnsi="Arial" w:cs="Arial"/>
        </w:rPr>
        <w:t xml:space="preserve">, </w:t>
      </w:r>
      <w:r w:rsidR="00DA64C3" w:rsidRPr="003D3F25">
        <w:rPr>
          <w:rFonts w:ascii="Arial" w:eastAsia="Calibri" w:hAnsi="Arial" w:cs="Arial"/>
        </w:rPr>
        <w:t>PROB</w:t>
      </w:r>
      <w:r w:rsidR="00DA64C3" w:rsidRPr="003D3F25">
        <w:rPr>
          <w:rFonts w:ascii="Arial" w:eastAsia="Calibri" w:hAnsi="Arial" w:cs="Arial"/>
          <w:vertAlign w:val="subscript"/>
        </w:rPr>
        <w:t>2,</w:t>
      </w:r>
      <w:r w:rsidR="00DA64C3">
        <w:rPr>
          <w:rFonts w:ascii="Arial" w:eastAsia="Calibri" w:hAnsi="Arial" w:cs="Arial"/>
          <w:vertAlign w:val="subscript"/>
        </w:rPr>
        <w:t>3</w:t>
      </w:r>
      <w:r w:rsidR="00DA64C3">
        <w:rPr>
          <w:rFonts w:ascii="Arial" w:eastAsia="Calibri" w:hAnsi="Arial" w:cs="Arial"/>
        </w:rPr>
        <w:t xml:space="preserve"> is CLBR after </w:t>
      </w:r>
      <w:r w:rsidR="004F0A0A" w:rsidRPr="004F0A0A">
        <w:rPr>
          <w:rFonts w:ascii="Arial" w:eastAsia="Calibri" w:hAnsi="Arial" w:cs="Arial"/>
        </w:rPr>
        <w:t xml:space="preserve">two oocyte retrievals </w:t>
      </w:r>
      <w:r w:rsidR="00DA64C3">
        <w:rPr>
          <w:rFonts w:ascii="Arial" w:eastAsia="Calibri" w:hAnsi="Arial" w:cs="Arial"/>
        </w:rPr>
        <w:t>and three or more embryo transfer</w:t>
      </w:r>
      <w:r w:rsidR="004F0A0A">
        <w:rPr>
          <w:rFonts w:ascii="Arial" w:eastAsia="Calibri" w:hAnsi="Arial" w:cs="Arial"/>
        </w:rPr>
        <w:t>s</w:t>
      </w:r>
      <w:r w:rsidR="00DA64C3">
        <w:rPr>
          <w:rFonts w:ascii="Arial" w:eastAsia="Calibri" w:hAnsi="Arial" w:cs="Arial"/>
        </w:rPr>
        <w:t xml:space="preserve">, </w:t>
      </w:r>
      <w:r w:rsidR="00DA64C3" w:rsidRPr="003D3F25">
        <w:rPr>
          <w:rFonts w:ascii="Arial" w:eastAsia="Calibri" w:hAnsi="Arial" w:cs="Arial"/>
        </w:rPr>
        <w:t>P</w:t>
      </w:r>
      <w:r w:rsidR="00DA64C3" w:rsidRPr="003D3F25">
        <w:rPr>
          <w:rFonts w:ascii="Arial" w:eastAsia="Calibri" w:hAnsi="Arial" w:cs="Arial"/>
          <w:vertAlign w:val="subscript"/>
        </w:rPr>
        <w:t>2,</w:t>
      </w:r>
      <w:r w:rsidR="00DA64C3">
        <w:rPr>
          <w:rFonts w:ascii="Arial" w:eastAsia="Calibri" w:hAnsi="Arial" w:cs="Arial"/>
          <w:vertAlign w:val="subscript"/>
        </w:rPr>
        <w:t>3</w:t>
      </w:r>
      <w:r w:rsidR="00DA64C3" w:rsidRPr="003D3F25">
        <w:rPr>
          <w:rFonts w:ascii="Arial" w:eastAsia="Calibri" w:hAnsi="Arial" w:cs="Arial"/>
        </w:rPr>
        <w:t xml:space="preserve"> is the probability of live birth after </w:t>
      </w:r>
      <w:r w:rsidR="004F0A0A" w:rsidRPr="004F0A0A">
        <w:rPr>
          <w:rFonts w:ascii="Arial" w:eastAsia="Calibri" w:hAnsi="Arial" w:cs="Arial"/>
        </w:rPr>
        <w:t xml:space="preserve">two oocyte retrievals </w:t>
      </w:r>
      <w:r w:rsidR="00DA64C3" w:rsidRPr="003D3F25">
        <w:rPr>
          <w:rFonts w:ascii="Arial" w:eastAsia="Calibri" w:hAnsi="Arial" w:cs="Arial"/>
        </w:rPr>
        <w:t xml:space="preserve">and </w:t>
      </w:r>
      <w:r w:rsidR="00DA64C3">
        <w:rPr>
          <w:rFonts w:ascii="Arial" w:eastAsia="Calibri" w:hAnsi="Arial" w:cs="Arial"/>
        </w:rPr>
        <w:t xml:space="preserve">three or more </w:t>
      </w:r>
      <w:r w:rsidR="00DA64C3" w:rsidRPr="003D3F25">
        <w:rPr>
          <w:rFonts w:ascii="Arial" w:eastAsia="Calibri" w:hAnsi="Arial" w:cs="Arial"/>
        </w:rPr>
        <w:t>embryo transfer</w:t>
      </w:r>
      <w:r w:rsidR="004F0A0A">
        <w:rPr>
          <w:rFonts w:ascii="Arial" w:eastAsia="Calibri" w:hAnsi="Arial" w:cs="Arial"/>
        </w:rPr>
        <w:t>s</w:t>
      </w:r>
      <w:r w:rsidR="00DA64C3">
        <w:rPr>
          <w:rFonts w:ascii="Arial" w:eastAsia="Calibri" w:hAnsi="Arial" w:cs="Arial"/>
        </w:rPr>
        <w:t xml:space="preserve">. </w:t>
      </w:r>
    </w:p>
    <w:p w14:paraId="2BCF2FB9" w14:textId="46669257" w:rsidR="003A7195" w:rsidRDefault="003A7195" w:rsidP="003D3F25">
      <w:pPr>
        <w:spacing w:after="0" w:line="480" w:lineRule="auto"/>
        <w:rPr>
          <w:rFonts w:ascii="Arial" w:eastAsia="Calibri" w:hAnsi="Arial" w:cs="Arial"/>
        </w:rPr>
      </w:pPr>
    </w:p>
    <w:p w14:paraId="6808EE0B" w14:textId="7A6E059C" w:rsidR="003A7195" w:rsidRPr="003A7195" w:rsidRDefault="003A7195" w:rsidP="003D3F25">
      <w:pPr>
        <w:spacing w:after="0" w:line="480" w:lineRule="auto"/>
        <w:rPr>
          <w:rFonts w:ascii="Arial" w:eastAsia="Calibri" w:hAnsi="Arial" w:cs="Arial"/>
        </w:rPr>
      </w:pPr>
      <w:bookmarkStart w:id="0" w:name="_Hlk122094157"/>
      <w:r>
        <w:rPr>
          <w:rFonts w:ascii="Arial" w:eastAsia="Calibri" w:hAnsi="Arial" w:cs="Arial"/>
        </w:rPr>
        <w:t>The P</w:t>
      </w:r>
      <w:r>
        <w:rPr>
          <w:rFonts w:ascii="Arial" w:eastAsia="Calibri" w:hAnsi="Arial" w:cs="Arial"/>
          <w:vertAlign w:val="subscript"/>
        </w:rPr>
        <w:t>1,3</w:t>
      </w:r>
      <w:r>
        <w:rPr>
          <w:rFonts w:ascii="Arial" w:eastAsia="Calibri" w:hAnsi="Arial" w:cs="Arial"/>
        </w:rPr>
        <w:t xml:space="preserve"> parameter was </w:t>
      </w:r>
      <w:r w:rsidRPr="003A7195">
        <w:rPr>
          <w:rFonts w:ascii="Arial" w:eastAsia="Calibri" w:hAnsi="Arial" w:cs="Arial"/>
        </w:rPr>
        <w:t xml:space="preserve">estimated for a given patient </w:t>
      </w:r>
      <w:r w:rsidR="00781A8B">
        <w:rPr>
          <w:rFonts w:ascii="Arial" w:eastAsia="Calibri" w:hAnsi="Arial" w:cs="Arial"/>
        </w:rPr>
        <w:t>by taking the sum of the intercept plus the product of the beta coefficient</w:t>
      </w:r>
      <w:r w:rsidR="007C611B">
        <w:rPr>
          <w:rFonts w:ascii="Arial" w:eastAsia="Calibri" w:hAnsi="Arial" w:cs="Arial"/>
        </w:rPr>
        <w:t>s</w:t>
      </w:r>
      <w:r w:rsidR="00781A8B">
        <w:rPr>
          <w:rFonts w:ascii="Arial" w:eastAsia="Calibri" w:hAnsi="Arial" w:cs="Arial"/>
        </w:rPr>
        <w:t xml:space="preserve"> (shown in Supplemental Table 1) x the value for each input parameter</w:t>
      </w:r>
      <w:r w:rsidRPr="003A7195">
        <w:rPr>
          <w:rFonts w:ascii="Arial" w:eastAsia="Calibri" w:hAnsi="Arial" w:cs="Arial"/>
        </w:rPr>
        <w:t>.</w:t>
      </w:r>
      <w:r>
        <w:rPr>
          <w:rFonts w:ascii="Arial" w:eastAsia="Calibri" w:hAnsi="Arial" w:cs="Arial"/>
        </w:rPr>
        <w:t xml:space="preserve"> Th</w:t>
      </w:r>
      <w:r w:rsidR="007C611B">
        <w:rPr>
          <w:rFonts w:ascii="Arial" w:eastAsia="Calibri" w:hAnsi="Arial" w:cs="Arial"/>
        </w:rPr>
        <w:t>is</w:t>
      </w:r>
      <w:r>
        <w:rPr>
          <w:rFonts w:ascii="Arial" w:eastAsia="Calibri" w:hAnsi="Arial" w:cs="Arial"/>
        </w:rPr>
        <w:t xml:space="preserve"> sum of was then </w:t>
      </w:r>
      <w:r w:rsidR="00781A8B">
        <w:rPr>
          <w:rFonts w:ascii="Arial" w:eastAsia="Calibri" w:hAnsi="Arial" w:cs="Arial"/>
        </w:rPr>
        <w:t>back-</w:t>
      </w:r>
      <w:r>
        <w:rPr>
          <w:rFonts w:ascii="Arial" w:eastAsia="Calibri" w:hAnsi="Arial" w:cs="Arial"/>
        </w:rPr>
        <w:t xml:space="preserve">transformed </w:t>
      </w:r>
      <w:r w:rsidR="007C611B">
        <w:rPr>
          <w:rFonts w:ascii="Arial" w:eastAsia="Calibri" w:hAnsi="Arial" w:cs="Arial"/>
        </w:rPr>
        <w:t>{exp</w:t>
      </w:r>
      <w:r w:rsidR="007C611B" w:rsidRPr="003A7195">
        <w:rPr>
          <w:rFonts w:ascii="Arial" w:eastAsia="Calibri" w:hAnsi="Arial" w:cs="Arial"/>
        </w:rPr>
        <w:t>(</w:t>
      </w:r>
      <w:r w:rsidR="007C611B">
        <w:rPr>
          <w:rFonts w:ascii="Arial" w:eastAsia="Calibri" w:hAnsi="Arial" w:cs="Arial"/>
        </w:rPr>
        <w:t>SUM</w:t>
      </w:r>
      <w:r w:rsidR="007C611B" w:rsidRPr="003A7195">
        <w:rPr>
          <w:rFonts w:ascii="Arial" w:eastAsia="Calibri" w:hAnsi="Arial" w:cs="Arial"/>
        </w:rPr>
        <w:t>)/(1+</w:t>
      </w:r>
      <w:r w:rsidR="007C611B">
        <w:rPr>
          <w:rFonts w:ascii="Arial" w:eastAsia="Calibri" w:hAnsi="Arial" w:cs="Arial"/>
        </w:rPr>
        <w:t>exp</w:t>
      </w:r>
      <w:r w:rsidR="007C611B" w:rsidRPr="003A7195">
        <w:rPr>
          <w:rFonts w:ascii="Arial" w:eastAsia="Calibri" w:hAnsi="Arial" w:cs="Arial"/>
        </w:rPr>
        <w:t>(</w:t>
      </w:r>
      <w:r w:rsidR="007C611B">
        <w:rPr>
          <w:rFonts w:ascii="Arial" w:eastAsia="Calibri" w:hAnsi="Arial" w:cs="Arial"/>
        </w:rPr>
        <w:t>SUM</w:t>
      </w:r>
      <w:r w:rsidR="007C611B" w:rsidRPr="003A7195">
        <w:rPr>
          <w:rFonts w:ascii="Arial" w:eastAsia="Calibri" w:hAnsi="Arial" w:cs="Arial"/>
        </w:rPr>
        <w:t>))</w:t>
      </w:r>
      <w:r w:rsidR="007C611B">
        <w:rPr>
          <w:rFonts w:ascii="Arial" w:eastAsia="Calibri" w:hAnsi="Arial" w:cs="Arial"/>
        </w:rPr>
        <w:t xml:space="preserve">} to obtain the predicted probability. The predicted probabilities, </w:t>
      </w:r>
      <w:bookmarkStart w:id="1" w:name="_Hlk122094107"/>
      <w:r w:rsidR="007C611B" w:rsidRPr="007C611B">
        <w:rPr>
          <w:rFonts w:ascii="Arial" w:eastAsia="Calibri" w:hAnsi="Arial" w:cs="Arial"/>
        </w:rPr>
        <w:t>P</w:t>
      </w:r>
      <w:r w:rsidR="007C611B" w:rsidRPr="007C611B">
        <w:rPr>
          <w:rFonts w:ascii="Arial" w:eastAsia="Calibri" w:hAnsi="Arial" w:cs="Arial"/>
          <w:vertAlign w:val="subscript"/>
        </w:rPr>
        <w:t>2,1</w:t>
      </w:r>
      <w:r w:rsidR="007C611B">
        <w:rPr>
          <w:rFonts w:ascii="Arial" w:eastAsia="Calibri" w:hAnsi="Arial" w:cs="Arial"/>
        </w:rPr>
        <w:t xml:space="preserve">, </w:t>
      </w:r>
      <w:r w:rsidR="007C611B" w:rsidRPr="007C611B">
        <w:rPr>
          <w:rFonts w:ascii="Arial" w:eastAsia="Calibri" w:hAnsi="Arial" w:cs="Arial"/>
        </w:rPr>
        <w:t>P</w:t>
      </w:r>
      <w:r w:rsidR="007C611B" w:rsidRPr="007C611B">
        <w:rPr>
          <w:rFonts w:ascii="Arial" w:eastAsia="Calibri" w:hAnsi="Arial" w:cs="Arial"/>
          <w:vertAlign w:val="subscript"/>
        </w:rPr>
        <w:t>2,</w:t>
      </w:r>
      <w:r w:rsidR="007C611B">
        <w:rPr>
          <w:rFonts w:ascii="Arial" w:eastAsia="Calibri" w:hAnsi="Arial" w:cs="Arial"/>
          <w:vertAlign w:val="subscript"/>
        </w:rPr>
        <w:t>2</w:t>
      </w:r>
      <w:r w:rsidR="007C611B">
        <w:rPr>
          <w:rFonts w:ascii="Arial" w:eastAsia="Calibri" w:hAnsi="Arial" w:cs="Arial"/>
        </w:rPr>
        <w:t xml:space="preserve">, and </w:t>
      </w:r>
      <w:r w:rsidR="007C611B" w:rsidRPr="007C611B">
        <w:rPr>
          <w:rFonts w:ascii="Arial" w:eastAsia="Calibri" w:hAnsi="Arial" w:cs="Arial"/>
        </w:rPr>
        <w:t>P</w:t>
      </w:r>
      <w:r w:rsidR="007C611B" w:rsidRPr="007C611B">
        <w:rPr>
          <w:rFonts w:ascii="Arial" w:eastAsia="Calibri" w:hAnsi="Arial" w:cs="Arial"/>
          <w:vertAlign w:val="subscript"/>
        </w:rPr>
        <w:t>2,</w:t>
      </w:r>
      <w:r w:rsidR="007C611B">
        <w:rPr>
          <w:rFonts w:ascii="Arial" w:eastAsia="Calibri" w:hAnsi="Arial" w:cs="Arial"/>
          <w:vertAlign w:val="subscript"/>
        </w:rPr>
        <w:t>3</w:t>
      </w:r>
      <w:r w:rsidR="007C611B">
        <w:rPr>
          <w:rFonts w:ascii="Arial" w:eastAsia="Calibri" w:hAnsi="Arial" w:cs="Arial"/>
        </w:rPr>
        <w:t xml:space="preserve">, were estimated </w:t>
      </w:r>
      <w:bookmarkEnd w:id="1"/>
      <w:r w:rsidR="007C611B">
        <w:rPr>
          <w:rFonts w:ascii="Arial" w:eastAsia="Calibri" w:hAnsi="Arial" w:cs="Arial"/>
        </w:rPr>
        <w:t xml:space="preserve">likewise. </w:t>
      </w:r>
    </w:p>
    <w:p w14:paraId="3119E144" w14:textId="77777777" w:rsidR="003D3F25" w:rsidRPr="003D3F25" w:rsidRDefault="003D3F25" w:rsidP="003D3F25">
      <w:pPr>
        <w:spacing w:after="0" w:line="480" w:lineRule="auto"/>
        <w:rPr>
          <w:rFonts w:ascii="Arial" w:eastAsia="Calibri" w:hAnsi="Arial" w:cs="Arial"/>
        </w:rPr>
      </w:pPr>
    </w:p>
    <w:p w14:paraId="48E3AA65" w14:textId="77777777" w:rsidR="003D3F25" w:rsidRPr="003D3F25" w:rsidRDefault="003D3F25" w:rsidP="003D3F25">
      <w:pPr>
        <w:spacing w:after="0" w:line="480" w:lineRule="auto"/>
        <w:rPr>
          <w:rFonts w:ascii="Arial" w:eastAsia="Calibri" w:hAnsi="Arial" w:cs="Arial"/>
        </w:rPr>
      </w:pPr>
      <w:r w:rsidRPr="003D3F25">
        <w:rPr>
          <w:rFonts w:ascii="Arial" w:eastAsia="Calibri" w:hAnsi="Arial" w:cs="Arial"/>
        </w:rPr>
        <w:t xml:space="preserve">Among return IVF patients, we used similar methodology, running three separate multinomial regression models to estimate the probability of live birth following one, two, and three additional oocyte retrievals and one, two, and three or more embryo transfer cycles that occurred within 12 months of each retrieval. The CLBR following each additional oocyte retrieval was calculated using the Luke et al. equation as described above. </w:t>
      </w:r>
    </w:p>
    <w:bookmarkEnd w:id="0"/>
    <w:p w14:paraId="610CC379" w14:textId="77777777" w:rsidR="003D3F25" w:rsidRPr="003D3F25" w:rsidRDefault="003D3F25" w:rsidP="003D3F25">
      <w:pPr>
        <w:spacing w:after="0" w:line="480" w:lineRule="auto"/>
        <w:rPr>
          <w:rFonts w:ascii="Arial" w:eastAsia="Calibri" w:hAnsi="Arial" w:cs="Arial"/>
        </w:rPr>
      </w:pPr>
    </w:p>
    <w:p w14:paraId="41B3F08B" w14:textId="592C2756" w:rsidR="003D3F25" w:rsidRPr="003D3F25" w:rsidRDefault="003D3F25" w:rsidP="003D3F25">
      <w:pPr>
        <w:spacing w:after="0" w:line="480" w:lineRule="auto"/>
        <w:rPr>
          <w:rFonts w:ascii="Arial" w:eastAsia="Calibri" w:hAnsi="Arial" w:cs="Arial"/>
        </w:rPr>
      </w:pPr>
      <w:r w:rsidRPr="003D3F25">
        <w:rPr>
          <w:rFonts w:ascii="Arial" w:eastAsia="Calibri" w:hAnsi="Arial" w:cs="Arial"/>
        </w:rPr>
        <w:t>To obtain the CLBR after the 2</w:t>
      </w:r>
      <w:r w:rsidRPr="003D3F25">
        <w:rPr>
          <w:rFonts w:ascii="Arial" w:eastAsia="Calibri" w:hAnsi="Arial" w:cs="Arial"/>
          <w:vertAlign w:val="superscript"/>
        </w:rPr>
        <w:t>nd</w:t>
      </w:r>
      <w:r w:rsidRPr="003D3F25">
        <w:rPr>
          <w:rFonts w:ascii="Arial" w:eastAsia="Calibri" w:hAnsi="Arial" w:cs="Arial"/>
        </w:rPr>
        <w:t xml:space="preserve"> and 3</w:t>
      </w:r>
      <w:r w:rsidRPr="003D3F25">
        <w:rPr>
          <w:rFonts w:ascii="Arial" w:eastAsia="Calibri" w:hAnsi="Arial" w:cs="Arial"/>
          <w:vertAlign w:val="superscript"/>
        </w:rPr>
        <w:t>rd</w:t>
      </w:r>
      <w:r w:rsidRPr="003D3F25">
        <w:rPr>
          <w:rFonts w:ascii="Arial" w:eastAsia="Calibri" w:hAnsi="Arial" w:cs="Arial"/>
        </w:rPr>
        <w:t xml:space="preserve"> embryo transfer cycles in donor oocyte recipient models, we applied the equations proposed by Luke et al: PROB</w:t>
      </w:r>
      <w:r w:rsidRPr="003D3F25">
        <w:rPr>
          <w:rFonts w:ascii="Arial" w:eastAsia="Calibri" w:hAnsi="Arial" w:cs="Arial"/>
          <w:vertAlign w:val="subscript"/>
        </w:rPr>
        <w:t>2</w:t>
      </w:r>
      <w:r w:rsidRPr="003D3F25">
        <w:rPr>
          <w:rFonts w:ascii="Arial" w:eastAsia="Calibri" w:hAnsi="Arial" w:cs="Arial"/>
        </w:rPr>
        <w:t xml:space="preserve"> = P</w:t>
      </w:r>
      <w:r w:rsidRPr="003D3F25">
        <w:rPr>
          <w:rFonts w:ascii="Arial" w:eastAsia="Calibri" w:hAnsi="Arial" w:cs="Arial"/>
          <w:vertAlign w:val="subscript"/>
        </w:rPr>
        <w:t>1</w:t>
      </w:r>
      <w:r w:rsidRPr="003D3F25">
        <w:rPr>
          <w:rFonts w:ascii="Arial" w:eastAsia="Calibri" w:hAnsi="Arial" w:cs="Arial"/>
        </w:rPr>
        <w:t xml:space="preserve"> + P</w:t>
      </w:r>
      <w:r w:rsidRPr="003D3F25">
        <w:rPr>
          <w:rFonts w:ascii="Arial" w:eastAsia="Calibri" w:hAnsi="Arial" w:cs="Arial"/>
          <w:vertAlign w:val="subscript"/>
        </w:rPr>
        <w:t>2</w:t>
      </w:r>
      <w:r w:rsidRPr="003D3F25">
        <w:rPr>
          <w:rFonts w:ascii="Arial" w:eastAsia="Calibri" w:hAnsi="Arial" w:cs="Arial"/>
        </w:rPr>
        <w:t xml:space="preserve"> (1-P</w:t>
      </w:r>
      <w:r w:rsidRPr="003D3F25">
        <w:rPr>
          <w:rFonts w:ascii="Arial" w:eastAsia="Calibri" w:hAnsi="Arial" w:cs="Arial"/>
          <w:vertAlign w:val="subscript"/>
        </w:rPr>
        <w:t>1</w:t>
      </w:r>
      <w:r w:rsidRPr="003D3F25">
        <w:rPr>
          <w:rFonts w:ascii="Arial" w:eastAsia="Calibri" w:hAnsi="Arial" w:cs="Arial"/>
        </w:rPr>
        <w:t>)) and PROB</w:t>
      </w:r>
      <w:r w:rsidRPr="003D3F25">
        <w:rPr>
          <w:rFonts w:ascii="Arial" w:eastAsia="Calibri" w:hAnsi="Arial" w:cs="Arial"/>
          <w:vertAlign w:val="subscript"/>
        </w:rPr>
        <w:t>3</w:t>
      </w:r>
      <w:r w:rsidRPr="003D3F25">
        <w:rPr>
          <w:rFonts w:ascii="Arial" w:eastAsia="Calibri" w:hAnsi="Arial" w:cs="Arial"/>
        </w:rPr>
        <w:t xml:space="preserve"> = PROB</w:t>
      </w:r>
      <w:r w:rsidRPr="003D3F25">
        <w:rPr>
          <w:rFonts w:ascii="Arial" w:eastAsia="Calibri" w:hAnsi="Arial" w:cs="Arial"/>
          <w:vertAlign w:val="subscript"/>
        </w:rPr>
        <w:t>2</w:t>
      </w:r>
      <w:r w:rsidRPr="003D3F25">
        <w:rPr>
          <w:rFonts w:ascii="Arial" w:eastAsia="Calibri" w:hAnsi="Arial" w:cs="Arial"/>
        </w:rPr>
        <w:t xml:space="preserve"> + P</w:t>
      </w:r>
      <w:r w:rsidRPr="003D3F25">
        <w:rPr>
          <w:rFonts w:ascii="Arial" w:eastAsia="Calibri" w:hAnsi="Arial" w:cs="Arial"/>
          <w:vertAlign w:val="subscript"/>
        </w:rPr>
        <w:t>3</w:t>
      </w:r>
      <w:r w:rsidRPr="003D3F25">
        <w:rPr>
          <w:rFonts w:ascii="Arial" w:eastAsia="Calibri" w:hAnsi="Arial" w:cs="Arial"/>
        </w:rPr>
        <w:t xml:space="preserve"> (1-PROB</w:t>
      </w:r>
      <w:r w:rsidRPr="003D3F25">
        <w:rPr>
          <w:rFonts w:ascii="Arial" w:eastAsia="Calibri" w:hAnsi="Arial" w:cs="Arial"/>
          <w:vertAlign w:val="subscript"/>
        </w:rPr>
        <w:t>2</w:t>
      </w:r>
      <w:r w:rsidRPr="003D3F25">
        <w:rPr>
          <w:rFonts w:ascii="Arial" w:eastAsia="Calibri" w:hAnsi="Arial" w:cs="Arial"/>
        </w:rPr>
        <w:t>)) where P</w:t>
      </w:r>
      <w:r w:rsidRPr="003D3F25">
        <w:rPr>
          <w:rFonts w:ascii="Arial" w:eastAsia="Calibri" w:hAnsi="Arial" w:cs="Arial"/>
          <w:vertAlign w:val="subscript"/>
        </w:rPr>
        <w:t>1</w:t>
      </w:r>
      <w:r w:rsidRPr="003D3F25">
        <w:rPr>
          <w:rFonts w:ascii="Arial" w:eastAsia="Calibri" w:hAnsi="Arial" w:cs="Arial"/>
        </w:rPr>
        <w:t>, P</w:t>
      </w:r>
      <w:r w:rsidRPr="003D3F25">
        <w:rPr>
          <w:rFonts w:ascii="Arial" w:eastAsia="Calibri" w:hAnsi="Arial" w:cs="Arial"/>
          <w:vertAlign w:val="subscript"/>
        </w:rPr>
        <w:t>2</w:t>
      </w:r>
      <w:r w:rsidRPr="003D3F25">
        <w:rPr>
          <w:rFonts w:ascii="Arial" w:eastAsia="Calibri" w:hAnsi="Arial" w:cs="Arial"/>
        </w:rPr>
        <w:t xml:space="preserve"> and P</w:t>
      </w:r>
      <w:r w:rsidRPr="003D3F25">
        <w:rPr>
          <w:rFonts w:ascii="Arial" w:eastAsia="Calibri" w:hAnsi="Arial" w:cs="Arial"/>
          <w:vertAlign w:val="subscript"/>
        </w:rPr>
        <w:t>3</w:t>
      </w:r>
      <w:r w:rsidRPr="003D3F25">
        <w:rPr>
          <w:rFonts w:ascii="Arial" w:eastAsia="Calibri" w:hAnsi="Arial" w:cs="Arial"/>
        </w:rPr>
        <w:t xml:space="preserve"> are the probability of live birth after the first, second, and third embryo transfer cycles and PROB</w:t>
      </w:r>
      <w:r w:rsidRPr="003D3F25">
        <w:rPr>
          <w:rFonts w:ascii="Arial" w:eastAsia="Calibri" w:hAnsi="Arial" w:cs="Arial"/>
          <w:vertAlign w:val="subscript"/>
        </w:rPr>
        <w:t>2</w:t>
      </w:r>
      <w:r w:rsidRPr="003D3F25">
        <w:rPr>
          <w:rFonts w:ascii="Arial" w:eastAsia="Calibri" w:hAnsi="Arial" w:cs="Arial"/>
        </w:rPr>
        <w:t xml:space="preserve"> and PROB</w:t>
      </w:r>
      <w:r w:rsidRPr="003D3F25">
        <w:rPr>
          <w:rFonts w:ascii="Arial" w:eastAsia="Calibri" w:hAnsi="Arial" w:cs="Arial"/>
          <w:vertAlign w:val="subscript"/>
        </w:rPr>
        <w:t>3</w:t>
      </w:r>
      <w:r w:rsidRPr="003D3F25">
        <w:rPr>
          <w:rFonts w:ascii="Arial" w:eastAsia="Calibri" w:hAnsi="Arial" w:cs="Arial"/>
        </w:rPr>
        <w:t xml:space="preserve"> are the </w:t>
      </w:r>
      <w:r w:rsidR="007C611B">
        <w:rPr>
          <w:rFonts w:ascii="Arial" w:eastAsia="Calibri" w:hAnsi="Arial" w:cs="Arial"/>
        </w:rPr>
        <w:t xml:space="preserve">CLBRs </w:t>
      </w:r>
      <w:r w:rsidRPr="003D3F25">
        <w:rPr>
          <w:rFonts w:ascii="Arial" w:eastAsia="Calibri" w:hAnsi="Arial" w:cs="Arial"/>
        </w:rPr>
        <w:t>after two and three embryo transfer cycles.</w:t>
      </w:r>
    </w:p>
    <w:p w14:paraId="2F1FDA71" w14:textId="77777777" w:rsidR="003D3F25" w:rsidRPr="003D3F25" w:rsidRDefault="003D3F25" w:rsidP="003D3F25">
      <w:pPr>
        <w:spacing w:after="0" w:line="480" w:lineRule="auto"/>
        <w:rPr>
          <w:rFonts w:ascii="Arial" w:eastAsia="Calibri" w:hAnsi="Arial" w:cs="Arial"/>
        </w:rPr>
      </w:pPr>
    </w:p>
    <w:p w14:paraId="740BE1A3" w14:textId="77777777" w:rsidR="00EF58E7" w:rsidRDefault="00B74EE9"/>
    <w:sectPr w:rsidR="00EF58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14A8" w14:textId="77777777" w:rsidR="00374D34" w:rsidRDefault="00374D34" w:rsidP="009776D6">
      <w:pPr>
        <w:spacing w:after="0" w:line="240" w:lineRule="auto"/>
      </w:pPr>
      <w:r>
        <w:separator/>
      </w:r>
    </w:p>
  </w:endnote>
  <w:endnote w:type="continuationSeparator" w:id="0">
    <w:p w14:paraId="2D96BA0C" w14:textId="77777777" w:rsidR="00374D34" w:rsidRDefault="00374D34" w:rsidP="0097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8190" w14:textId="77777777" w:rsidR="00374D34" w:rsidRDefault="00374D34" w:rsidP="009776D6">
      <w:pPr>
        <w:spacing w:after="0" w:line="240" w:lineRule="auto"/>
      </w:pPr>
      <w:r>
        <w:separator/>
      </w:r>
    </w:p>
  </w:footnote>
  <w:footnote w:type="continuationSeparator" w:id="0">
    <w:p w14:paraId="6D35A030" w14:textId="77777777" w:rsidR="00374D34" w:rsidRDefault="00374D34" w:rsidP="00977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25"/>
    <w:rsid w:val="00182C00"/>
    <w:rsid w:val="00242BCC"/>
    <w:rsid w:val="00362B79"/>
    <w:rsid w:val="00374D34"/>
    <w:rsid w:val="003A33F2"/>
    <w:rsid w:val="003A7195"/>
    <w:rsid w:val="003D3F25"/>
    <w:rsid w:val="004F0A0A"/>
    <w:rsid w:val="006E69C2"/>
    <w:rsid w:val="00781A8B"/>
    <w:rsid w:val="007C611B"/>
    <w:rsid w:val="009776D6"/>
    <w:rsid w:val="00A51777"/>
    <w:rsid w:val="00AF425C"/>
    <w:rsid w:val="00B74EE9"/>
    <w:rsid w:val="00D37494"/>
    <w:rsid w:val="00D55808"/>
    <w:rsid w:val="00DA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178D0"/>
  <w15:chartTrackingRefBased/>
  <w15:docId w15:val="{99829609-D55D-4D36-8CC8-28063AAD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0A0A"/>
    <w:rPr>
      <w:sz w:val="16"/>
      <w:szCs w:val="16"/>
    </w:rPr>
  </w:style>
  <w:style w:type="paragraph" w:styleId="CommentText">
    <w:name w:val="annotation text"/>
    <w:basedOn w:val="Normal"/>
    <w:link w:val="CommentTextChar"/>
    <w:uiPriority w:val="99"/>
    <w:semiHidden/>
    <w:unhideWhenUsed/>
    <w:rsid w:val="004F0A0A"/>
    <w:pPr>
      <w:spacing w:line="240" w:lineRule="auto"/>
    </w:pPr>
    <w:rPr>
      <w:sz w:val="20"/>
      <w:szCs w:val="20"/>
    </w:rPr>
  </w:style>
  <w:style w:type="character" w:customStyle="1" w:styleId="CommentTextChar">
    <w:name w:val="Comment Text Char"/>
    <w:basedOn w:val="DefaultParagraphFont"/>
    <w:link w:val="CommentText"/>
    <w:uiPriority w:val="99"/>
    <w:semiHidden/>
    <w:rsid w:val="004F0A0A"/>
    <w:rPr>
      <w:sz w:val="20"/>
      <w:szCs w:val="20"/>
    </w:rPr>
  </w:style>
  <w:style w:type="paragraph" w:styleId="CommentSubject">
    <w:name w:val="annotation subject"/>
    <w:basedOn w:val="CommentText"/>
    <w:next w:val="CommentText"/>
    <w:link w:val="CommentSubjectChar"/>
    <w:uiPriority w:val="99"/>
    <w:semiHidden/>
    <w:unhideWhenUsed/>
    <w:rsid w:val="004F0A0A"/>
    <w:rPr>
      <w:b/>
      <w:bCs/>
    </w:rPr>
  </w:style>
  <w:style w:type="character" w:customStyle="1" w:styleId="CommentSubjectChar">
    <w:name w:val="Comment Subject Char"/>
    <w:basedOn w:val="CommentTextChar"/>
    <w:link w:val="CommentSubject"/>
    <w:uiPriority w:val="99"/>
    <w:semiHidden/>
    <w:rsid w:val="004F0A0A"/>
    <w:rPr>
      <w:b/>
      <w:bCs/>
      <w:sz w:val="20"/>
      <w:szCs w:val="20"/>
    </w:rPr>
  </w:style>
  <w:style w:type="paragraph" w:styleId="BalloonText">
    <w:name w:val="Balloon Text"/>
    <w:basedOn w:val="Normal"/>
    <w:link w:val="BalloonTextChar"/>
    <w:uiPriority w:val="99"/>
    <w:semiHidden/>
    <w:unhideWhenUsed/>
    <w:rsid w:val="004F0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Emory University RSPH</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Gaskins, Audrey Jane</dc:creator>
  <cp:keywords/>
  <dc:description/>
  <cp:lastModifiedBy>Pyne, Oliver (ELS-EXE)</cp:lastModifiedBy>
  <cp:revision>3</cp:revision>
  <dcterms:created xsi:type="dcterms:W3CDTF">2023-02-09T11:37:00Z</dcterms:created>
  <dcterms:modified xsi:type="dcterms:W3CDTF">2023-02-09T11:37:00Z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2022-12-16T16:12:25Z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82f68001-4fcc-411a-87c8-f326a342d7fd</vt:lpwstr>
  </property>
  <property fmtid="{D5CDD505-2E9C-101B-9397-08002B2CF9AE}" pid="8" name="MSIP_Label_8af03ff0-41c5-4c41-b55e-fabb8fae94be_ContentBits">
    <vt:lpwstr>0</vt:lpwstr>
  </property>
  <property fmtid="{D5CDD505-2E9C-101B-9397-08002B2CF9AE}" pid="9" name="MSIP_Label_549ac42a-3eb4-4074-b885-aea26bd6241e_Enabled">
    <vt:lpwstr>true</vt:lpwstr>
  </property>
  <property fmtid="{D5CDD505-2E9C-101B-9397-08002B2CF9AE}" pid="10" name="MSIP_Label_549ac42a-3eb4-4074-b885-aea26bd6241e_SetDate">
    <vt:lpwstr>2023-02-09T11:37:09Z</vt:lpwstr>
  </property>
  <property fmtid="{D5CDD505-2E9C-101B-9397-08002B2CF9AE}" pid="11" name="MSIP_Label_549ac42a-3eb4-4074-b885-aea26bd6241e_Method">
    <vt:lpwstr>Standard</vt:lpwstr>
  </property>
  <property fmtid="{D5CDD505-2E9C-101B-9397-08002B2CF9AE}" pid="12" name="MSIP_Label_549ac42a-3eb4-4074-b885-aea26bd6241e_Name">
    <vt:lpwstr>General Business</vt:lpwstr>
  </property>
  <property fmtid="{D5CDD505-2E9C-101B-9397-08002B2CF9AE}" pid="13" name="MSIP_Label_549ac42a-3eb4-4074-b885-aea26bd6241e_SiteId">
    <vt:lpwstr>9274ee3f-9425-4109-a27f-9fb15c10675d</vt:lpwstr>
  </property>
  <property fmtid="{D5CDD505-2E9C-101B-9397-08002B2CF9AE}" pid="14" name="MSIP_Label_549ac42a-3eb4-4074-b885-aea26bd6241e_ActionId">
    <vt:lpwstr>3d08046f-3247-4428-b9f7-d76dd7259219</vt:lpwstr>
  </property>
  <property fmtid="{D5CDD505-2E9C-101B-9397-08002B2CF9AE}" pid="15" name="MSIP_Label_549ac42a-3eb4-4074-b885-aea26bd6241e_ContentBits">
    <vt:lpwstr>0</vt:lpwstr>
  </property>
</Properties>
</file>