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A12" w14:textId="77777777" w:rsidR="0017752F" w:rsidRDefault="0017752F" w:rsidP="0017752F">
      <w:pPr>
        <w:spacing w:line="240" w:lineRule="auto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Supplemental Table 3. Studies of the Alzheimer’s disease exposome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0"/>
        <w:gridCol w:w="1409"/>
        <w:gridCol w:w="1241"/>
        <w:gridCol w:w="1080"/>
        <w:gridCol w:w="4198"/>
        <w:gridCol w:w="4232"/>
      </w:tblGrid>
      <w:tr w:rsidR="0017752F" w:rsidRPr="00A008A0" w14:paraId="1B501896" w14:textId="77777777" w:rsidTr="00C41682">
        <w:tc>
          <w:tcPr>
            <w:tcW w:w="849" w:type="pct"/>
            <w:gridSpan w:val="2"/>
            <w:vAlign w:val="center"/>
          </w:tcPr>
          <w:p w14:paraId="2EE44025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Exposure</w:t>
            </w:r>
          </w:p>
        </w:tc>
        <w:tc>
          <w:tcPr>
            <w:tcW w:w="479" w:type="pct"/>
            <w:vAlign w:val="center"/>
          </w:tcPr>
          <w:p w14:paraId="057D897C" w14:textId="77777777" w:rsidR="0017752F" w:rsidRPr="008F3BF9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Study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417" w:type="pct"/>
            <w:vAlign w:val="center"/>
          </w:tcPr>
          <w:p w14:paraId="3C101CCF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Country</w:t>
            </w:r>
          </w:p>
        </w:tc>
        <w:tc>
          <w:tcPr>
            <w:tcW w:w="1621" w:type="pct"/>
            <w:vAlign w:val="center"/>
          </w:tcPr>
          <w:p w14:paraId="512E04F8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strike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Study Design</w:t>
            </w:r>
          </w:p>
        </w:tc>
        <w:tc>
          <w:tcPr>
            <w:tcW w:w="1634" w:type="pct"/>
            <w:vAlign w:val="center"/>
          </w:tcPr>
          <w:p w14:paraId="6D817AC7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Main Study Findings</w:t>
            </w:r>
          </w:p>
        </w:tc>
      </w:tr>
      <w:tr w:rsidR="0017752F" w:rsidRPr="00A008A0" w14:paraId="345878B8" w14:textId="77777777" w:rsidTr="00C41682">
        <w:tc>
          <w:tcPr>
            <w:tcW w:w="305" w:type="pct"/>
            <w:vMerge w:val="restart"/>
            <w:textDirection w:val="btLr"/>
            <w:vAlign w:val="center"/>
          </w:tcPr>
          <w:p w14:paraId="6ACBE25E" w14:textId="77777777" w:rsidR="0017752F" w:rsidRPr="00A008A0" w:rsidRDefault="0017752F" w:rsidP="0002225F">
            <w:pPr>
              <w:ind w:left="113" w:right="113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</w:t>
            </w: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2AB832FA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, 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, 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 abs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, 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778859FD" w14:textId="5FDBCF78" w:rsidR="0017752F" w:rsidRPr="00D055CD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Alemany et al. 2021</w:t>
            </w:r>
            <w:r w:rsidR="00D055CD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122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4F12F74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Spain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73B64862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Residential air pollution from 2009 Land Use Regression model; Participant data from Alfa+ Study; CSF AD biomarkers by immunoassays and NeuroToolKit; Adults with AD risk, n=156.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3303D03D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Higher NO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exposure associated with higher Aβ deposition; Higher 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10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and 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exposure associated with higher CSF NfL; Stronger effect of air pollution on CSF NfL in APOE-ε4 carriers.</w:t>
            </w:r>
          </w:p>
        </w:tc>
      </w:tr>
      <w:tr w:rsidR="0017752F" w:rsidRPr="00A008A0" w14:paraId="21E86723" w14:textId="77777777" w:rsidTr="00C41682">
        <w:tc>
          <w:tcPr>
            <w:tcW w:w="305" w:type="pct"/>
            <w:vMerge/>
            <w:vAlign w:val="center"/>
          </w:tcPr>
          <w:p w14:paraId="411C0C67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6C1491EC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exposures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6C2F0803" w14:textId="770E73AF" w:rsidR="0017752F" w:rsidRPr="00DF12A5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Crous-Bou et al. 2020</w:t>
            </w:r>
            <w:r w:rsidR="00DF12A5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121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3534FE7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Spain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0E2D31A7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pollution, noise, and residential green exposure from Land Use Regression models; Participant data from Alfa study; Cognitive function by cognitive assessments and structural brain imaging; Cognitively impaired individuals, n=958.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76D69A3F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No association between urban exposures and cognition; Higher NO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 xml:space="preserve">2 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and 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 xml:space="preserve">10 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exposures associated with lower cortical thickness in regions affected by AD; Greenness indicators associated with greater thickness.</w:t>
            </w:r>
          </w:p>
        </w:tc>
      </w:tr>
      <w:tr w:rsidR="0017752F" w:rsidRPr="00A008A0" w14:paraId="40047514" w14:textId="77777777" w:rsidTr="00C41682">
        <w:tc>
          <w:tcPr>
            <w:tcW w:w="305" w:type="pct"/>
            <w:vMerge/>
            <w:vAlign w:val="center"/>
          </w:tcPr>
          <w:p w14:paraId="6BC9741E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2A788AE7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6D7577E3" w14:textId="33A78A52" w:rsidR="0017752F" w:rsidRPr="009A4402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Younan et al. 2020</w:t>
            </w:r>
            <w:r w:rsidR="009A440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125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E85339A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671989C3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Air pollution from spatiotemporal 3-year 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estimates; Participant data from WHISCA and WHIMS-MRI studies. Cognitive function from brain MRI and California Verbal Learning Test; Participants, n=998. 1999-2010.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59C6F07B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associated with declines in immediate recall and new learning, but not delayed-recall or composite scores; Long-term PM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  <w:vertAlign w:val="subscript"/>
              </w:rPr>
              <w:t>2.5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exposure associated with increased AD pattern similarity scores.</w:t>
            </w:r>
          </w:p>
        </w:tc>
      </w:tr>
      <w:tr w:rsidR="00C41682" w:rsidRPr="00A008A0" w14:paraId="37AE57F0" w14:textId="77777777" w:rsidTr="00C41682">
        <w:trPr>
          <w:cantSplit/>
          <w:trHeight w:val="109"/>
        </w:trPr>
        <w:tc>
          <w:tcPr>
            <w:tcW w:w="305" w:type="pct"/>
            <w:vMerge w:val="restart"/>
            <w:textDirection w:val="btLr"/>
            <w:vAlign w:val="center"/>
          </w:tcPr>
          <w:p w14:paraId="060C444E" w14:textId="77777777" w:rsidR="00C41682" w:rsidRPr="00A008A0" w:rsidRDefault="00C41682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Lifestyle/Diet</w:t>
            </w: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1FA5151E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Diet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1B27DCE5" w14:textId="08507499" w:rsidR="00C41682" w:rsidRPr="00423E42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Klinedinst et al. 2020</w:t>
            </w:r>
            <w:r w:rsidR="00423E4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147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351EB1F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UK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58B5EB5D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Dietary intake from participant completed FFQs through UK Biobank study. Cognitive function by FIT; Participants with familial AD history or APOE-ε, n=1,787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5613263A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Daily cheese intake predicted better FIT scores over time; Weekly lamb improved outcomes; Added salt correlated with decreased performance.</w:t>
            </w:r>
          </w:p>
        </w:tc>
      </w:tr>
      <w:tr w:rsidR="00674A51" w:rsidRPr="00A008A0" w14:paraId="15DEE39F" w14:textId="77777777" w:rsidTr="00C41682">
        <w:trPr>
          <w:cantSplit/>
          <w:trHeight w:val="109"/>
        </w:trPr>
        <w:tc>
          <w:tcPr>
            <w:tcW w:w="305" w:type="pct"/>
            <w:vMerge/>
            <w:textDirection w:val="btLr"/>
            <w:vAlign w:val="center"/>
          </w:tcPr>
          <w:p w14:paraId="58DBDF96" w14:textId="77777777" w:rsidR="00674A51" w:rsidRPr="00A008A0" w:rsidRDefault="00674A51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061D51CA" w14:textId="0D62F4B6" w:rsidR="00674A51" w:rsidRPr="00A008A0" w:rsidRDefault="00674A51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Occupation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2DD7731F" w14:textId="00B5C823" w:rsidR="00674A51" w:rsidRPr="00C708AE" w:rsidRDefault="00674A51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Powell et al. 2023</w:t>
            </w:r>
            <w:r w:rsidR="00C708A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157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3D6843B4" w14:textId="6C6A050E" w:rsidR="00674A51" w:rsidRPr="00A008A0" w:rsidRDefault="00674A51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63FA2941" w14:textId="66DD58FC" w:rsidR="00674A51" w:rsidRPr="00A008A0" w:rsidRDefault="0061140D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Brain tissue from </w:t>
            </w:r>
            <w:r w:rsidR="00611EEE">
              <w:rPr>
                <w:rFonts w:ascii="Arial" w:hAnsi="Arial" w:cs="Arial"/>
                <w:color w:val="000000" w:themeColor="text1"/>
                <w:sz w:val="16"/>
                <w:szCs w:val="16"/>
              </w:rPr>
              <w:t>male decedent donations to ADRCs</w:t>
            </w:r>
            <w:r w:rsidR="005C2ADC">
              <w:rPr>
                <w:rFonts w:ascii="Arial" w:hAnsi="Arial" w:cs="Arial"/>
                <w:color w:val="000000" w:themeColor="text1"/>
                <w:sz w:val="16"/>
                <w:szCs w:val="16"/>
              </w:rPr>
              <w:t>; Participants with categorized neuritic plaque density and neurofibrillary tangles, n</w:t>
            </w:r>
            <w:r w:rsidR="00F514D2">
              <w:rPr>
                <w:rFonts w:ascii="Arial" w:hAnsi="Arial" w:cs="Arial"/>
                <w:color w:val="000000" w:themeColor="text1"/>
                <w:sz w:val="16"/>
                <w:szCs w:val="16"/>
              </w:rPr>
              <w:t>-597.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0F0D8CCA" w14:textId="1CFD83A7" w:rsidR="00674A51" w:rsidRPr="00A008A0" w:rsidRDefault="00F514D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Service in the military associated with neuritic amyloid plaques and tau pathology.</w:t>
            </w:r>
          </w:p>
        </w:tc>
      </w:tr>
      <w:tr w:rsidR="00C41682" w:rsidRPr="00A008A0" w14:paraId="2E619785" w14:textId="77777777" w:rsidTr="00C41682">
        <w:trPr>
          <w:cantSplit/>
          <w:trHeight w:val="854"/>
        </w:trPr>
        <w:tc>
          <w:tcPr>
            <w:tcW w:w="305" w:type="pct"/>
            <w:vMerge/>
            <w:vAlign w:val="center"/>
          </w:tcPr>
          <w:p w14:paraId="36705600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0EA0003D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Flavonoids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2B35ED84" w14:textId="31FD7104" w:rsidR="00C41682" w:rsidRPr="004463E8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Shishtar et al. 2020</w:t>
            </w:r>
            <w:r w:rsidR="004463E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146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EE5B41F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5D3BFAED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Dietary intake from participant completed FFQ through Framingham Offspring Study Cohort; Participants, n=2801; ADRD events, n=193; AD events (of ADRD events), n=158; 1991-2014.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611644FD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Highest flavonol, anthocyanin, and flavonoid polymer intake associated with lower ADRD risk compared to lowest intake; Similar AD risk associations for flavonols and anthocyanins, but not flavonoid polymers.</w:t>
            </w:r>
          </w:p>
        </w:tc>
      </w:tr>
      <w:tr w:rsidR="00C41682" w:rsidRPr="00A008A0" w14:paraId="37C6CF20" w14:textId="77777777" w:rsidTr="00C41682">
        <w:trPr>
          <w:cantSplit/>
          <w:trHeight w:val="109"/>
        </w:trPr>
        <w:tc>
          <w:tcPr>
            <w:tcW w:w="305" w:type="pct"/>
            <w:vMerge/>
            <w:vAlign w:val="center"/>
          </w:tcPr>
          <w:p w14:paraId="70FE9B96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72A3B443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MD, MIND diet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0D476867" w14:textId="62999F08" w:rsidR="00C41682" w:rsidRPr="00A64E0B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Wesselman et al. 2021</w:t>
            </w:r>
            <w:r w:rsidR="00A64E0B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145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077CE6DA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Germany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5DB0EBD8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Diet data from participant completed FFQs through German DELCODE study; Cognitive function by CERAD neuropsychological test battery; Dietary patterns by PCA; Participants, n=389.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6754B594" w14:textId="77777777" w:rsidR="00C41682" w:rsidRPr="00A008A0" w:rsidRDefault="00C41682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MD and MIND diet associated with better memory; MD and MIND diets related to language functions when MCI subjects excluded.</w:t>
            </w:r>
          </w:p>
        </w:tc>
      </w:tr>
      <w:tr w:rsidR="0017752F" w:rsidRPr="00A008A0" w14:paraId="44870F36" w14:textId="77777777" w:rsidTr="00C41682">
        <w:trPr>
          <w:cantSplit/>
          <w:trHeight w:val="656"/>
        </w:trPr>
        <w:tc>
          <w:tcPr>
            <w:tcW w:w="305" w:type="pct"/>
            <w:vMerge w:val="restart"/>
            <w:textDirection w:val="btLr"/>
            <w:vAlign w:val="center"/>
          </w:tcPr>
          <w:p w14:paraId="6104C8BA" w14:textId="77777777" w:rsidR="0017752F" w:rsidRPr="00A008A0" w:rsidRDefault="0017752F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Metal</w:t>
            </w: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0F957A10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Multiple metals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74788044" w14:textId="0DB9535D" w:rsidR="0017752F" w:rsidRPr="009F4F21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Babic Leko et al. 2022</w:t>
            </w:r>
            <w:r w:rsidR="009F4F21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136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DDDA358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Croatia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4AD03D83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Blood samples from participants recruited through University Hospital Center Zagreb and General Hospital Varazdin; CSF AD biomarkers by ELISA; CSF and plasma macro- and micro-elements by ICP-MS; AD, n=124; MCI, n=50; HC, n=10. 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31D49C90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Heavy, essential, and essential non-metals positively associate with CSF AD biomarkers.</w:t>
            </w:r>
          </w:p>
        </w:tc>
      </w:tr>
      <w:tr w:rsidR="0017752F" w:rsidRPr="00A008A0" w14:paraId="2DA6BCD5" w14:textId="77777777" w:rsidTr="00C41682">
        <w:trPr>
          <w:cantSplit/>
          <w:trHeight w:val="359"/>
        </w:trPr>
        <w:tc>
          <w:tcPr>
            <w:tcW w:w="305" w:type="pct"/>
            <w:vMerge/>
            <w:vAlign w:val="center"/>
          </w:tcPr>
          <w:p w14:paraId="0C5F6EBA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44277C75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As, Cr, Se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39DE78C2" w14:textId="277E3686" w:rsidR="0017752F" w:rsidRPr="00871C35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Strumylaite et al. 2022</w:t>
            </w:r>
            <w:r w:rsidR="00871C35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139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26CB85AB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Lithuania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68D3A6C5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Urine and blood samples from participants recruited through Lithuanian University of Health Sciences hospitals; Urinary and blood metal levels by ICP-MS; AD, n=53; HC, n=217. 2018-2020.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1AB1AF82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Higher As and Cr and lower Se in AD; Increased Se associated with lower AD risk. Increased Cr associated with increased AD risk. As and AD risk not associated.</w:t>
            </w:r>
          </w:p>
        </w:tc>
      </w:tr>
      <w:tr w:rsidR="0017752F" w:rsidRPr="00A008A0" w14:paraId="2D69B52C" w14:textId="77777777" w:rsidTr="00C41682">
        <w:trPr>
          <w:cantSplit/>
          <w:trHeight w:val="359"/>
        </w:trPr>
        <w:tc>
          <w:tcPr>
            <w:tcW w:w="305" w:type="pct"/>
            <w:vMerge/>
            <w:vAlign w:val="center"/>
          </w:tcPr>
          <w:p w14:paraId="70A71077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542FA44F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Cd, Pb, Hg, Se, As 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42BF46F0" w14:textId="38413610" w:rsidR="0017752F" w:rsidRPr="0032499C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Yang et al. 2018</w:t>
            </w:r>
            <w:r w:rsidR="0032499C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137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3F112FAB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Taiwan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115E7BBB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Blood samples from participants recruited at China Medical University Hospital; Cognitive function by MMSE and CDR scale; Blood metal levels by ICP-MS; AD, n=170; HC, n=264. 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70BD68C8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High inorganic As, low median Se, and low DMA increased AD risk.</w:t>
            </w:r>
          </w:p>
        </w:tc>
      </w:tr>
      <w:tr w:rsidR="0017752F" w:rsidRPr="00A008A0" w14:paraId="1DA843C1" w14:textId="77777777" w:rsidTr="00C41682">
        <w:trPr>
          <w:cantSplit/>
          <w:trHeight w:val="458"/>
        </w:trPr>
        <w:tc>
          <w:tcPr>
            <w:tcW w:w="305" w:type="pct"/>
            <w:vMerge w:val="restart"/>
            <w:textDirection w:val="btLr"/>
            <w:vAlign w:val="center"/>
          </w:tcPr>
          <w:p w14:paraId="4B581DD8" w14:textId="77777777" w:rsidR="0017752F" w:rsidRPr="00A008A0" w:rsidRDefault="0017752F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Microbiome/Infectious Agent</w:t>
            </w: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0E7DBE8A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Intestinal microbiota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09036A29" w14:textId="19A1F4FB" w:rsidR="0017752F" w:rsidRPr="00115C61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Haran et al. 2019</w:t>
            </w:r>
            <w:r w:rsidR="00115C61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149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630C58F2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6BBD22A3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Stool samples from nursing home elders; Dementia severity by CDR; P-gp expression by T84 intestinal epithelial cell functional assays and flow cytometry; </w:t>
            </w:r>
            <w:r w:rsidRPr="00A008A0">
              <w:rPr>
                <w:rFonts w:ascii="Arial" w:hAnsi="Arial" w:cs="Arial"/>
                <w:sz w:val="16"/>
                <w:szCs w:val="16"/>
              </w:rPr>
              <w:t>Differences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in bacterial species by machine learning approaches; Nursing home elders, n=108.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51E6C88A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Microbial taxa and functional genes predicted AD; Stool from AD induced lower P-glycoprotein; Lower butyrate-producing bacteria and higher bacteria known to cause pro-inflammatory states in AD microbiome.</w:t>
            </w:r>
          </w:p>
        </w:tc>
      </w:tr>
      <w:tr w:rsidR="0017752F" w:rsidRPr="00A008A0" w14:paraId="637AB16B" w14:textId="77777777" w:rsidTr="00C41682">
        <w:trPr>
          <w:cantSplit/>
          <w:trHeight w:val="458"/>
        </w:trPr>
        <w:tc>
          <w:tcPr>
            <w:tcW w:w="305" w:type="pct"/>
            <w:vMerge/>
            <w:vAlign w:val="center"/>
          </w:tcPr>
          <w:p w14:paraId="5B3C12FC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2AB13F84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Bile acids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6CDE68FE" w14:textId="7ECA4251" w:rsidR="0017752F" w:rsidRPr="001E73F3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Mahmoudia nDehkordi et al. 2019</w:t>
            </w:r>
            <w:r w:rsidR="001E73F3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151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2B6EC166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USA, Netherlands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52FE39E6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Participant data from ADNI database, ROS/</w:t>
            </w:r>
            <w:r w:rsidRPr="00A008A0">
              <w:rPr>
                <w:rFonts w:ascii="Arial" w:hAnsi="Arial" w:cs="Arial"/>
                <w:sz w:val="16"/>
                <w:szCs w:val="16"/>
              </w:rPr>
              <w:t>MAP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, and RS; Serum bile acid levels by targeted metabolomics; AD, n=305; Early MCI, n=505; Later MCI, n=305; HC, n=284.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7E001035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Lower serum cholic acid and increased deoxycholic acid in AD. Increased ratio of deosycholic acid:cholic acid associated with cognitive decline. Genetic variants in immune response-related genes implicated in AD associated with bile acid profiles.</w:t>
            </w:r>
          </w:p>
        </w:tc>
      </w:tr>
      <w:tr w:rsidR="0017752F" w:rsidRPr="00A008A0" w14:paraId="56A0560C" w14:textId="77777777" w:rsidTr="00C41682">
        <w:trPr>
          <w:cantSplit/>
          <w:trHeight w:val="458"/>
        </w:trPr>
        <w:tc>
          <w:tcPr>
            <w:tcW w:w="305" w:type="pct"/>
            <w:vMerge/>
            <w:vAlign w:val="center"/>
          </w:tcPr>
          <w:p w14:paraId="74F552EC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027B2E03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Oral microbiome, alcohol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4AA0C962" w14:textId="58BEA7E5" w:rsidR="0017752F" w:rsidRPr="00834B6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Yussof et al. 2020</w:t>
            </w:r>
            <w:r w:rsidR="00834B60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152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155A9976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4FBDFAB7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Oral microbiome data from SRA and Disbiome Database; Pathway activation from binge drinking by Qiagen IPA; Non-drinkers, n=270; Binge drinkers, n=160. 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464816D2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High ethanol in binge drinkers shifts the oral microbiome which leads to AD through activation of eIF2, regulation of eIF4 and p70S6K signaling, and mTOR signaling pathways.</w:t>
            </w:r>
          </w:p>
        </w:tc>
      </w:tr>
      <w:tr w:rsidR="0017752F" w:rsidRPr="00A008A0" w14:paraId="71274C09" w14:textId="77777777" w:rsidTr="00C41682">
        <w:trPr>
          <w:cantSplit/>
          <w:trHeight w:val="458"/>
        </w:trPr>
        <w:tc>
          <w:tcPr>
            <w:tcW w:w="305" w:type="pct"/>
            <w:vMerge w:val="restart"/>
            <w:textDirection w:val="btLr"/>
            <w:vAlign w:val="center"/>
          </w:tcPr>
          <w:p w14:paraId="6011E971" w14:textId="77777777" w:rsidR="0017752F" w:rsidRPr="00A008A0" w:rsidRDefault="0017752F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Pesticide/POP/OCP</w:t>
            </w: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2A358126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OCPs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61A85443" w14:textId="5146C467" w:rsidR="0017752F" w:rsidRPr="00B24092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Kiani et al. 2023</w:t>
            </w:r>
            <w:r w:rsidR="00B24092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133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11B576CB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Iran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799B0529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Serum OCP levels by GC; Enzyme activity by biochemical assay; AD, n=63; HC, n=50.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4B21F7AC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Mean OCP levels higher in AD; Total antioxidant capacity and antioxidant enzyme activity lower in AD; Positive correlation between 2,4-DDE and MDA and between γ-HCH and PC in AD. </w:t>
            </w:r>
          </w:p>
        </w:tc>
      </w:tr>
      <w:tr w:rsidR="0017752F" w:rsidRPr="00A008A0" w14:paraId="7C2801B6" w14:textId="77777777" w:rsidTr="00C41682">
        <w:trPr>
          <w:cantSplit/>
          <w:trHeight w:val="458"/>
        </w:trPr>
        <w:tc>
          <w:tcPr>
            <w:tcW w:w="305" w:type="pct"/>
            <w:vMerge/>
            <w:textDirection w:val="btLr"/>
            <w:vAlign w:val="center"/>
          </w:tcPr>
          <w:p w14:paraId="0B9CEB36" w14:textId="77777777" w:rsidR="0017752F" w:rsidRPr="00A008A0" w:rsidRDefault="0017752F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1DF82680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Agricultural work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53E9B299" w14:textId="0ED85078" w:rsidR="0017752F" w:rsidRPr="002704FE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Li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</w:t>
            </w: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et al. 2023</w:t>
            </w:r>
            <w:r w:rsidR="002704FE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132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477576F7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China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0061C457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Occupation and blood samples from patients recruited through Puer People’s Hospital. Uric acid by biochemical analysis; AD or dementia, n=306. 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41B5F294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No association between AD and agricultural work; No difference in proportion of agricultural workers in AD and vascular dementia groups; Uric acid reduced in AD compared to vascular dementia.</w:t>
            </w:r>
          </w:p>
        </w:tc>
      </w:tr>
      <w:tr w:rsidR="0017752F" w:rsidRPr="00A008A0" w14:paraId="1F666F3A" w14:textId="77777777" w:rsidTr="00C41682">
        <w:trPr>
          <w:cantSplit/>
          <w:trHeight w:val="458"/>
        </w:trPr>
        <w:tc>
          <w:tcPr>
            <w:tcW w:w="305" w:type="pct"/>
            <w:vMerge/>
            <w:textDirection w:val="btLr"/>
            <w:vAlign w:val="center"/>
          </w:tcPr>
          <w:p w14:paraId="25D6AB90" w14:textId="77777777" w:rsidR="0017752F" w:rsidRPr="00A008A0" w:rsidRDefault="0017752F" w:rsidP="0002225F">
            <w:pPr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37808450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PCBs, OCPs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5860B219" w14:textId="65FA8FE9" w:rsidR="0017752F" w:rsidRPr="00783898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Medehouenou et al. 2019</w:t>
            </w:r>
            <w:r w:rsidR="00783898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135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109D5C66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Canada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7FEE7D6F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Participant data and blood samples from CSHA; Cognitive function from modified MMSE; Plasma PCB and OCP levels by GC-MS or ICP-MS; AD, n=108; Dementia, n=156; HC, n=405; 1991-2002. 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7B4EF6FE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No association between PCB and OCPs and dementia or AD risk; Elevated PCBs and OCPs associated with cognitive decline. </w:t>
            </w:r>
          </w:p>
        </w:tc>
      </w:tr>
      <w:tr w:rsidR="0017752F" w:rsidRPr="00A008A0" w14:paraId="3A2064CD" w14:textId="77777777" w:rsidTr="00C41682">
        <w:trPr>
          <w:cantSplit/>
          <w:trHeight w:val="458"/>
        </w:trPr>
        <w:tc>
          <w:tcPr>
            <w:tcW w:w="305" w:type="pct"/>
            <w:vMerge/>
            <w:vAlign w:val="center"/>
          </w:tcPr>
          <w:p w14:paraId="37C5CEC6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4" w:type="pct"/>
            <w:shd w:val="clear" w:color="auto" w:fill="FFFFFF" w:themeFill="background1"/>
            <w:vAlign w:val="center"/>
          </w:tcPr>
          <w:p w14:paraId="3A9A5F71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TCP</w:t>
            </w:r>
          </w:p>
        </w:tc>
        <w:tc>
          <w:tcPr>
            <w:tcW w:w="479" w:type="pct"/>
            <w:shd w:val="clear" w:color="auto" w:fill="FFFFFF" w:themeFill="background1"/>
            <w:vAlign w:val="center"/>
          </w:tcPr>
          <w:p w14:paraId="4F4C3FE7" w14:textId="3C044FC5" w:rsidR="0017752F" w:rsidRPr="00723C1D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Zhao et al. 2022</w:t>
            </w:r>
            <w:r w:rsidR="00723C1D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134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14:paraId="3B3C5031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USA</w:t>
            </w:r>
          </w:p>
        </w:tc>
        <w:tc>
          <w:tcPr>
            <w:tcW w:w="1621" w:type="pct"/>
            <w:shd w:val="clear" w:color="auto" w:fill="FFFFFF" w:themeFill="background1"/>
            <w:vAlign w:val="center"/>
          </w:tcPr>
          <w:p w14:paraId="13DD4863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Participant data and urine samples from NHANES; Urinary TCPs by LC-IDMS/MS; Participants, n=6,333. 2003-2010. </w:t>
            </w:r>
          </w:p>
        </w:tc>
        <w:tc>
          <w:tcPr>
            <w:tcW w:w="1634" w:type="pct"/>
            <w:shd w:val="clear" w:color="auto" w:fill="FFFFFF" w:themeFill="background1"/>
            <w:vAlign w:val="center"/>
          </w:tcPr>
          <w:p w14:paraId="2B2EB69D" w14:textId="77777777" w:rsidR="0017752F" w:rsidRPr="00A008A0" w:rsidRDefault="0017752F" w:rsidP="0002225F">
            <w:pPr>
              <w:contextualSpacing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008A0">
              <w:rPr>
                <w:rFonts w:ascii="Arial" w:hAnsi="Arial" w:cs="Arial"/>
                <w:color w:val="000000" w:themeColor="text1"/>
                <w:sz w:val="16"/>
                <w:szCs w:val="16"/>
              </w:rPr>
              <w:t>Higher urinary 2,4,6-TCP increased AD risk; Higher 2,4,5-TCP increased PD risk and death.</w:t>
            </w:r>
          </w:p>
        </w:tc>
      </w:tr>
    </w:tbl>
    <w:p w14:paraId="07C7D60E" w14:textId="77777777" w:rsidR="0017752F" w:rsidRPr="008F3BF9" w:rsidRDefault="0017752F" w:rsidP="0017752F">
      <w:pPr>
        <w:spacing w:line="240" w:lineRule="auto"/>
        <w:contextualSpacing/>
        <w:rPr>
          <w:rFonts w:ascii="Arial" w:hAnsi="Arial" w:cs="Arial"/>
          <w:color w:val="000000" w:themeColor="text1"/>
          <w:sz w:val="14"/>
          <w:szCs w:val="14"/>
        </w:rPr>
      </w:pPr>
      <w:r w:rsidRPr="008F3BF9">
        <w:rPr>
          <w:rFonts w:ascii="Arial" w:hAnsi="Arial" w:cs="Arial"/>
          <w:color w:val="000000" w:themeColor="text1"/>
          <w:sz w:val="14"/>
          <w:szCs w:val="14"/>
          <w:vertAlign w:val="superscript"/>
        </w:rPr>
        <w:t>a</w:t>
      </w:r>
      <w:r w:rsidRPr="008F3BF9">
        <w:rPr>
          <w:rFonts w:ascii="Arial" w:hAnsi="Arial" w:cs="Arial"/>
          <w:color w:val="000000" w:themeColor="text1"/>
          <w:sz w:val="14"/>
          <w:szCs w:val="14"/>
        </w:rPr>
        <w:t>Table includes primary research studies published between 201</w:t>
      </w:r>
      <w:r>
        <w:rPr>
          <w:rFonts w:ascii="Arial" w:hAnsi="Arial" w:cs="Arial"/>
          <w:color w:val="000000" w:themeColor="text1"/>
          <w:sz w:val="14"/>
          <w:szCs w:val="14"/>
        </w:rPr>
        <w:t>8</w:t>
      </w:r>
      <w:r w:rsidRPr="008F3BF9">
        <w:rPr>
          <w:rFonts w:ascii="Arial" w:hAnsi="Arial" w:cs="Arial"/>
          <w:color w:val="000000" w:themeColor="text1"/>
          <w:sz w:val="14"/>
          <w:szCs w:val="14"/>
        </w:rPr>
        <w:t>-2023 with an n &gt; 50.</w:t>
      </w:r>
    </w:p>
    <w:p w14:paraId="186B98CD" w14:textId="77777777" w:rsidR="0017752F" w:rsidRPr="001E407B" w:rsidRDefault="0017752F" w:rsidP="0017752F">
      <w:pPr>
        <w:spacing w:line="240" w:lineRule="auto"/>
        <w:contextualSpacing/>
        <w:rPr>
          <w:rFonts w:ascii="Arial" w:hAnsi="Arial" w:cs="Arial"/>
          <w:sz w:val="14"/>
          <w:szCs w:val="14"/>
        </w:rPr>
      </w:pPr>
      <w:r w:rsidRPr="001E407B">
        <w:rPr>
          <w:rFonts w:ascii="Arial" w:hAnsi="Arial" w:cs="Arial"/>
          <w:sz w:val="14"/>
          <w:szCs w:val="14"/>
        </w:rPr>
        <w:t>AD, Alzheimer’s disease; ADNI, Alzheimer’s Disease Neuroimaging Initiative; ADRD, Alzheimer’s disease and related dementias; CDR, clinical dementia rating; CERAD, Consortium to Establish a Registry for Alzheimer’s Disease; CSF, cerebrospinal fluid; CSHA, Canadian Study of Health and Aging; DDE, dichlorodiphenyldichloroethylene; DELCODE, DZNE Longitudinal Cognitive Impairment and Dementia Study; DMA, dimethylarsinic acid; FFQs, food frequency questionnaires; FIT, fluid intelligence test; GC, gas chromatography; HC, healthy controls; HCH, hexachlorocyclohexane;  ICP-MS, inductively coupled plasma mass spectrometry; IPA, Ingenuity Pathway Analysis; LC-ICMS/MS, liquid chromatography-isotope dilution mass spectrometry; MCI, mild cognitive impairment; MDA, malondialdehyde; MD, Mediterranean diet; MIND, Mediterranean-Dash Intervention for Neurodegenerative Delay; MMSE, Mini Mental State Examination; NfL, neurofilament light; NHANES, National Health and Nutrition Examination Survey; OCPs, organochloride pesticides;</w:t>
      </w:r>
      <w:r w:rsidRPr="001E407B">
        <w:rPr>
          <w:rFonts w:ascii="Arial" w:hAnsi="Arial" w:cs="Arial"/>
          <w:color w:val="FF0000"/>
          <w:sz w:val="14"/>
          <w:szCs w:val="14"/>
        </w:rPr>
        <w:t xml:space="preserve"> </w:t>
      </w:r>
      <w:r w:rsidRPr="001E407B">
        <w:rPr>
          <w:rFonts w:ascii="Arial" w:hAnsi="Arial" w:cs="Arial"/>
          <w:sz w:val="14"/>
          <w:szCs w:val="14"/>
        </w:rPr>
        <w:t xml:space="preserve">PC, protein carbonyl; PCA, principle component analysis; PCBs, polychlorinated biphenyls; PD, Parkinson’s disease; P-gp, p-glycoprotein; ROS/MAP, Religious Orders Study and the Rush Memory and Aging Project; RS, Rotterdam study; SRA, Sequence Read Archive; TCP, trichlorophenol; UFPM, ultrafine particulate matter; WHIMS-MRI, Women’s Health Initiative Memory Study-Magnetic Resonance Imaging; WHISCA, Women’s Health Initiative Study of Cognitive Aging. </w:t>
      </w:r>
    </w:p>
    <w:p w14:paraId="36CA01FB" w14:textId="77777777" w:rsidR="00630C6F" w:rsidRDefault="00630C6F"/>
    <w:sectPr w:rsidR="00630C6F" w:rsidSect="00292D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E2"/>
    <w:rsid w:val="00115C61"/>
    <w:rsid w:val="0017752F"/>
    <w:rsid w:val="001E73F3"/>
    <w:rsid w:val="002704FE"/>
    <w:rsid w:val="00292DF2"/>
    <w:rsid w:val="002B605F"/>
    <w:rsid w:val="0032499C"/>
    <w:rsid w:val="00423E42"/>
    <w:rsid w:val="004463E8"/>
    <w:rsid w:val="005C2ADC"/>
    <w:rsid w:val="0061140D"/>
    <w:rsid w:val="00611EEE"/>
    <w:rsid w:val="00630C6F"/>
    <w:rsid w:val="00667538"/>
    <w:rsid w:val="00674A51"/>
    <w:rsid w:val="00723C1D"/>
    <w:rsid w:val="00783898"/>
    <w:rsid w:val="00834B60"/>
    <w:rsid w:val="00871C35"/>
    <w:rsid w:val="008B4436"/>
    <w:rsid w:val="009508B7"/>
    <w:rsid w:val="009A4402"/>
    <w:rsid w:val="009F4F21"/>
    <w:rsid w:val="00A64E0B"/>
    <w:rsid w:val="00B24092"/>
    <w:rsid w:val="00B72972"/>
    <w:rsid w:val="00BB65BB"/>
    <w:rsid w:val="00C41682"/>
    <w:rsid w:val="00C708AE"/>
    <w:rsid w:val="00D055CD"/>
    <w:rsid w:val="00DF12A5"/>
    <w:rsid w:val="00EB75E2"/>
    <w:rsid w:val="00F44077"/>
    <w:rsid w:val="00F5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367D2"/>
  <w15:chartTrackingRefBased/>
  <w15:docId w15:val="{2536BFE0-2814-4CCE-A098-28376592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F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D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5edeacc-abe5-42fd-9fbc-9594aaf2e33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6D110B0547A4FB57F6C0E54572786" ma:contentTypeVersion="10" ma:contentTypeDescription="Create a new document." ma:contentTypeScope="" ma:versionID="3a9133287d692b9c05f6edbd71361e66">
  <xsd:schema xmlns:xsd="http://www.w3.org/2001/XMLSchema" xmlns:xs="http://www.w3.org/2001/XMLSchema" xmlns:p="http://schemas.microsoft.com/office/2006/metadata/properties" xmlns:ns1="http://schemas.microsoft.com/sharepoint/v3" xmlns:ns2="d5edeacc-abe5-42fd-9fbc-9594aaf2e339" targetNamespace="http://schemas.microsoft.com/office/2006/metadata/properties" ma:root="true" ma:fieldsID="0cb690a4fc8913ae97b720c6117bfbb6" ns1:_="" ns2:_="">
    <xsd:import namespace="http://schemas.microsoft.com/sharepoint/v3"/>
    <xsd:import namespace="d5edeacc-abe5-42fd-9fbc-9594aaf2e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eacc-abe5-42fd-9fbc-9594aaf2e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418ee26-5d9c-4ec3-852e-438ad73c3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1B434-A159-47D2-B0F1-F05BCD45C1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deacc-abe5-42fd-9fbc-9594aaf2e339"/>
  </ds:schemaRefs>
</ds:datastoreItem>
</file>

<file path=customXml/itemProps2.xml><?xml version="1.0" encoding="utf-8"?>
<ds:datastoreItem xmlns:ds="http://schemas.openxmlformats.org/officeDocument/2006/customXml" ds:itemID="{845DF9FB-7413-4E23-80AC-D1A127900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deacc-abe5-42fd-9fbc-9594aaf2e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27C13-C19A-480E-B2BD-EB85AE66E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1219</Words>
  <Characters>6953</Characters>
  <Application>Microsoft Office Word</Application>
  <DocSecurity>0</DocSecurity>
  <Lines>57</Lines>
  <Paragraphs>16</Paragraphs>
  <ScaleCrop>false</ScaleCrop>
  <Company>Michigan Medicine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Koubek, Emily</dc:creator>
  <cp:keywords/>
  <dc:description/>
  <cp:lastModifiedBy>Koubek, Emily</cp:lastModifiedBy>
  <cp:revision>29</cp:revision>
  <dcterms:created xsi:type="dcterms:W3CDTF">2024-01-04T18:19:00Z</dcterms:created>
  <dcterms:modified xsi:type="dcterms:W3CDTF">2024-02-02T14:24:00Z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0x0101004656D110B0547A4FB57F6C0E54572786</vt:lpwstr>
  </property>
  <property fmtid="{D5CDD505-2E9C-101B-9397-08002B2CF9AE}" pid="3" name="MediaServiceImageTags">
    <vt:lpwstr/>
  </property>
</Properties>
</file>