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7C" w:rsidRDefault="00F6437C" w:rsidP="00F6437C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6437C" w:rsidRDefault="00F6437C" w:rsidP="00F6437C">
      <w:pPr>
        <w:rPr>
          <w:rFonts w:ascii="Arial" w:hAnsi="Arial" w:cs="Arial"/>
          <w:b/>
          <w:sz w:val="24"/>
        </w:rPr>
      </w:pPr>
      <w:r w:rsidRPr="00235744">
        <w:rPr>
          <w:rFonts w:ascii="Arial" w:hAnsi="Arial" w:cs="Arial"/>
          <w:b/>
          <w:sz w:val="24"/>
        </w:rPr>
        <w:t>Appendix A: Defining chronic conditions in the HIV Outpatient Study database</w:t>
      </w:r>
    </w:p>
    <w:p w:rsidR="00F6437C" w:rsidRPr="00235744" w:rsidRDefault="00F6437C" w:rsidP="00F6437C">
      <w:pPr>
        <w:rPr>
          <w:rFonts w:ascii="Arial" w:hAnsi="Arial" w:cs="Arial"/>
          <w:b/>
          <w:i/>
          <w:sz w:val="24"/>
        </w:rPr>
      </w:pPr>
    </w:p>
    <w:tbl>
      <w:tblPr>
        <w:tblW w:w="137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3490"/>
        <w:gridCol w:w="2743"/>
        <w:gridCol w:w="3780"/>
        <w:gridCol w:w="1944"/>
      </w:tblGrid>
      <w:tr w:rsidR="00F6437C" w:rsidRPr="00AD0467" w:rsidTr="008737DA">
        <w:trPr>
          <w:tblHeader/>
          <w:jc w:val="right"/>
        </w:trPr>
        <w:tc>
          <w:tcPr>
            <w:tcW w:w="1795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Condition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Diagnoses</w:t>
            </w:r>
          </w:p>
        </w:tc>
        <w:tc>
          <w:tcPr>
            <w:tcW w:w="2743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Labs / Measurements</w:t>
            </w:r>
          </w:p>
        </w:tc>
        <w:tc>
          <w:tcPr>
            <w:tcW w:w="378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Treatments / Procedures</w:t>
            </w:r>
          </w:p>
        </w:tc>
        <w:tc>
          <w:tcPr>
            <w:tcW w:w="1944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F6437C" w:rsidRPr="00AD0467" w:rsidTr="008737DA">
        <w:trPr>
          <w:jc w:val="right"/>
        </w:trPr>
        <w:tc>
          <w:tcPr>
            <w:tcW w:w="1795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Cardiovascular Disease (including stroke)</w:t>
            </w:r>
          </w:p>
        </w:tc>
        <w:tc>
          <w:tcPr>
            <w:tcW w:w="349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myocardial infarction,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angina,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coronary artery disease,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heart stenting,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cerebrovascular accident,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transient ischemic attack,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peripheral vascular disease,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aneurysm,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other vascular where “claudication” is specified.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cardiomyopathy,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cardiomegaly, 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congestive heart failure,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cor pulmonale,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mitral valve regurgitation, prolapse and stenosis,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aortic valve stenosis,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aortic valve regurgitation,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tricuspid valve regurgitation,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cardiac arrhythmias,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right ventricular heart failure,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endocarditis,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myocarditis,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pulmonary hypertension.</w:t>
            </w:r>
          </w:p>
        </w:tc>
        <w:tc>
          <w:tcPr>
            <w:tcW w:w="2743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8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bypass surgery,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angioplasty,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stent if ‘heart’ or ‘coronary’ also listed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valve surgery</w:t>
            </w:r>
          </w:p>
        </w:tc>
        <w:tc>
          <w:tcPr>
            <w:tcW w:w="1944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Diagnosis or Treatment alone can put patient in this category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37C" w:rsidRPr="00AD0467" w:rsidTr="008737DA">
        <w:trPr>
          <w:cantSplit/>
          <w:jc w:val="right"/>
        </w:trPr>
        <w:tc>
          <w:tcPr>
            <w:tcW w:w="1795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Diabetes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(distinct from impaired glucose control, below)</w:t>
            </w:r>
          </w:p>
        </w:tc>
        <w:tc>
          <w:tcPr>
            <w:tcW w:w="349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Diabetes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</w:pPr>
            <w:r w:rsidRPr="00AD0467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Fasting labs – one required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04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fasting glucose &gt; 125 mg/dL, ≥ 7 mmol/l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04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glucose 2-hour test result  &gt; 200 mg/dL or ≥ 11 mmol/l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</w:pPr>
            <w:r w:rsidRPr="00AD0467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Non-fasting (random) labs – two required: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04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Glucose &gt; 200 mg/dL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HGBA1C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≥ </w:t>
            </w:r>
            <w:r w:rsidRPr="00AD0467">
              <w:rPr>
                <w:rFonts w:ascii="Arial" w:hAnsi="Arial" w:cs="Arial"/>
                <w:sz w:val="22"/>
                <w:szCs w:val="22"/>
              </w:rPr>
              <w:t xml:space="preserve">7.0% x 2 </w:t>
            </w:r>
          </w:p>
          <w:p w:rsidR="00F6437C" w:rsidRPr="00AD0467" w:rsidRDefault="00F6437C" w:rsidP="008737DA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Use of the following treatments for at least 30 continuous days: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insulin, Glucotrol, Glucovance, Glucophage, or other antidiabetic.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AD0467">
              <w:rPr>
                <w:rFonts w:ascii="Arial" w:hAnsi="Arial" w:cs="Arial"/>
                <w:b/>
                <w:sz w:val="22"/>
                <w:szCs w:val="22"/>
              </w:rPr>
              <w:t>two</w:t>
            </w:r>
            <w:r w:rsidRPr="00AD0467">
              <w:rPr>
                <w:rFonts w:ascii="Arial" w:hAnsi="Arial" w:cs="Arial"/>
                <w:sz w:val="22"/>
                <w:szCs w:val="22"/>
              </w:rPr>
              <w:t xml:space="preserve"> of the following are required for a diabetes  determination.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: diagnosis,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2 non-fasting or 1 fasting lab,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or treatment,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37C" w:rsidRPr="00AD0467" w:rsidTr="008737DA">
        <w:trPr>
          <w:cantSplit/>
          <w:jc w:val="right"/>
        </w:trPr>
        <w:tc>
          <w:tcPr>
            <w:tcW w:w="1795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3. Dyslipidemia</w:t>
            </w:r>
          </w:p>
        </w:tc>
        <w:tc>
          <w:tcPr>
            <w:tcW w:w="349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hypercholesterolemia, hyperlipidemia, hypertriglyceridemia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Fasting labs (require only one). All units are mg/dL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Total Cholesterol ≥ 240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LDL </w:t>
            </w:r>
            <w:r w:rsidRPr="00AD04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≥ </w:t>
            </w:r>
            <w:r w:rsidRPr="00AD0467">
              <w:rPr>
                <w:rFonts w:ascii="Arial" w:hAnsi="Arial" w:cs="Arial"/>
                <w:sz w:val="22"/>
                <w:szCs w:val="22"/>
              </w:rPr>
              <w:t xml:space="preserve"> 160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HDL &lt; 40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triglycerides &gt; 200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Non-fasting labs (require only one)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Total Cholesterol ≥ 240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HDL &lt; 40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Use</w:t>
            </w:r>
            <w:r w:rsidRPr="00AD04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0467">
              <w:rPr>
                <w:rFonts w:ascii="Arial" w:hAnsi="Arial" w:cs="Arial"/>
                <w:sz w:val="22"/>
                <w:szCs w:val="22"/>
              </w:rPr>
              <w:t xml:space="preserve">of antilipemics: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Lipitor, Lopid, Tricor, Lescol,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Pravachol, Mevacor, Zocor,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Cholestyramine, Atromid S,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Baycol, Niaspan,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Crestor, Zetia, Vytorin, Advicor,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Lovaza, Caduet or other antilipemics.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Vitamins/supplements/other alternate therapy  if “omega”, “fish”, or “omacor” are also listed in the additional description variable.</w:t>
            </w:r>
          </w:p>
        </w:tc>
        <w:tc>
          <w:tcPr>
            <w:tcW w:w="1944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AD0467">
              <w:rPr>
                <w:rFonts w:ascii="Arial" w:hAnsi="Arial" w:cs="Arial"/>
                <w:b/>
                <w:sz w:val="22"/>
                <w:szCs w:val="22"/>
              </w:rPr>
              <w:t>two</w:t>
            </w:r>
            <w:r w:rsidRPr="00AD0467">
              <w:rPr>
                <w:rFonts w:ascii="Arial" w:hAnsi="Arial" w:cs="Arial"/>
                <w:sz w:val="22"/>
                <w:szCs w:val="22"/>
              </w:rPr>
              <w:t xml:space="preserve"> of the following are required for a dyslipidemia determination.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: diagnosis,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1 fasting/non-fasting lab,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or treatment,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(Vitamins  &amp; Other alternative therapy  must also be supported by an abnormal lab)</w:t>
            </w:r>
          </w:p>
        </w:tc>
      </w:tr>
      <w:tr w:rsidR="00F6437C" w:rsidRPr="00AD0467" w:rsidTr="008737DA">
        <w:trPr>
          <w:cantSplit/>
          <w:jc w:val="right"/>
        </w:trPr>
        <w:tc>
          <w:tcPr>
            <w:tcW w:w="1795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Chronic Kidney Disease</w:t>
            </w:r>
          </w:p>
        </w:tc>
        <w:tc>
          <w:tcPr>
            <w:tcW w:w="349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renal failure,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end-stage renal disease,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glomerulonephritis.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Consecutive GFR’s &lt; 60 over a period of at least 3 months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Urine Microalbumin Spot  &gt; 30 µg/mL: consecutive measurements &gt; 30 over a period of at least 3 months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Dialysis</w:t>
            </w:r>
          </w:p>
        </w:tc>
        <w:tc>
          <w:tcPr>
            <w:tcW w:w="1944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We excluded using  the diagnosis code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renal insufficiency  because it was considered insufficiently specific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37C" w:rsidRPr="00AD0467" w:rsidTr="008737DA">
        <w:trPr>
          <w:cantSplit/>
          <w:jc w:val="right"/>
        </w:trPr>
        <w:tc>
          <w:tcPr>
            <w:tcW w:w="1795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Cancers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(non-AIDS defining)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Hodgkins, liver, lung, bone, brain, breast, ovarian, prostate, testicular, anal/rectal, colon, thyroid, esophageal, renal, pancreatic, leukemia, stomach/GI, or other cancer.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80" w:type="dxa"/>
          </w:tcPr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44" w:type="dxa"/>
          </w:tcPr>
          <w:p w:rsidR="00F6437C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 xml:space="preserve">AIDS-defining cancers excluded: 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skin,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Kaposi’s sarcoma,</w:t>
            </w:r>
          </w:p>
          <w:p w:rsidR="00F6437C" w:rsidRPr="00AD0467" w:rsidRDefault="00F6437C" w:rsidP="008737DA">
            <w:pPr>
              <w:rPr>
                <w:rFonts w:ascii="Arial" w:hAnsi="Arial" w:cs="Arial"/>
                <w:sz w:val="22"/>
                <w:szCs w:val="22"/>
              </w:rPr>
            </w:pPr>
            <w:r w:rsidRPr="00AD0467">
              <w:rPr>
                <w:rFonts w:ascii="Arial" w:hAnsi="Arial" w:cs="Arial"/>
                <w:sz w:val="22"/>
                <w:szCs w:val="22"/>
              </w:rPr>
              <w:t>cervical cancer, non-Hodgkins lymphoma, CNS lymphoma, immunoblastic lymphoma</w:t>
            </w:r>
          </w:p>
        </w:tc>
      </w:tr>
    </w:tbl>
    <w:p w:rsidR="00F6437C" w:rsidRPr="00235744" w:rsidRDefault="00F6437C" w:rsidP="00F6437C">
      <w:pPr>
        <w:spacing w:line="288" w:lineRule="atLeast"/>
        <w:ind w:left="720"/>
        <w:rPr>
          <w:rFonts w:ascii="Arial" w:hAnsi="Arial" w:cs="Arial"/>
          <w:sz w:val="24"/>
          <w:lang w:val="en"/>
        </w:rPr>
      </w:pPr>
      <w:r w:rsidRPr="00235744">
        <w:rPr>
          <w:rFonts w:ascii="Arial" w:hAnsi="Arial" w:cs="Arial"/>
          <w:sz w:val="24"/>
        </w:rPr>
        <w:t>Abbreviations: CNS</w:t>
      </w:r>
      <w:r>
        <w:rPr>
          <w:rFonts w:ascii="Arial" w:hAnsi="Arial" w:cs="Arial"/>
          <w:sz w:val="24"/>
        </w:rPr>
        <w:t>,</w:t>
      </w:r>
      <w:r w:rsidRPr="002357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"/>
        </w:rPr>
        <w:t>c</w:t>
      </w:r>
      <w:r w:rsidRPr="00235744">
        <w:rPr>
          <w:rFonts w:ascii="Arial" w:hAnsi="Arial" w:cs="Arial"/>
          <w:sz w:val="24"/>
          <w:lang w:val="en"/>
        </w:rPr>
        <w:t xml:space="preserve">entral </w:t>
      </w:r>
      <w:r>
        <w:rPr>
          <w:rFonts w:ascii="Arial" w:hAnsi="Arial" w:cs="Arial"/>
          <w:sz w:val="24"/>
          <w:lang w:val="en"/>
        </w:rPr>
        <w:t>n</w:t>
      </w:r>
      <w:r w:rsidRPr="00235744">
        <w:rPr>
          <w:rFonts w:ascii="Arial" w:hAnsi="Arial" w:cs="Arial"/>
          <w:sz w:val="24"/>
          <w:lang w:val="en"/>
        </w:rPr>
        <w:t xml:space="preserve">ervous </w:t>
      </w:r>
      <w:r>
        <w:rPr>
          <w:rFonts w:ascii="Arial" w:hAnsi="Arial" w:cs="Arial"/>
          <w:sz w:val="24"/>
          <w:lang w:val="en"/>
        </w:rPr>
        <w:t>s</w:t>
      </w:r>
      <w:r w:rsidRPr="00235744">
        <w:rPr>
          <w:rFonts w:ascii="Arial" w:hAnsi="Arial" w:cs="Arial"/>
          <w:sz w:val="24"/>
          <w:lang w:val="en"/>
        </w:rPr>
        <w:t>ystem; GFR</w:t>
      </w:r>
      <w:r>
        <w:rPr>
          <w:rFonts w:ascii="Arial" w:hAnsi="Arial" w:cs="Arial"/>
          <w:sz w:val="24"/>
          <w:lang w:val="en"/>
        </w:rPr>
        <w:t>,</w:t>
      </w:r>
      <w:r w:rsidRPr="00235744">
        <w:rPr>
          <w:rFonts w:ascii="Arial" w:hAnsi="Arial" w:cs="Arial"/>
          <w:sz w:val="24"/>
          <w:lang w:val="en"/>
        </w:rPr>
        <w:t xml:space="preserve"> </w:t>
      </w:r>
      <w:r>
        <w:rPr>
          <w:rFonts w:ascii="Arial" w:hAnsi="Arial" w:cs="Arial"/>
          <w:sz w:val="24"/>
          <w:lang w:val="en"/>
        </w:rPr>
        <w:t>g</w:t>
      </w:r>
      <w:r w:rsidRPr="00235744">
        <w:rPr>
          <w:rFonts w:ascii="Arial" w:hAnsi="Arial" w:cs="Arial"/>
          <w:sz w:val="24"/>
          <w:lang w:val="en"/>
        </w:rPr>
        <w:t>lomerular filtration rate; HDL</w:t>
      </w:r>
      <w:r>
        <w:rPr>
          <w:rFonts w:ascii="Arial" w:hAnsi="Arial" w:cs="Arial"/>
          <w:sz w:val="24"/>
          <w:lang w:val="en"/>
        </w:rPr>
        <w:t>,</w:t>
      </w:r>
      <w:r w:rsidRPr="00235744">
        <w:rPr>
          <w:rFonts w:ascii="Arial" w:hAnsi="Arial" w:cs="Arial"/>
          <w:sz w:val="24"/>
          <w:lang w:val="en"/>
        </w:rPr>
        <w:t xml:space="preserve"> </w:t>
      </w:r>
      <w:r>
        <w:rPr>
          <w:rFonts w:ascii="Arial" w:hAnsi="Arial" w:cs="Arial"/>
          <w:sz w:val="24"/>
          <w:lang w:val="en"/>
        </w:rPr>
        <w:t>h</w:t>
      </w:r>
      <w:r w:rsidRPr="00235744">
        <w:rPr>
          <w:rFonts w:ascii="Arial" w:hAnsi="Arial" w:cs="Arial"/>
          <w:sz w:val="24"/>
          <w:lang w:val="en"/>
        </w:rPr>
        <w:t xml:space="preserve">igh </w:t>
      </w:r>
      <w:r>
        <w:rPr>
          <w:rFonts w:ascii="Arial" w:hAnsi="Arial" w:cs="Arial"/>
          <w:sz w:val="24"/>
          <w:lang w:val="en"/>
        </w:rPr>
        <w:t>d</w:t>
      </w:r>
      <w:r w:rsidRPr="00235744">
        <w:rPr>
          <w:rFonts w:ascii="Arial" w:hAnsi="Arial" w:cs="Arial"/>
          <w:sz w:val="24"/>
          <w:lang w:val="en"/>
        </w:rPr>
        <w:t xml:space="preserve">ensity </w:t>
      </w:r>
      <w:r>
        <w:rPr>
          <w:rFonts w:ascii="Arial" w:hAnsi="Arial" w:cs="Arial"/>
          <w:sz w:val="24"/>
          <w:lang w:val="en"/>
        </w:rPr>
        <w:t>l</w:t>
      </w:r>
      <w:r w:rsidRPr="00235744">
        <w:rPr>
          <w:rFonts w:ascii="Arial" w:hAnsi="Arial" w:cs="Arial"/>
          <w:sz w:val="24"/>
          <w:lang w:val="en"/>
        </w:rPr>
        <w:t>ipoprotein; HGBA1C</w:t>
      </w:r>
      <w:r>
        <w:rPr>
          <w:rFonts w:ascii="Arial" w:hAnsi="Arial" w:cs="Arial"/>
          <w:sz w:val="24"/>
          <w:lang w:val="en"/>
        </w:rPr>
        <w:t>,</w:t>
      </w:r>
      <w:r w:rsidRPr="002357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"/>
        </w:rPr>
        <w:t>h</w:t>
      </w:r>
      <w:r w:rsidRPr="00235744">
        <w:rPr>
          <w:rFonts w:ascii="Arial" w:hAnsi="Arial" w:cs="Arial"/>
          <w:sz w:val="24"/>
          <w:lang w:val="en"/>
        </w:rPr>
        <w:t>emoglobin A1c; LDL</w:t>
      </w:r>
      <w:r>
        <w:rPr>
          <w:rFonts w:ascii="Arial" w:hAnsi="Arial" w:cs="Arial"/>
          <w:sz w:val="24"/>
          <w:lang w:val="en"/>
        </w:rPr>
        <w:t>,</w:t>
      </w:r>
      <w:r w:rsidRPr="00235744">
        <w:rPr>
          <w:rFonts w:ascii="Arial" w:hAnsi="Arial" w:cs="Arial"/>
          <w:sz w:val="24"/>
          <w:lang w:val="en"/>
        </w:rPr>
        <w:t xml:space="preserve"> </w:t>
      </w:r>
      <w:r>
        <w:rPr>
          <w:rFonts w:ascii="Arial" w:hAnsi="Arial" w:cs="Arial"/>
          <w:sz w:val="24"/>
          <w:lang w:val="en"/>
        </w:rPr>
        <w:t>l</w:t>
      </w:r>
      <w:r w:rsidRPr="00235744">
        <w:rPr>
          <w:rFonts w:ascii="Arial" w:hAnsi="Arial" w:cs="Arial"/>
          <w:sz w:val="24"/>
          <w:lang w:val="en"/>
        </w:rPr>
        <w:t xml:space="preserve">ow </w:t>
      </w:r>
      <w:r>
        <w:rPr>
          <w:rFonts w:ascii="Arial" w:hAnsi="Arial" w:cs="Arial"/>
          <w:sz w:val="24"/>
          <w:lang w:val="en"/>
        </w:rPr>
        <w:t>d</w:t>
      </w:r>
      <w:r w:rsidRPr="00235744">
        <w:rPr>
          <w:rFonts w:ascii="Arial" w:hAnsi="Arial" w:cs="Arial"/>
          <w:sz w:val="24"/>
          <w:lang w:val="en"/>
        </w:rPr>
        <w:t xml:space="preserve">ensity </w:t>
      </w:r>
      <w:r>
        <w:rPr>
          <w:rFonts w:ascii="Arial" w:hAnsi="Arial" w:cs="Arial"/>
          <w:sz w:val="24"/>
          <w:lang w:val="en"/>
        </w:rPr>
        <w:t>l</w:t>
      </w:r>
      <w:r w:rsidRPr="00235744">
        <w:rPr>
          <w:rFonts w:ascii="Arial" w:hAnsi="Arial" w:cs="Arial"/>
          <w:sz w:val="24"/>
          <w:lang w:val="en"/>
        </w:rPr>
        <w:t xml:space="preserve">ipoprotein. </w:t>
      </w:r>
    </w:p>
    <w:p w:rsidR="00F6437C" w:rsidRPr="00336B0B" w:rsidRDefault="00F6437C" w:rsidP="00F6437C">
      <w:pPr>
        <w:ind w:left="720"/>
        <w:rPr>
          <w:rFonts w:ascii="Times New Roman" w:hAnsi="Times New Roman"/>
        </w:rPr>
      </w:pPr>
    </w:p>
    <w:p w:rsidR="00F6437C" w:rsidRPr="001B60B0" w:rsidRDefault="00F6437C" w:rsidP="00F6437C">
      <w:pPr>
        <w:widowControl/>
        <w:autoSpaceDE/>
        <w:autoSpaceDN/>
        <w:adjustRightInd/>
        <w:rPr>
          <w:rFonts w:ascii="Arial" w:hAnsi="Arial" w:cs="Arial"/>
          <w:b/>
          <w:bCs/>
          <w:sz w:val="24"/>
        </w:rPr>
      </w:pPr>
    </w:p>
    <w:p w:rsidR="002A6B0C" w:rsidRDefault="002A6B0C"/>
    <w:sectPr w:rsidR="002A6B0C" w:rsidSect="005E4C82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7C"/>
    <w:rsid w:val="002A6B0C"/>
    <w:rsid w:val="004C0747"/>
    <w:rsid w:val="009B7BDA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5F579-D433-407F-8964-E0F7BD8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7C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2692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1</cp:revision>
  <dcterms:created xsi:type="dcterms:W3CDTF">2022-01-07T07:33:00Z</dcterms:created>
  <dcterms:modified xsi:type="dcterms:W3CDTF">2022-01-07T07:34:00Z</dcterms:modified>
</cp:coreProperties>
</file>