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7BA" w:rsidRDefault="004757BA" w:rsidP="004757BA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Legacy and alternative per- and p</w:t>
      </w:r>
      <w:r w:rsidRPr="00285DC5">
        <w:rPr>
          <w:rFonts w:ascii="Times New Roman" w:hAnsi="Times New Roman" w:cs="Times New Roman"/>
        </w:rPr>
        <w:t xml:space="preserve">olyfluoroalkyl </w:t>
      </w:r>
      <w:r>
        <w:rPr>
          <w:rFonts w:ascii="Times New Roman" w:hAnsi="Times New Roman" w:cs="Times New Roman"/>
        </w:rPr>
        <w:t xml:space="preserve">substances in the U.S. general population: Paired serum-urine data from the 2013–2014 National Health and Nutrition Examination Survey  </w:t>
      </w:r>
    </w:p>
    <w:p w:rsidR="004757BA" w:rsidRPr="00285DC5" w:rsidRDefault="004757BA" w:rsidP="004757BA">
      <w:pPr>
        <w:spacing w:line="480" w:lineRule="auto"/>
        <w:rPr>
          <w:rFonts w:ascii="Times New Roman" w:hAnsi="Times New Roman" w:cs="Times New Roman"/>
        </w:rPr>
      </w:pPr>
    </w:p>
    <w:p w:rsidR="004757BA" w:rsidRDefault="004757BA" w:rsidP="004757BA">
      <w:pPr>
        <w:spacing w:line="480" w:lineRule="auto"/>
        <w:rPr>
          <w:rFonts w:ascii="Times New Roman" w:hAnsi="Times New Roman" w:cs="Times New Roman"/>
        </w:rPr>
      </w:pPr>
      <w:r w:rsidRPr="00285DC5">
        <w:rPr>
          <w:rFonts w:ascii="Times New Roman" w:hAnsi="Times New Roman" w:cs="Times New Roman"/>
        </w:rPr>
        <w:t>Antonia M. Calafat</w:t>
      </w:r>
      <w:r>
        <w:rPr>
          <w:rFonts w:ascii="Times New Roman" w:hAnsi="Times New Roman" w:cs="Times New Roman"/>
        </w:rPr>
        <w:t xml:space="preserve">, </w:t>
      </w:r>
      <w:r w:rsidRPr="00285DC5">
        <w:rPr>
          <w:rFonts w:ascii="Times New Roman" w:hAnsi="Times New Roman" w:cs="Times New Roman"/>
        </w:rPr>
        <w:t xml:space="preserve">Kayoko Kato, </w:t>
      </w:r>
      <w:r>
        <w:rPr>
          <w:rFonts w:ascii="Times New Roman" w:hAnsi="Times New Roman" w:cs="Times New Roman"/>
        </w:rPr>
        <w:t>Kendra Hubbard, Tao Jia, Julianne Cook Botelho, Lee-Yang Wong</w:t>
      </w:r>
    </w:p>
    <w:p w:rsidR="004757BA" w:rsidRDefault="004757BA" w:rsidP="004757BA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noProof/>
        </w:rPr>
      </w:pPr>
    </w:p>
    <w:p w:rsidR="004757BA" w:rsidRPr="00731CA4" w:rsidRDefault="004757BA" w:rsidP="004757BA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Supporting Information</w:t>
      </w:r>
    </w:p>
    <w:p w:rsidR="004757BA" w:rsidRDefault="004757BA" w:rsidP="004757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757BA" w:rsidRPr="00691F29" w:rsidRDefault="004757BA" w:rsidP="004757BA">
      <w:pPr>
        <w:spacing w:line="480" w:lineRule="auto"/>
        <w:ind w:left="360"/>
        <w:rPr>
          <w:rFonts w:ascii="Times New Roman" w:hAnsi="Times New Roman" w:cs="Times New Roman"/>
          <w:b/>
          <w:bCs w:val="0"/>
          <w:color w:val="000000"/>
        </w:rPr>
      </w:pPr>
      <w:r w:rsidRPr="00691F29">
        <w:rPr>
          <w:rFonts w:ascii="Times New Roman" w:hAnsi="Times New Roman" w:cs="Times New Roman"/>
          <w:b/>
          <w:bCs w:val="0"/>
          <w:color w:val="000000"/>
        </w:rPr>
        <w:lastRenderedPageBreak/>
        <w:t xml:space="preserve">Quantification of </w:t>
      </w:r>
      <w:r w:rsidRPr="00691F29">
        <w:rPr>
          <w:rFonts w:ascii="Times New Roman" w:hAnsi="Times New Roman" w:cs="Times New Roman"/>
          <w:b/>
        </w:rPr>
        <w:t xml:space="preserve">C4-C11 </w:t>
      </w:r>
      <w:r w:rsidRPr="00691F29">
        <w:rPr>
          <w:rFonts w:ascii="Times New Roman" w:hAnsi="Times New Roman" w:cs="Times New Roman"/>
          <w:b/>
          <w:bCs w:val="0"/>
          <w:color w:val="000000"/>
        </w:rPr>
        <w:t>PFAS and three fluorinated alternatives in urine</w:t>
      </w:r>
    </w:p>
    <w:p w:rsidR="004757BA" w:rsidRDefault="004757BA" w:rsidP="004757BA">
      <w:pPr>
        <w:spacing w:line="480" w:lineRule="auto"/>
        <w:ind w:left="360"/>
        <w:rPr>
          <w:rFonts w:ascii="Times New Roman" w:hAnsi="Times New Roman" w:cs="Times New Roman"/>
        </w:rPr>
      </w:pPr>
      <w:r w:rsidRPr="00122BC3">
        <w:rPr>
          <w:rFonts w:ascii="Times New Roman" w:hAnsi="Times New Roman" w:cs="Times New Roman"/>
        </w:rPr>
        <w:t>The analytical method</w:t>
      </w:r>
      <w:r>
        <w:rPr>
          <w:rFonts w:ascii="Times New Roman" w:hAnsi="Times New Roman" w:cs="Times New Roman"/>
        </w:rPr>
        <w:t xml:space="preserve"> was</w:t>
      </w:r>
      <w:r w:rsidRPr="00122BC3">
        <w:rPr>
          <w:rFonts w:ascii="Times New Roman" w:hAnsi="Times New Roman" w:cs="Times New Roman"/>
        </w:rPr>
        <w:t xml:space="preserve"> described </w:t>
      </w:r>
      <w:r>
        <w:rPr>
          <w:rFonts w:ascii="Times New Roman" w:hAnsi="Times New Roman" w:cs="Times New Roman"/>
        </w:rPr>
        <w:t xml:space="preserve">before </w:t>
      </w:r>
      <w:r>
        <w:rPr>
          <w:rFonts w:ascii="Times New Roman" w:hAnsi="Times New Roman" w:cs="Times New Roman"/>
        </w:rPr>
        <w:fldChar w:fldCharType="begin">
          <w:fldData xml:space="preserve">PFJlZm1hbj48Q2l0ZT48QXV0aG9yPkthdG88L0F1dGhvcj48WWVhcj4yMDE4PC9ZZWFyPjxSZWNO
dW0+MjgyNjwvUmVjTnVtPjxJRFRleHQ+UGVyLSBhbmQgcG9seWZsdW9yb2Fsa3lsIHN1YnN0YW5j
ZXMgYW5kIGZsdW9yaW5hdGVkIGFsdGVybmF0aXZlcyBpbiB1cmluZSBhbmQgc2VydW0gYnkgb24t
bGluZSBzb2xpZCBwaGFzZSBleHRyYWN0aW9uLWxpcXVpZCBjaHJvbWF0b2dyYXBoeS10YW5kZW0g
bWFzcyBzcGVjdHJvbWV0cnk8L0lEVGV4dD48TURMIFJlZl9UeXBlPSJKb3VybmFsIj48UmVmX1R5
cGU+Sm91cm5hbDwvUmVmX1R5cGU+PFJlZl9JRD4yODI2PC9SZWZfSUQ+PFRpdGxlX1ByaW1hcnk+
UGVyLSBhbmQgcG9seWZsdW9yb2Fsa3lsIHN1YnN0YW5jZXMgYW5kIGZsdW9yaW5hdGVkIGFsdGVy
bmF0aXZlcyBpbiB1cmluZSBhbmQgc2VydW0gYnkgb24tbGluZSBzb2xpZCBwaGFzZSBleHRyYWN0
aW9uLWxpcXVpZCBjaHJvbWF0b2dyYXBoeS10YW5kZW0gbWFzcyBzcGVjdHJvbWV0cnk8L1RpdGxl
X1ByaW1hcnk+PEF1dGhvcnNfUHJpbWFyeT5LYXRvLEsuPC9BdXRob3JzX1ByaW1hcnk+PEF1dGhv
cnNfUHJpbWFyeT5LYWxhdGhpbCxBLkEuPC9BdXRob3JzX1ByaW1hcnk+PEF1dGhvcnNfUHJpbWFy
eT5QYXRlbCxBLk0uPC9BdXRob3JzX1ByaW1hcnk+PEF1dGhvcnNfUHJpbWFyeT5ZZSxYLjwvQXV0
aG9yc19QcmltYXJ5PjxBdXRob3JzX1ByaW1hcnk+Q2FsYWZhdCxBLk0uPC9BdXRob3JzX1ByaW1h
cnk+PERhdGVfUHJpbWFyeT4yMDE4LzEwPC9EYXRlX1ByaW1hcnk+PEtleXdvcmRzPkFET05BPC9L
ZXl3b3Jkcz48S2V5d29yZHM+QXBwbGljYXRpb248L0tleXdvcmRzPjxLZXl3b3Jkcz5hcnRpY2xl
PC9LZXl3b3Jkcz48S2V5d29yZHM+QkxPT0Q8L0tleXdvcmRzPjxLZXl3b3Jkcz5DQVJCT048L0tl
eXdvcmRzPjxLZXl3b3Jkcz5DSEFJTjwvS2V5d29yZHM+PEtleXdvcmRzPkNIQUlOUzwvS2V5d29y
ZHM+PEtleXdvcmRzPkNoZW1pY2FsPC9LZXl3b3Jkcz48S2V5d29yZHM+Q0hFTUlDQUxTPC9LZXl3
b3Jkcz48S2V5d29yZHM+Y2hyb21hdG9ncmFwaHktdGFuZGVtIG1hc3Mgc3BlY3Ryb21ldHJ5PC9L
ZXl3b3Jkcz48S2V5d29yZHM+Q09NUE9ORU5UPC9LZXl3b3Jkcz48S2V5d29yZHM+ZGV0ZWN0aW9u
PC9LZXl3b3Jkcz48S2V5d29yZHM+RGV0ZWN0aW9uIGZyZXF1ZW5jeTwvS2V5d29yZHM+PEtleXdv
cmRzPkRJU0VBU0U8L0tleXdvcmRzPjxLZXl3b3Jkcz5EaXNlYXNlIGNvbnRyb2w8L0tleXdvcmRz
PjxLZXl3b3Jkcz5lbnZpcm9ubWVudGFsPC9LZXl3b3Jkcz48S2V5d29yZHM+RW52aXJvbm1lbnRh
bCBIZWFsdGg8L0tleXdvcmRzPjxLZXl3b3Jkcz5FTlZJUk9OTUVOVEFMLUhFQUxUSDwvS2V5d29y
ZHM+PEtleXdvcmRzPkVYUE9TVVJFPC9LZXl3b3Jkcz48S2V5d29yZHM+RjUzQjwvS2V5d29yZHM+
PEtleXdvcmRzPmZsdW9yaW5hdGVkPC9LZXl3b3Jkcz48S2V5d29yZHM+Rmx1b3JpbmF0ZWQgYWx0
ZXJuYXRpdmVzPC9LZXl3b3Jkcz48S2V5d29yZHM+RlJFUVVFTkNZPC9LZXl3b3Jkcz48S2V5d29y
ZHM+R2VuWDwvS2V5d29yZHM+PEtleXdvcmRzPmhlYWx0aDwvS2V5d29yZHM+PEtleXdvcmRzPmh1
bWFuPC9LZXl3b3Jkcz48S2V5d29yZHM+aHVtYW5zPC9LZXl3b3Jkcz48S2V5d29yZHM+TGFib3Jh
dG9yaWVzPC9LZXl3b3Jkcz48S2V5d29yZHM+TGFib3JhdG9yeTwvS2V5d29yZHM+PEtleXdvcmRz
PkxFTkdUSDwvS2V5d29yZHM+PEtleXdvcmRzPkxFVkVMPC9LZXl3b3Jkcz48S2V5d29yZHM+TGV2
ZWxzPC9LZXl3b3Jkcz48S2V5d29yZHM+TElNSVQ8L0tleXdvcmRzPjxLZXl3b3Jkcz5saW1pdCBv
ZiBkZXRlY3Rpb248L0tleXdvcmRzPjxLZXl3b3Jkcz5NYXNzPC9LZXl3b3Jkcz48S2V5d29yZHM+
bWFzcyBzcGVjdHJvbWV0cnk8L0tleXdvcmRzPjxLZXl3b3Jkcz5NQVNTLVNQRUNUUk9NRVRSWTwv
S2V5d29yZHM+PEtleXdvcmRzPm1ldGhvZDwvS2V5d29yZHM+PEtleXdvcmRzPk1ldGhvZHM8L0tl
eXdvcmRzPjxLZXl3b3Jkcz5OYXRpb25hbCBIZWFsdGggYW5kIE51dHJpdGlvbiBFeGFtaW5hdGlv
bjwvS2V5d29yZHM+PEtleXdvcmRzPk5hdGlvbmFsIEhlYWx0aCBhbmQgTnV0cml0aW9uIEV4YW1p
bmF0aW9uIFN1cnZleTwvS2V5d29yZHM+PEtleXdvcmRzPk5BVElPTkFMLUhFQUxUSDwvS2V5d29y
ZHM+PEtleXdvcmRzPk5IQU5FUzwvS2V5d29yZHM+PEtleXdvcmRzPk5PPC9LZXl3b3Jkcz48S2V5
d29yZHM+TlVUUklUSU9OPC9LZXl3b3Jkcz48S2V5d29yZHM+TlVUUklUSU9OIEVYQU1JTkFUSU9O
IFNVUlZFWTwvS2V5d29yZHM+PEtleXdvcmRzPk5VVFJJVElPTi1FWEFNSU5BVElPTi1TVVJWRVk8
L0tleXdvcmRzPjxLZXl3b3Jkcz5vbi1saW5lPC9LZXl3b3Jkcz48S2V5d29yZHM+T05MSU5FPC9L
ZXl3b3Jkcz48S2V5d29yZHM+UEFSVElDSVBBTlRTPC9LZXl3b3Jkcz48S2V5d29yZHM+UEFUVEVS
TjwvS2V5d29yZHM+PEtleXdvcmRzPlBBVFRFUk5TPC9LZXl3b3Jkcz48S2V5d29yZHM+UGVyLSBh
bmQgcG9seWZsdW9yb2Fsa3lsIHN1YnN0YW5jZXM8L0tleXdvcmRzPjxLZXl3b3Jkcz5wZXJmbHVv
cm9hbGt5bDwvS2V5d29yZHM+PEtleXdvcmRzPnBlcmZsdW9yb29jdGFuZTwvS2V5d29yZHM+PEtl
eXdvcmRzPlBFUkZMVU9ST09DVEFORSBTVUxGT05BVEU8L0tleXdvcmRzPjxLZXl3b3Jkcz5QRVJG
TFVPUk9PQ1RBTk9BVEU8L0tleXdvcmRzPjxLZXl3b3Jkcz5QRkFTPC9LZXl3b3Jkcz48S2V5d29y
ZHM+UEZPQTwvS2V5d29yZHM+PEtleXdvcmRzPlBGT1M8L0tleXdvcmRzPjxLZXl3b3Jkcz5QSEFT
RTwvS2V5d29yZHM+PEtleXdvcmRzPnBvbHlmbHVvcm9hbGt5bDwvS2V5d29yZHM+PEtleXdvcmRz
PlBvbHlmbHVvcm9hbGt5bCBzdWJzdGFuY2U8L0tleXdvcmRzPjxLZXl3b3Jkcz5QT0xZRkxVT1JP
QUxLWUwgU1VCU1RBTkNFUzwvS2V5d29yZHM+PEtleXdvcmRzPlBPUFVMQVRJT048L0tleXdvcmRz
PjxLZXl3b3Jkcz5QUkVWRU5USU9OPC9LZXl3b3Jkcz48S2V5d29yZHM+UVVBTlRJRklDQVRJT048
L0tleXdvcmRzPjxLZXl3b3Jkcz5SQU5HRVM8L0tleXdvcmRzPjxLZXl3b3Jkcz5TQUxUPC9LZXl3
b3Jkcz48S2V5d29yZHM+U0FNUExFPC9LZXl3b3Jkcz48S2V5d29yZHM+U0FNUExFUzwvS2V5d29y
ZHM+PEtleXdvcmRzPlNDSUVOQ0U8L0tleXdvcmRzPjxLZXl3b3Jkcz5TRVJVTTwvS2V5d29yZHM+
PEtleXdvcmRzPlNIT1JULUNIQUlOPC9LZXl3b3Jkcz48S2V5d29yZHM+c29saWQ8L0tleXdvcmRz
PjxLZXl3b3Jkcz5TT0xJRC1QSEFTRTwvS2V5d29yZHM+PEtleXdvcmRzPlNQRUNUUk9NRVRSWTwv
S2V5d29yZHM+PEtleXdvcmRzPlNVQlNUQU5DRTwvS2V5d29yZHM+PEtleXdvcmRzPlNVQlNUQU5D
RVM8L0tleXdvcmRzPjxLZXl3b3Jkcz5TVUxGT05BVEU8L0tleXdvcmRzPjxLZXl3b3Jkcz5TVVJW
RVk8L0tleXdvcmRzPjxLZXl3b3Jkcz5UUkFDRSBMRVZFTFM8L0tleXdvcmRzPjxLZXl3b3Jkcz5V
UklORTwvS2V5d29yZHM+PEtleXdvcmRzPlVTQTwvS2V5d29yZHM+PFJlcHJpbnQ+SW4gRmlsZTwv
UmVwcmludD48U3RhcnRfUGFnZT4zMzg8L1N0YXJ0X1BhZ2U+PEVuZF9QYWdlPjM0NTwvRW5kX1Bh
Z2U+PFBlcmlvZGljYWw+Q2hlbW9zcGhlcmU8L1BlcmlvZGljYWw+PFZvbHVtZT4yMDk8L1ZvbHVt
ZT48QWRkcmVzcz5EaXZpc2lvbiBvZiBMYWJvcmF0b3J5IFNjaWVuY2VzLCBOYXRpb25hbCBDZW50
ZXIgZm9yIEVudmlyb25tZW50YWwgSGVhbHRoLCBDZW50ZXJzIGZvciBEaXNlYXNlIENvbnRyb2wg
YW5kIFByZXZlbnRpb24sIEF0bGFudGEsIEdBLCBVU0EuIEVsZWN0cm9uaWMgYWRkcmVzczoga2th
dG8xQGNkYy5nb3YmI3hBO0RpdmlzaW9uIG9mIExhYm9yYXRvcnkgU2NpZW5jZXMsIE5hdGlvbmFs
IENlbnRlciBmb3IgRW52aXJvbm1lbnRhbCBIZWFsdGgsIENlbnRlcnMgZm9yIERpc2Vhc2UgQ29u
dHJvbCBhbmQgUHJldmVudGlvbiwgQXRsYW50YSwgR0EsIFVTQSYjeEE7RGl2aXNpb24gb2YgTGFi
b3JhdG9yeSBTY2llbmNlcywgTmF0aW9uYWwgQ2VudGVyIGZvciBFbnZpcm9ubWVudGFsIEhlYWx0
aCwgQ2VudGVycyBmb3IgRGlzZWFzZSBDb250cm9sIGFuZCBQcmV2ZW50aW9uLCBBdGxhbnRhLCBH
QSwgVVNBJiN4QTtEaXZpc2lvbiBvZiBMYWJvcmF0b3J5IFNjaWVuY2VzLCBOYXRpb25hbCBDZW50
ZXIgZm9yIEVudmlyb25tZW50YWwgSGVhbHRoLCBDZW50ZXJzIGZvciBEaXNlYXNlIENvbnRyb2wg
YW5kIFByZXZlbnRpb24sIEF0bGFudGEsIEdBLCBVU0EmI3hBO0RpdmlzaW9uIG9mIExhYm9yYXRv
cnkgU2NpZW5jZXMsIE5hdGlvbmFsIENlbnRlciBmb3IgRW52aXJvbm1lbnRhbCBIZWFsdGgsIENl
bnRlcnMgZm9yIERpc2Vhc2UgQ29udHJvbCBhbmQgUHJldmVudGlvbiwgQXRsYW50YSwgR0EsIFVT
QTwvQWRkcmVzcz48V2ViX1VSTD5QTToyOTkzNTQ2MjwvV2ViX1VSTD48WlpfSm91cm5hbEZ1bGw+
PGYgbmFtZT0iU3lzdGVtIj5DaGVtb3NwaGVyZTwvZj48L1paX0pvdXJuYWxGdWxsPjxaWl9Xb3Jr
Zm9ybUlEPjE8L1paX1dvcmtmb3JtSUQ+PC9NREw+PC9DaXRlPjwvUmVmbWFuPgB=
</w:fldData>
        </w:fldChar>
      </w:r>
      <w:r>
        <w:rPr>
          <w:rFonts w:ascii="Times New Roman" w:hAnsi="Times New Roman" w:cs="Times New Roman"/>
        </w:rPr>
        <w:instrText xml:space="preserve"> ADDIN REFMGR.CITE </w:instrText>
      </w:r>
      <w:r>
        <w:rPr>
          <w:rFonts w:ascii="Times New Roman" w:hAnsi="Times New Roman" w:cs="Times New Roman"/>
        </w:rPr>
        <w:fldChar w:fldCharType="begin">
          <w:fldData xml:space="preserve">PFJlZm1hbj48Q2l0ZT48QXV0aG9yPkthdG88L0F1dGhvcj48WWVhcj4yMDE4PC9ZZWFyPjxSZWNO
dW0+MjgyNjwvUmVjTnVtPjxJRFRleHQ+UGVyLSBhbmQgcG9seWZsdW9yb2Fsa3lsIHN1YnN0YW5j
ZXMgYW5kIGZsdW9yaW5hdGVkIGFsdGVybmF0aXZlcyBpbiB1cmluZSBhbmQgc2VydW0gYnkgb24t
bGluZSBzb2xpZCBwaGFzZSBleHRyYWN0aW9uLWxpcXVpZCBjaHJvbWF0b2dyYXBoeS10YW5kZW0g
bWFzcyBzcGVjdHJvbWV0cnk8L0lEVGV4dD48TURMIFJlZl9UeXBlPSJKb3VybmFsIj48UmVmX1R5
cGU+Sm91cm5hbDwvUmVmX1R5cGU+PFJlZl9JRD4yODI2PC9SZWZfSUQ+PFRpdGxlX1ByaW1hcnk+
UGVyLSBhbmQgcG9seWZsdW9yb2Fsa3lsIHN1YnN0YW5jZXMgYW5kIGZsdW9yaW5hdGVkIGFsdGVy
bmF0aXZlcyBpbiB1cmluZSBhbmQgc2VydW0gYnkgb24tbGluZSBzb2xpZCBwaGFzZSBleHRyYWN0
aW9uLWxpcXVpZCBjaHJvbWF0b2dyYXBoeS10YW5kZW0gbWFzcyBzcGVjdHJvbWV0cnk8L1RpdGxl
X1ByaW1hcnk+PEF1dGhvcnNfUHJpbWFyeT5LYXRvLEsuPC9BdXRob3JzX1ByaW1hcnk+PEF1dGhv
cnNfUHJpbWFyeT5LYWxhdGhpbCxBLkEuPC9BdXRob3JzX1ByaW1hcnk+PEF1dGhvcnNfUHJpbWFy
eT5QYXRlbCxBLk0uPC9BdXRob3JzX1ByaW1hcnk+PEF1dGhvcnNfUHJpbWFyeT5ZZSxYLjwvQXV0
aG9yc19QcmltYXJ5PjxBdXRob3JzX1ByaW1hcnk+Q2FsYWZhdCxBLk0uPC9BdXRob3JzX1ByaW1h
cnk+PERhdGVfUHJpbWFyeT4yMDE4LzEwPC9EYXRlX1ByaW1hcnk+PEtleXdvcmRzPkFET05BPC9L
ZXl3b3Jkcz48S2V5d29yZHM+QXBwbGljYXRpb248L0tleXdvcmRzPjxLZXl3b3Jkcz5hcnRpY2xl
PC9LZXl3b3Jkcz48S2V5d29yZHM+QkxPT0Q8L0tleXdvcmRzPjxLZXl3b3Jkcz5DQVJCT048L0tl
eXdvcmRzPjxLZXl3b3Jkcz5DSEFJTjwvS2V5d29yZHM+PEtleXdvcmRzPkNIQUlOUzwvS2V5d29y
ZHM+PEtleXdvcmRzPkNoZW1pY2FsPC9LZXl3b3Jkcz48S2V5d29yZHM+Q0hFTUlDQUxTPC9LZXl3
b3Jkcz48S2V5d29yZHM+Y2hyb21hdG9ncmFwaHktdGFuZGVtIG1hc3Mgc3BlY3Ryb21ldHJ5PC9L
ZXl3b3Jkcz48S2V5d29yZHM+Q09NUE9ORU5UPC9LZXl3b3Jkcz48S2V5d29yZHM+ZGV0ZWN0aW9u
PC9LZXl3b3Jkcz48S2V5d29yZHM+RGV0ZWN0aW9uIGZyZXF1ZW5jeTwvS2V5d29yZHM+PEtleXdv
cmRzPkRJU0VBU0U8L0tleXdvcmRzPjxLZXl3b3Jkcz5EaXNlYXNlIGNvbnRyb2w8L0tleXdvcmRz
PjxLZXl3b3Jkcz5lbnZpcm9ubWVudGFsPC9LZXl3b3Jkcz48S2V5d29yZHM+RW52aXJvbm1lbnRh
bCBIZWFsdGg8L0tleXdvcmRzPjxLZXl3b3Jkcz5FTlZJUk9OTUVOVEFMLUhFQUxUSDwvS2V5d29y
ZHM+PEtleXdvcmRzPkVYUE9TVVJFPC9LZXl3b3Jkcz48S2V5d29yZHM+RjUzQjwvS2V5d29yZHM+
PEtleXdvcmRzPmZsdW9yaW5hdGVkPC9LZXl3b3Jkcz48S2V5d29yZHM+Rmx1b3JpbmF0ZWQgYWx0
ZXJuYXRpdmVzPC9LZXl3b3Jkcz48S2V5d29yZHM+RlJFUVVFTkNZPC9LZXl3b3Jkcz48S2V5d29y
ZHM+R2VuWDwvS2V5d29yZHM+PEtleXdvcmRzPmhlYWx0aDwvS2V5d29yZHM+PEtleXdvcmRzPmh1
bWFuPC9LZXl3b3Jkcz48S2V5d29yZHM+aHVtYW5zPC9LZXl3b3Jkcz48S2V5d29yZHM+TGFib3Jh
dG9yaWVzPC9LZXl3b3Jkcz48S2V5d29yZHM+TGFib3JhdG9yeTwvS2V5d29yZHM+PEtleXdvcmRz
PkxFTkdUSDwvS2V5d29yZHM+PEtleXdvcmRzPkxFVkVMPC9LZXl3b3Jkcz48S2V5d29yZHM+TGV2
ZWxzPC9LZXl3b3Jkcz48S2V5d29yZHM+TElNSVQ8L0tleXdvcmRzPjxLZXl3b3Jkcz5saW1pdCBv
ZiBkZXRlY3Rpb248L0tleXdvcmRzPjxLZXl3b3Jkcz5NYXNzPC9LZXl3b3Jkcz48S2V5d29yZHM+
bWFzcyBzcGVjdHJvbWV0cnk8L0tleXdvcmRzPjxLZXl3b3Jkcz5NQVNTLVNQRUNUUk9NRVRSWTwv
S2V5d29yZHM+PEtleXdvcmRzPm1ldGhvZDwvS2V5d29yZHM+PEtleXdvcmRzPk1ldGhvZHM8L0tl
eXdvcmRzPjxLZXl3b3Jkcz5OYXRpb25hbCBIZWFsdGggYW5kIE51dHJpdGlvbiBFeGFtaW5hdGlv
bjwvS2V5d29yZHM+PEtleXdvcmRzPk5hdGlvbmFsIEhlYWx0aCBhbmQgTnV0cml0aW9uIEV4YW1p
bmF0aW9uIFN1cnZleTwvS2V5d29yZHM+PEtleXdvcmRzPk5BVElPTkFMLUhFQUxUSDwvS2V5d29y
ZHM+PEtleXdvcmRzPk5IQU5FUzwvS2V5d29yZHM+PEtleXdvcmRzPk5PPC9LZXl3b3Jkcz48S2V5
d29yZHM+TlVUUklUSU9OPC9LZXl3b3Jkcz48S2V5d29yZHM+TlVUUklUSU9OIEVYQU1JTkFUSU9O
IFNVUlZFWTwvS2V5d29yZHM+PEtleXdvcmRzPk5VVFJJVElPTi1FWEFNSU5BVElPTi1TVVJWRVk8
L0tleXdvcmRzPjxLZXl3b3Jkcz5vbi1saW5lPC9LZXl3b3Jkcz48S2V5d29yZHM+T05MSU5FPC9L
ZXl3b3Jkcz48S2V5d29yZHM+UEFSVElDSVBBTlRTPC9LZXl3b3Jkcz48S2V5d29yZHM+UEFUVEVS
TjwvS2V5d29yZHM+PEtleXdvcmRzPlBBVFRFUk5TPC9LZXl3b3Jkcz48S2V5d29yZHM+UGVyLSBh
bmQgcG9seWZsdW9yb2Fsa3lsIHN1YnN0YW5jZXM8L0tleXdvcmRzPjxLZXl3b3Jkcz5wZXJmbHVv
cm9hbGt5bDwvS2V5d29yZHM+PEtleXdvcmRzPnBlcmZsdW9yb29jdGFuZTwvS2V5d29yZHM+PEtl
eXdvcmRzPlBFUkZMVU9ST09DVEFORSBTVUxGT05BVEU8L0tleXdvcmRzPjxLZXl3b3Jkcz5QRVJG
TFVPUk9PQ1RBTk9BVEU8L0tleXdvcmRzPjxLZXl3b3Jkcz5QRkFTPC9LZXl3b3Jkcz48S2V5d29y
ZHM+UEZPQTwvS2V5d29yZHM+PEtleXdvcmRzPlBGT1M8L0tleXdvcmRzPjxLZXl3b3Jkcz5QSEFT
RTwvS2V5d29yZHM+PEtleXdvcmRzPnBvbHlmbHVvcm9hbGt5bDwvS2V5d29yZHM+PEtleXdvcmRz
PlBvbHlmbHVvcm9hbGt5bCBzdWJzdGFuY2U8L0tleXdvcmRzPjxLZXl3b3Jkcz5QT0xZRkxVT1JP
QUxLWUwgU1VCU1RBTkNFUzwvS2V5d29yZHM+PEtleXdvcmRzPlBPUFVMQVRJT048L0tleXdvcmRz
PjxLZXl3b3Jkcz5QUkVWRU5USU9OPC9LZXl3b3Jkcz48S2V5d29yZHM+UVVBTlRJRklDQVRJT048
L0tleXdvcmRzPjxLZXl3b3Jkcz5SQU5HRVM8L0tleXdvcmRzPjxLZXl3b3Jkcz5TQUxUPC9LZXl3
b3Jkcz48S2V5d29yZHM+U0FNUExFPC9LZXl3b3Jkcz48S2V5d29yZHM+U0FNUExFUzwvS2V5d29y
ZHM+PEtleXdvcmRzPlNDSUVOQ0U8L0tleXdvcmRzPjxLZXl3b3Jkcz5TRVJVTTwvS2V5d29yZHM+
PEtleXdvcmRzPlNIT1JULUNIQUlOPC9LZXl3b3Jkcz48S2V5d29yZHM+c29saWQ8L0tleXdvcmRz
PjxLZXl3b3Jkcz5TT0xJRC1QSEFTRTwvS2V5d29yZHM+PEtleXdvcmRzPlNQRUNUUk9NRVRSWTwv
S2V5d29yZHM+PEtleXdvcmRzPlNVQlNUQU5DRTwvS2V5d29yZHM+PEtleXdvcmRzPlNVQlNUQU5D
RVM8L0tleXdvcmRzPjxLZXl3b3Jkcz5TVUxGT05BVEU8L0tleXdvcmRzPjxLZXl3b3Jkcz5TVVJW
RVk8L0tleXdvcmRzPjxLZXl3b3Jkcz5UUkFDRSBMRVZFTFM8L0tleXdvcmRzPjxLZXl3b3Jkcz5V
UklORTwvS2V5d29yZHM+PEtleXdvcmRzPlVTQTwvS2V5d29yZHM+PFJlcHJpbnQ+SW4gRmlsZTwv
UmVwcmludD48U3RhcnRfUGFnZT4zMzg8L1N0YXJ0X1BhZ2U+PEVuZF9QYWdlPjM0NTwvRW5kX1Bh
Z2U+PFBlcmlvZGljYWw+Q2hlbW9zcGhlcmU8L1BlcmlvZGljYWw+PFZvbHVtZT4yMDk8L1ZvbHVt
ZT48QWRkcmVzcz5EaXZpc2lvbiBvZiBMYWJvcmF0b3J5IFNjaWVuY2VzLCBOYXRpb25hbCBDZW50
ZXIgZm9yIEVudmlyb25tZW50YWwgSGVhbHRoLCBDZW50ZXJzIGZvciBEaXNlYXNlIENvbnRyb2wg
YW5kIFByZXZlbnRpb24sIEF0bGFudGEsIEdBLCBVU0EuIEVsZWN0cm9uaWMgYWRkcmVzczoga2th
dG8xQGNkYy5nb3YmI3hBO0RpdmlzaW9uIG9mIExhYm9yYXRvcnkgU2NpZW5jZXMsIE5hdGlvbmFs
IENlbnRlciBmb3IgRW52aXJvbm1lbnRhbCBIZWFsdGgsIENlbnRlcnMgZm9yIERpc2Vhc2UgQ29u
dHJvbCBhbmQgUHJldmVudGlvbiwgQXRsYW50YSwgR0EsIFVTQSYjeEE7RGl2aXNpb24gb2YgTGFi
b3JhdG9yeSBTY2llbmNlcywgTmF0aW9uYWwgQ2VudGVyIGZvciBFbnZpcm9ubWVudGFsIEhlYWx0
aCwgQ2VudGVycyBmb3IgRGlzZWFzZSBDb250cm9sIGFuZCBQcmV2ZW50aW9uLCBBdGxhbnRhLCBH
QSwgVVNBJiN4QTtEaXZpc2lvbiBvZiBMYWJvcmF0b3J5IFNjaWVuY2VzLCBOYXRpb25hbCBDZW50
ZXIgZm9yIEVudmlyb25tZW50YWwgSGVhbHRoLCBDZW50ZXJzIGZvciBEaXNlYXNlIENvbnRyb2wg
YW5kIFByZXZlbnRpb24sIEF0bGFudGEsIEdBLCBVU0EmI3hBO0RpdmlzaW9uIG9mIExhYm9yYXRv
cnkgU2NpZW5jZXMsIE5hdGlvbmFsIENlbnRlciBmb3IgRW52aXJvbm1lbnRhbCBIZWFsdGgsIENl
bnRlcnMgZm9yIERpc2Vhc2UgQ29udHJvbCBhbmQgUHJldmVudGlvbiwgQXRsYW50YSwgR0EsIFVT
QTwvQWRkcmVzcz48V2ViX1VSTD5QTToyOTkzNTQ2MjwvV2ViX1VSTD48WlpfSm91cm5hbEZ1bGw+
PGYgbmFtZT0iU3lzdGVtIj5DaGVtb3NwaGVyZTwvZj48L1paX0pvdXJuYWxGdWxsPjxaWl9Xb3Jr
Zm9ybUlEPjE8L1paX1dvcmtmb3JtSUQ+PC9NREw+PC9DaXRlPjwvUmVmbWFuPgB=
</w:fldData>
        </w:fldChar>
      </w:r>
      <w:r>
        <w:rPr>
          <w:rFonts w:ascii="Times New Roman" w:hAnsi="Times New Roman" w:cs="Times New Roman"/>
        </w:rPr>
        <w:instrText xml:space="preserve"> ADDIN EN.CITE.DATA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(Kato et al., 2018)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. For full method-specific details, please consult the publication. Some general aspects of the method are described below.</w:t>
      </w:r>
    </w:p>
    <w:p w:rsidR="004757BA" w:rsidRDefault="004757BA" w:rsidP="004757BA">
      <w:pPr>
        <w:spacing w:line="480" w:lineRule="auto"/>
        <w:ind w:left="360"/>
        <w:rPr>
          <w:rFonts w:ascii="Times New Roman" w:hAnsi="Times New Roman" w:cs="Times New Roman"/>
        </w:rPr>
      </w:pPr>
      <w:bookmarkStart w:id="0" w:name="_GoBack"/>
      <w:bookmarkEnd w:id="0"/>
    </w:p>
    <w:p w:rsidR="004757BA" w:rsidRDefault="004757BA" w:rsidP="004757BA">
      <w:pPr>
        <w:spacing w:line="48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Urine preparation</w:t>
      </w:r>
    </w:p>
    <w:p w:rsidR="004757BA" w:rsidRDefault="004757BA" w:rsidP="004757BA">
      <w:pPr>
        <w:spacing w:line="480" w:lineRule="auto"/>
        <w:ind w:left="360"/>
        <w:rPr>
          <w:rFonts w:ascii="Times New Roman" w:hAnsi="Times New Roman" w:cs="Times New Roman"/>
        </w:rPr>
      </w:pPr>
      <w:r w:rsidRPr="0097008C">
        <w:rPr>
          <w:rFonts w:ascii="Times New Roman" w:hAnsi="Times New Roman" w:cs="Times New Roman"/>
        </w:rPr>
        <w:t>Urine is dispensed (</w:t>
      </w:r>
      <w:r>
        <w:rPr>
          <w:rFonts w:ascii="Times New Roman" w:hAnsi="Times New Roman" w:cs="Times New Roman"/>
        </w:rPr>
        <w:t>5</w:t>
      </w:r>
      <w:r w:rsidRPr="0097008C">
        <w:rPr>
          <w:rFonts w:ascii="Times New Roman" w:hAnsi="Times New Roman" w:cs="Times New Roman"/>
        </w:rPr>
        <w:t xml:space="preserve">0 </w:t>
      </w:r>
      <w:r>
        <w:rPr>
          <w:rFonts w:ascii="Times New Roman" w:hAnsi="Times New Roman" w:cs="Times New Roman"/>
        </w:rPr>
        <w:t>µ</w:t>
      </w:r>
      <w:r w:rsidRPr="0097008C">
        <w:rPr>
          <w:rFonts w:ascii="Times New Roman" w:hAnsi="Times New Roman" w:cs="Times New Roman"/>
        </w:rPr>
        <w:t>L) into a polypropylene snap-cap</w:t>
      </w:r>
      <w:r>
        <w:rPr>
          <w:rFonts w:ascii="Times New Roman" w:hAnsi="Times New Roman" w:cs="Times New Roman"/>
        </w:rPr>
        <w:t xml:space="preserve"> </w:t>
      </w:r>
      <w:r w:rsidRPr="0097008C">
        <w:rPr>
          <w:rFonts w:ascii="Times New Roman" w:hAnsi="Times New Roman" w:cs="Times New Roman"/>
        </w:rPr>
        <w:t>autosampler vial</w:t>
      </w:r>
      <w:r>
        <w:rPr>
          <w:rFonts w:ascii="Times New Roman" w:hAnsi="Times New Roman" w:cs="Times New Roman"/>
        </w:rPr>
        <w:t xml:space="preserve">, </w:t>
      </w:r>
      <w:r w:rsidRPr="0097008C">
        <w:rPr>
          <w:rFonts w:ascii="Times New Roman" w:hAnsi="Times New Roman" w:cs="Times New Roman"/>
        </w:rPr>
        <w:t xml:space="preserve">spiked with the internal standard containing a mixture of </w:t>
      </w:r>
      <w:r>
        <w:rPr>
          <w:rFonts w:ascii="Times New Roman" w:hAnsi="Times New Roman" w:cs="Times New Roman"/>
        </w:rPr>
        <w:t xml:space="preserve">the </w:t>
      </w:r>
      <w:r w:rsidRPr="0097008C">
        <w:rPr>
          <w:rFonts w:ascii="Times New Roman" w:hAnsi="Times New Roman" w:cs="Times New Roman"/>
        </w:rPr>
        <w:t>isotopically labeled analytes</w:t>
      </w:r>
      <w:r>
        <w:rPr>
          <w:rFonts w:ascii="Times New Roman" w:hAnsi="Times New Roman" w:cs="Times New Roman"/>
        </w:rPr>
        <w:t xml:space="preserve"> (</w:t>
      </w:r>
      <w:r w:rsidRPr="007E68F1">
        <w:rPr>
          <w:rFonts w:ascii="Times New Roman" w:hAnsi="Times New Roman" w:cs="Times New Roman"/>
          <w:bCs w:val="0"/>
          <w:color w:val="000000"/>
          <w:vertAlign w:val="superscript"/>
        </w:rPr>
        <w:t>13</w:t>
      </w:r>
      <w:r w:rsidRPr="007E68F1">
        <w:rPr>
          <w:rFonts w:ascii="Times New Roman" w:hAnsi="Times New Roman" w:cs="Times New Roman"/>
          <w:bCs w:val="0"/>
          <w:color w:val="000000"/>
        </w:rPr>
        <w:t>C</w:t>
      </w:r>
      <w:r w:rsidRPr="007E68F1">
        <w:rPr>
          <w:rFonts w:ascii="Times New Roman" w:hAnsi="Times New Roman" w:cs="Times New Roman"/>
          <w:bCs w:val="0"/>
          <w:color w:val="000000"/>
          <w:vertAlign w:val="subscript"/>
        </w:rPr>
        <w:t>3</w:t>
      </w:r>
      <w:r w:rsidRPr="007E68F1">
        <w:rPr>
          <w:rFonts w:ascii="Times New Roman" w:hAnsi="Times New Roman" w:cs="Times New Roman"/>
          <w:bCs w:val="0"/>
          <w:color w:val="000000"/>
        </w:rPr>
        <w:t xml:space="preserve">-PFBS, </w:t>
      </w:r>
      <w:r w:rsidRPr="007E68F1">
        <w:rPr>
          <w:rFonts w:ascii="Times New Roman" w:hAnsi="Times New Roman" w:cs="Times New Roman"/>
          <w:bCs w:val="0"/>
          <w:color w:val="000000"/>
          <w:vertAlign w:val="superscript"/>
        </w:rPr>
        <w:t>18</w:t>
      </w:r>
      <w:r w:rsidRPr="007E68F1">
        <w:rPr>
          <w:rFonts w:ascii="Times New Roman" w:hAnsi="Times New Roman" w:cs="Times New Roman"/>
          <w:bCs w:val="0"/>
          <w:color w:val="000000"/>
        </w:rPr>
        <w:t>O</w:t>
      </w:r>
      <w:r w:rsidRPr="007E68F1">
        <w:rPr>
          <w:rFonts w:ascii="Times New Roman" w:hAnsi="Times New Roman" w:cs="Times New Roman"/>
          <w:bCs w:val="0"/>
          <w:color w:val="000000"/>
          <w:vertAlign w:val="subscript"/>
        </w:rPr>
        <w:t>2</w:t>
      </w:r>
      <w:r w:rsidRPr="007E68F1">
        <w:rPr>
          <w:rFonts w:ascii="Times New Roman" w:hAnsi="Times New Roman" w:cs="Times New Roman"/>
          <w:bCs w:val="0"/>
          <w:color w:val="000000"/>
        </w:rPr>
        <w:t xml:space="preserve">-PFHxS, </w:t>
      </w:r>
      <w:r w:rsidRPr="007E68F1">
        <w:rPr>
          <w:rFonts w:ascii="Times New Roman" w:hAnsi="Times New Roman" w:cs="Times New Roman"/>
          <w:bCs w:val="0"/>
          <w:color w:val="000000"/>
          <w:vertAlign w:val="superscript"/>
        </w:rPr>
        <w:t>13</w:t>
      </w:r>
      <w:r w:rsidRPr="007E68F1">
        <w:rPr>
          <w:rFonts w:ascii="Times New Roman" w:hAnsi="Times New Roman" w:cs="Times New Roman"/>
          <w:bCs w:val="0"/>
          <w:color w:val="000000"/>
        </w:rPr>
        <w:t>C</w:t>
      </w:r>
      <w:r w:rsidRPr="007E68F1">
        <w:rPr>
          <w:rFonts w:ascii="Times New Roman" w:hAnsi="Times New Roman" w:cs="Times New Roman"/>
          <w:bCs w:val="0"/>
          <w:color w:val="000000"/>
          <w:vertAlign w:val="subscript"/>
        </w:rPr>
        <w:t>4</w:t>
      </w:r>
      <w:r w:rsidRPr="007E68F1">
        <w:rPr>
          <w:rFonts w:ascii="Times New Roman" w:hAnsi="Times New Roman" w:cs="Times New Roman"/>
          <w:bCs w:val="0"/>
          <w:color w:val="000000"/>
        </w:rPr>
        <w:t xml:space="preserve">-PFOS, </w:t>
      </w:r>
      <w:r w:rsidRPr="007E68F1">
        <w:rPr>
          <w:rFonts w:ascii="Times New Roman" w:hAnsi="Times New Roman" w:cs="Times New Roman"/>
          <w:bCs w:val="0"/>
          <w:color w:val="000000"/>
          <w:vertAlign w:val="superscript"/>
        </w:rPr>
        <w:t>13</w:t>
      </w:r>
      <w:r w:rsidRPr="007E68F1">
        <w:rPr>
          <w:rFonts w:ascii="Times New Roman" w:hAnsi="Times New Roman" w:cs="Times New Roman"/>
          <w:bCs w:val="0"/>
          <w:color w:val="000000"/>
        </w:rPr>
        <w:t>C</w:t>
      </w:r>
      <w:r w:rsidRPr="007E68F1">
        <w:rPr>
          <w:rFonts w:ascii="Times New Roman" w:hAnsi="Times New Roman" w:cs="Times New Roman"/>
          <w:bCs w:val="0"/>
          <w:color w:val="000000"/>
          <w:vertAlign w:val="subscript"/>
        </w:rPr>
        <w:t>2</w:t>
      </w:r>
      <w:r w:rsidRPr="007E68F1">
        <w:rPr>
          <w:rFonts w:ascii="Times New Roman" w:hAnsi="Times New Roman" w:cs="Times New Roman"/>
          <w:bCs w:val="0"/>
          <w:color w:val="000000"/>
        </w:rPr>
        <w:t xml:space="preserve">-PFBA, </w:t>
      </w:r>
      <w:r w:rsidRPr="007E68F1">
        <w:rPr>
          <w:rFonts w:ascii="Times New Roman" w:hAnsi="Times New Roman" w:cs="Times New Roman"/>
          <w:bCs w:val="0"/>
          <w:color w:val="000000"/>
          <w:vertAlign w:val="superscript"/>
        </w:rPr>
        <w:t>13</w:t>
      </w:r>
      <w:r w:rsidRPr="007E68F1">
        <w:rPr>
          <w:rFonts w:ascii="Times New Roman" w:hAnsi="Times New Roman" w:cs="Times New Roman"/>
          <w:bCs w:val="0"/>
          <w:color w:val="000000"/>
        </w:rPr>
        <w:t>C</w:t>
      </w:r>
      <w:r w:rsidRPr="007E68F1">
        <w:rPr>
          <w:rFonts w:ascii="Times New Roman" w:hAnsi="Times New Roman" w:cs="Times New Roman"/>
          <w:bCs w:val="0"/>
          <w:color w:val="000000"/>
          <w:vertAlign w:val="subscript"/>
        </w:rPr>
        <w:t>5</w:t>
      </w:r>
      <w:r w:rsidRPr="007E68F1">
        <w:rPr>
          <w:rFonts w:ascii="Times New Roman" w:hAnsi="Times New Roman" w:cs="Times New Roman"/>
          <w:bCs w:val="0"/>
          <w:color w:val="000000"/>
        </w:rPr>
        <w:t>-PFPeA,</w:t>
      </w:r>
      <w:r>
        <w:rPr>
          <w:rFonts w:ascii="Times New Roman" w:hAnsi="Times New Roman" w:cs="Times New Roman"/>
          <w:bCs w:val="0"/>
          <w:color w:val="000000"/>
        </w:rPr>
        <w:t xml:space="preserve"> </w:t>
      </w:r>
      <w:r w:rsidRPr="007E68F1">
        <w:rPr>
          <w:rFonts w:ascii="Times New Roman" w:hAnsi="Times New Roman" w:cs="Times New Roman"/>
          <w:bCs w:val="0"/>
          <w:color w:val="000000"/>
          <w:vertAlign w:val="superscript"/>
        </w:rPr>
        <w:t>13</w:t>
      </w:r>
      <w:r w:rsidRPr="007E68F1">
        <w:rPr>
          <w:rFonts w:ascii="Times New Roman" w:hAnsi="Times New Roman" w:cs="Times New Roman"/>
          <w:bCs w:val="0"/>
          <w:color w:val="000000"/>
        </w:rPr>
        <w:t>C</w:t>
      </w:r>
      <w:r w:rsidRPr="007E68F1">
        <w:rPr>
          <w:rFonts w:ascii="Times New Roman" w:hAnsi="Times New Roman" w:cs="Times New Roman"/>
          <w:bCs w:val="0"/>
          <w:color w:val="000000"/>
          <w:vertAlign w:val="subscript"/>
        </w:rPr>
        <w:t>2</w:t>
      </w:r>
      <w:r w:rsidRPr="007E68F1">
        <w:rPr>
          <w:rFonts w:ascii="Times New Roman" w:hAnsi="Times New Roman" w:cs="Times New Roman"/>
          <w:bCs w:val="0"/>
          <w:color w:val="000000"/>
        </w:rPr>
        <w:t xml:space="preserve">-PFHxA, </w:t>
      </w:r>
      <w:r w:rsidRPr="007E68F1">
        <w:rPr>
          <w:rFonts w:ascii="Times New Roman" w:hAnsi="Times New Roman" w:cs="Times New Roman"/>
          <w:bCs w:val="0"/>
          <w:color w:val="000000"/>
          <w:vertAlign w:val="superscript"/>
        </w:rPr>
        <w:t>13</w:t>
      </w:r>
      <w:r w:rsidRPr="007E68F1">
        <w:rPr>
          <w:rFonts w:ascii="Times New Roman" w:hAnsi="Times New Roman" w:cs="Times New Roman"/>
          <w:bCs w:val="0"/>
          <w:color w:val="000000"/>
        </w:rPr>
        <w:t>C</w:t>
      </w:r>
      <w:r w:rsidRPr="007E68F1">
        <w:rPr>
          <w:rFonts w:ascii="Times New Roman" w:hAnsi="Times New Roman" w:cs="Times New Roman"/>
          <w:bCs w:val="0"/>
          <w:color w:val="000000"/>
          <w:vertAlign w:val="subscript"/>
        </w:rPr>
        <w:t>5</w:t>
      </w:r>
      <w:r w:rsidRPr="007E68F1">
        <w:rPr>
          <w:rFonts w:ascii="Times New Roman" w:hAnsi="Times New Roman" w:cs="Times New Roman"/>
          <w:bCs w:val="0"/>
          <w:color w:val="000000"/>
        </w:rPr>
        <w:t xml:space="preserve">-PFHpA, </w:t>
      </w:r>
      <w:r w:rsidRPr="007E68F1">
        <w:rPr>
          <w:rFonts w:ascii="Times New Roman" w:hAnsi="Times New Roman" w:cs="Times New Roman"/>
          <w:bCs w:val="0"/>
          <w:color w:val="000000"/>
          <w:vertAlign w:val="superscript"/>
        </w:rPr>
        <w:t>13</w:t>
      </w:r>
      <w:r w:rsidRPr="007E68F1">
        <w:rPr>
          <w:rFonts w:ascii="Times New Roman" w:hAnsi="Times New Roman" w:cs="Times New Roman"/>
          <w:bCs w:val="0"/>
          <w:color w:val="000000"/>
        </w:rPr>
        <w:t>C</w:t>
      </w:r>
      <w:r w:rsidRPr="007E68F1">
        <w:rPr>
          <w:rFonts w:ascii="Times New Roman" w:hAnsi="Times New Roman" w:cs="Times New Roman"/>
          <w:bCs w:val="0"/>
          <w:color w:val="000000"/>
          <w:vertAlign w:val="subscript"/>
        </w:rPr>
        <w:t>4</w:t>
      </w:r>
      <w:r w:rsidRPr="007E68F1">
        <w:rPr>
          <w:rFonts w:ascii="Times New Roman" w:hAnsi="Times New Roman" w:cs="Times New Roman"/>
          <w:bCs w:val="0"/>
          <w:color w:val="000000"/>
        </w:rPr>
        <w:t xml:space="preserve">-PFOA, </w:t>
      </w:r>
      <w:r w:rsidRPr="007E68F1">
        <w:rPr>
          <w:rFonts w:ascii="Times New Roman" w:hAnsi="Times New Roman" w:cs="Times New Roman"/>
          <w:bCs w:val="0"/>
          <w:color w:val="000000"/>
          <w:vertAlign w:val="superscript"/>
        </w:rPr>
        <w:t>13</w:t>
      </w:r>
      <w:r w:rsidRPr="007E68F1">
        <w:rPr>
          <w:rFonts w:ascii="Times New Roman" w:hAnsi="Times New Roman" w:cs="Times New Roman"/>
          <w:bCs w:val="0"/>
          <w:color w:val="000000"/>
        </w:rPr>
        <w:t>C</w:t>
      </w:r>
      <w:r w:rsidRPr="007E68F1">
        <w:rPr>
          <w:rFonts w:ascii="Times New Roman" w:hAnsi="Times New Roman" w:cs="Times New Roman"/>
          <w:bCs w:val="0"/>
          <w:color w:val="000000"/>
          <w:vertAlign w:val="subscript"/>
        </w:rPr>
        <w:t>5</w:t>
      </w:r>
      <w:r w:rsidRPr="007E68F1">
        <w:rPr>
          <w:rFonts w:ascii="Times New Roman" w:hAnsi="Times New Roman" w:cs="Times New Roman"/>
          <w:bCs w:val="0"/>
          <w:color w:val="000000"/>
        </w:rPr>
        <w:t xml:space="preserve">-PFNA, </w:t>
      </w:r>
      <w:r w:rsidRPr="007E68F1">
        <w:rPr>
          <w:rFonts w:ascii="Times New Roman" w:hAnsi="Times New Roman" w:cs="Times New Roman"/>
          <w:bCs w:val="0"/>
          <w:color w:val="000000"/>
          <w:vertAlign w:val="superscript"/>
        </w:rPr>
        <w:t>13</w:t>
      </w:r>
      <w:r w:rsidRPr="007E68F1">
        <w:rPr>
          <w:rFonts w:ascii="Times New Roman" w:hAnsi="Times New Roman" w:cs="Times New Roman"/>
          <w:bCs w:val="0"/>
          <w:color w:val="000000"/>
        </w:rPr>
        <w:t>C</w:t>
      </w:r>
      <w:r w:rsidRPr="007E68F1">
        <w:rPr>
          <w:rFonts w:ascii="Times New Roman" w:hAnsi="Times New Roman" w:cs="Times New Roman"/>
          <w:bCs w:val="0"/>
          <w:color w:val="000000"/>
          <w:vertAlign w:val="subscript"/>
        </w:rPr>
        <w:t>2</w:t>
      </w:r>
      <w:r w:rsidRPr="007E68F1">
        <w:rPr>
          <w:rFonts w:ascii="Times New Roman" w:hAnsi="Times New Roman" w:cs="Times New Roman"/>
          <w:bCs w:val="0"/>
          <w:color w:val="000000"/>
        </w:rPr>
        <w:t xml:space="preserve">-PFDA, </w:t>
      </w:r>
      <w:r w:rsidRPr="007E68F1">
        <w:rPr>
          <w:rFonts w:ascii="Times New Roman" w:hAnsi="Times New Roman" w:cs="Times New Roman"/>
          <w:bCs w:val="0"/>
          <w:color w:val="000000"/>
          <w:vertAlign w:val="superscript"/>
        </w:rPr>
        <w:t>13</w:t>
      </w:r>
      <w:r w:rsidRPr="007E68F1">
        <w:rPr>
          <w:rFonts w:ascii="Times New Roman" w:hAnsi="Times New Roman" w:cs="Times New Roman"/>
          <w:bCs w:val="0"/>
          <w:color w:val="000000"/>
        </w:rPr>
        <w:t>C</w:t>
      </w:r>
      <w:r w:rsidRPr="007E68F1">
        <w:rPr>
          <w:rFonts w:ascii="Times New Roman" w:hAnsi="Times New Roman" w:cs="Times New Roman"/>
          <w:bCs w:val="0"/>
          <w:color w:val="000000"/>
          <w:vertAlign w:val="subscript"/>
        </w:rPr>
        <w:t>2</w:t>
      </w:r>
      <w:r w:rsidRPr="007E68F1">
        <w:rPr>
          <w:rFonts w:ascii="Times New Roman" w:hAnsi="Times New Roman" w:cs="Times New Roman"/>
          <w:bCs w:val="0"/>
          <w:color w:val="000000"/>
        </w:rPr>
        <w:t xml:space="preserve">-PFUnDA, </w:t>
      </w:r>
      <w:r w:rsidRPr="007E68F1">
        <w:rPr>
          <w:rFonts w:ascii="Times New Roman" w:hAnsi="Times New Roman" w:cs="Times New Roman"/>
          <w:bCs w:val="0"/>
          <w:color w:val="000000"/>
          <w:vertAlign w:val="superscript"/>
        </w:rPr>
        <w:t>13</w:t>
      </w:r>
      <w:r w:rsidRPr="007E68F1">
        <w:rPr>
          <w:rFonts w:ascii="Times New Roman" w:hAnsi="Times New Roman" w:cs="Times New Roman"/>
          <w:bCs w:val="0"/>
          <w:color w:val="000000"/>
        </w:rPr>
        <w:t>C</w:t>
      </w:r>
      <w:r w:rsidRPr="007E68F1">
        <w:rPr>
          <w:rFonts w:ascii="Times New Roman" w:hAnsi="Times New Roman" w:cs="Times New Roman"/>
          <w:bCs w:val="0"/>
          <w:color w:val="000000"/>
          <w:vertAlign w:val="subscript"/>
        </w:rPr>
        <w:t>3</w:t>
      </w:r>
      <w:r w:rsidRPr="007E68F1">
        <w:rPr>
          <w:rFonts w:ascii="Times New Roman" w:hAnsi="Times New Roman" w:cs="Times New Roman"/>
          <w:bCs w:val="0"/>
          <w:color w:val="000000"/>
        </w:rPr>
        <w:t>-HFPO-DA, D</w:t>
      </w:r>
      <w:r w:rsidRPr="007E68F1">
        <w:rPr>
          <w:rFonts w:ascii="Times New Roman" w:hAnsi="Times New Roman" w:cs="Times New Roman"/>
          <w:bCs w:val="0"/>
          <w:color w:val="000000"/>
          <w:vertAlign w:val="subscript"/>
        </w:rPr>
        <w:t>3</w:t>
      </w:r>
      <w:r w:rsidRPr="007E68F1">
        <w:rPr>
          <w:rFonts w:ascii="Times New Roman" w:hAnsi="Times New Roman" w:cs="Times New Roman"/>
          <w:bCs w:val="0"/>
          <w:color w:val="000000"/>
        </w:rPr>
        <w:t>-MeFOSAA, D</w:t>
      </w:r>
      <w:r w:rsidRPr="007E68F1">
        <w:rPr>
          <w:rFonts w:ascii="Times New Roman" w:hAnsi="Times New Roman" w:cs="Times New Roman"/>
          <w:bCs w:val="0"/>
          <w:color w:val="000000"/>
          <w:vertAlign w:val="subscript"/>
        </w:rPr>
        <w:t>5</w:t>
      </w:r>
      <w:r w:rsidRPr="007E68F1">
        <w:rPr>
          <w:rFonts w:ascii="Times New Roman" w:hAnsi="Times New Roman" w:cs="Times New Roman"/>
          <w:bCs w:val="0"/>
          <w:color w:val="000000"/>
        </w:rPr>
        <w:t xml:space="preserve">-EtFOSAA, and </w:t>
      </w:r>
      <w:r w:rsidRPr="007E68F1">
        <w:rPr>
          <w:rFonts w:ascii="Times New Roman" w:hAnsi="Times New Roman" w:cs="Times New Roman"/>
          <w:bCs w:val="0"/>
          <w:color w:val="000000"/>
          <w:vertAlign w:val="superscript"/>
        </w:rPr>
        <w:t>18</w:t>
      </w:r>
      <w:r w:rsidRPr="007E68F1">
        <w:rPr>
          <w:rFonts w:ascii="Times New Roman" w:hAnsi="Times New Roman" w:cs="Times New Roman"/>
          <w:bCs w:val="0"/>
          <w:color w:val="000000"/>
        </w:rPr>
        <w:t>O</w:t>
      </w:r>
      <w:r w:rsidRPr="007E68F1">
        <w:rPr>
          <w:rFonts w:ascii="Times New Roman" w:hAnsi="Times New Roman" w:cs="Times New Roman"/>
          <w:bCs w:val="0"/>
          <w:color w:val="000000"/>
          <w:vertAlign w:val="subscript"/>
        </w:rPr>
        <w:t>2</w:t>
      </w:r>
      <w:r w:rsidRPr="007E68F1">
        <w:rPr>
          <w:rFonts w:ascii="Times New Roman" w:hAnsi="Times New Roman" w:cs="Times New Roman"/>
          <w:bCs w:val="0"/>
          <w:color w:val="000000"/>
        </w:rPr>
        <w:t>-FOSA</w:t>
      </w:r>
      <w:r>
        <w:rPr>
          <w:rFonts w:ascii="Times New Roman" w:hAnsi="Times New Roman" w:cs="Times New Roman"/>
          <w:bCs w:val="0"/>
          <w:color w:val="000000"/>
        </w:rPr>
        <w:t>)</w:t>
      </w:r>
      <w:r w:rsidRPr="0097008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β</w:t>
      </w:r>
      <w:r w:rsidRPr="0097008C">
        <w:rPr>
          <w:rFonts w:ascii="Times New Roman" w:hAnsi="Times New Roman" w:cs="Times New Roman"/>
        </w:rPr>
        <w:t>-glucuroni</w:t>
      </w:r>
      <w:r>
        <w:rPr>
          <w:rFonts w:ascii="Times New Roman" w:hAnsi="Times New Roman" w:cs="Times New Roman"/>
        </w:rPr>
        <w:t>dase in ammonium acetate buffer, and incubated at 37 °</w:t>
      </w:r>
      <w:r w:rsidRPr="0097008C">
        <w:rPr>
          <w:rFonts w:ascii="Times New Roman" w:hAnsi="Times New Roman" w:cs="Times New Roman"/>
        </w:rPr>
        <w:t xml:space="preserve">C for </w:t>
      </w:r>
      <w:r>
        <w:rPr>
          <w:rFonts w:ascii="Times New Roman" w:hAnsi="Times New Roman" w:cs="Times New Roman"/>
        </w:rPr>
        <w:t>240</w:t>
      </w:r>
      <w:r w:rsidRPr="0097008C">
        <w:rPr>
          <w:rFonts w:ascii="Times New Roman" w:hAnsi="Times New Roman" w:cs="Times New Roman"/>
        </w:rPr>
        <w:t xml:space="preserve"> min for the enzymatic hydrolysis of </w:t>
      </w:r>
      <w:r>
        <w:rPr>
          <w:rFonts w:ascii="Times New Roman" w:hAnsi="Times New Roman" w:cs="Times New Roman"/>
        </w:rPr>
        <w:t>urinary conjugates,</w:t>
      </w:r>
      <w:r w:rsidRPr="0097008C">
        <w:rPr>
          <w:rFonts w:ascii="Times New Roman" w:hAnsi="Times New Roman" w:cs="Times New Roman"/>
        </w:rPr>
        <w:t xml:space="preserve"> followed by the addition of </w:t>
      </w:r>
      <w:r>
        <w:rPr>
          <w:rFonts w:ascii="Times New Roman" w:hAnsi="Times New Roman" w:cs="Times New Roman"/>
        </w:rPr>
        <w:t>formic acid.</w:t>
      </w:r>
    </w:p>
    <w:p w:rsidR="004757BA" w:rsidRDefault="004757BA" w:rsidP="004757BA">
      <w:pPr>
        <w:spacing w:line="480" w:lineRule="auto"/>
        <w:ind w:left="360"/>
        <w:rPr>
          <w:rFonts w:ascii="Times New Roman" w:hAnsi="Times New Roman" w:cs="Times New Roman"/>
        </w:rPr>
      </w:pPr>
    </w:p>
    <w:p w:rsidR="004757BA" w:rsidRDefault="004757BA" w:rsidP="004757BA">
      <w:pPr>
        <w:spacing w:line="480" w:lineRule="auto"/>
        <w:ind w:left="360"/>
        <w:rPr>
          <w:rFonts w:ascii="Times New Roman" w:hAnsi="Times New Roman" w:cs="Times New Roman"/>
          <w:bCs w:val="0"/>
          <w:color w:val="000000"/>
        </w:rPr>
      </w:pPr>
      <w:r w:rsidRPr="00F96007">
        <w:rPr>
          <w:rFonts w:ascii="Times New Roman" w:hAnsi="Times New Roman" w:cs="Times New Roman"/>
          <w:bCs w:val="0"/>
          <w:color w:val="000000"/>
        </w:rPr>
        <w:t>Instrumental analysis</w:t>
      </w:r>
    </w:p>
    <w:p w:rsidR="004757BA" w:rsidRDefault="004757BA" w:rsidP="004757BA">
      <w:pPr>
        <w:spacing w:line="480" w:lineRule="auto"/>
        <w:ind w:left="360"/>
        <w:rPr>
          <w:rFonts w:ascii="Times New Roman" w:hAnsi="Times New Roman" w:cs="Times New Roman"/>
          <w:bCs w:val="0"/>
          <w:color w:val="000000"/>
        </w:rPr>
      </w:pPr>
      <w:r>
        <w:rPr>
          <w:rFonts w:ascii="Times New Roman" w:hAnsi="Times New Roman" w:cs="Times New Roman"/>
          <w:bCs w:val="0"/>
          <w:color w:val="000000"/>
        </w:rPr>
        <w:t>F</w:t>
      </w:r>
      <w:r w:rsidRPr="004A42C7">
        <w:rPr>
          <w:rFonts w:ascii="Times New Roman" w:hAnsi="Times New Roman" w:cs="Times New Roman"/>
          <w:bCs w:val="0"/>
          <w:color w:val="000000"/>
        </w:rPr>
        <w:t xml:space="preserve">or preconcentration of the </w:t>
      </w:r>
      <w:r>
        <w:rPr>
          <w:rFonts w:ascii="Times New Roman" w:hAnsi="Times New Roman" w:cs="Times New Roman"/>
          <w:bCs w:val="0"/>
          <w:color w:val="000000"/>
        </w:rPr>
        <w:t xml:space="preserve">target </w:t>
      </w:r>
      <w:r w:rsidRPr="004A42C7">
        <w:rPr>
          <w:rFonts w:ascii="Times New Roman" w:hAnsi="Times New Roman" w:cs="Times New Roman"/>
          <w:bCs w:val="0"/>
          <w:color w:val="000000"/>
        </w:rPr>
        <w:t>analytes</w:t>
      </w:r>
      <w:r>
        <w:rPr>
          <w:rFonts w:ascii="Times New Roman" w:hAnsi="Times New Roman" w:cs="Times New Roman"/>
          <w:bCs w:val="0"/>
          <w:color w:val="000000"/>
        </w:rPr>
        <w:t>, t</w:t>
      </w:r>
      <w:r w:rsidRPr="004A42C7">
        <w:rPr>
          <w:rFonts w:ascii="Times New Roman" w:hAnsi="Times New Roman" w:cs="Times New Roman"/>
          <w:bCs w:val="0"/>
          <w:color w:val="000000"/>
        </w:rPr>
        <w:t xml:space="preserve">he pretreated urine </w:t>
      </w:r>
      <w:r>
        <w:rPr>
          <w:rFonts w:ascii="Times New Roman" w:hAnsi="Times New Roman" w:cs="Times New Roman"/>
          <w:bCs w:val="0"/>
          <w:color w:val="000000"/>
        </w:rPr>
        <w:t>sample is</w:t>
      </w:r>
      <w:r w:rsidRPr="004A42C7">
        <w:rPr>
          <w:rFonts w:ascii="Times New Roman" w:hAnsi="Times New Roman" w:cs="Times New Roman"/>
          <w:bCs w:val="0"/>
          <w:color w:val="000000"/>
        </w:rPr>
        <w:t xml:space="preserve"> loaded onto a </w:t>
      </w:r>
      <w:r>
        <w:rPr>
          <w:rFonts w:ascii="Times New Roman" w:hAnsi="Times New Roman" w:cs="Times New Roman"/>
          <w:bCs w:val="0"/>
          <w:color w:val="000000"/>
        </w:rPr>
        <w:t xml:space="preserve">SPE </w:t>
      </w:r>
      <w:r w:rsidRPr="004A42C7">
        <w:rPr>
          <w:rFonts w:ascii="Times New Roman" w:hAnsi="Times New Roman" w:cs="Times New Roman"/>
          <w:bCs w:val="0"/>
          <w:color w:val="000000"/>
        </w:rPr>
        <w:t>Oasis WAX 30 mm, 10mm</w:t>
      </w:r>
      <w:r>
        <w:rPr>
          <w:rFonts w:ascii="Times New Roman" w:hAnsi="Times New Roman" w:cs="Times New Roman"/>
          <w:bCs w:val="0"/>
          <w:color w:val="000000"/>
        </w:rPr>
        <w:t>×</w:t>
      </w:r>
      <w:r w:rsidRPr="004A42C7">
        <w:rPr>
          <w:rFonts w:ascii="Times New Roman" w:hAnsi="Times New Roman" w:cs="Times New Roman"/>
          <w:bCs w:val="0"/>
          <w:color w:val="000000"/>
        </w:rPr>
        <w:t>1mm (Waters)</w:t>
      </w:r>
      <w:r>
        <w:rPr>
          <w:rFonts w:ascii="Times New Roman" w:hAnsi="Times New Roman" w:cs="Times New Roman"/>
          <w:bCs w:val="0"/>
          <w:color w:val="000000"/>
        </w:rPr>
        <w:t xml:space="preserve"> </w:t>
      </w:r>
      <w:r w:rsidRPr="004A42C7">
        <w:rPr>
          <w:rFonts w:ascii="Times New Roman" w:hAnsi="Times New Roman" w:cs="Times New Roman"/>
          <w:bCs w:val="0"/>
          <w:color w:val="000000"/>
        </w:rPr>
        <w:t xml:space="preserve">cartridge </w:t>
      </w:r>
      <w:r>
        <w:rPr>
          <w:rFonts w:ascii="Times New Roman" w:hAnsi="Times New Roman" w:cs="Times New Roman"/>
          <w:bCs w:val="0"/>
          <w:color w:val="000000"/>
        </w:rPr>
        <w:t>on</w:t>
      </w:r>
      <w:r w:rsidRPr="004A42C7">
        <w:rPr>
          <w:rFonts w:ascii="Times New Roman" w:hAnsi="Times New Roman" w:cs="Times New Roman"/>
          <w:bCs w:val="0"/>
          <w:color w:val="000000"/>
        </w:rPr>
        <w:t xml:space="preserve"> </w:t>
      </w:r>
      <w:r>
        <w:rPr>
          <w:rFonts w:ascii="Times New Roman" w:hAnsi="Times New Roman" w:cs="Times New Roman"/>
          <w:bCs w:val="0"/>
          <w:color w:val="000000"/>
        </w:rPr>
        <w:t xml:space="preserve">a </w:t>
      </w:r>
      <w:proofErr w:type="spellStart"/>
      <w:r w:rsidRPr="004A42C7">
        <w:rPr>
          <w:rFonts w:ascii="Times New Roman" w:hAnsi="Times New Roman" w:cs="Times New Roman"/>
          <w:bCs w:val="0"/>
          <w:color w:val="000000"/>
        </w:rPr>
        <w:t>Symbiosys</w:t>
      </w:r>
      <w:proofErr w:type="spellEnd"/>
      <w:r>
        <w:rPr>
          <w:rFonts w:ascii="Times New Roman" w:hAnsi="Times New Roman" w:cs="Times New Roman"/>
          <w:bCs w:val="0"/>
          <w:color w:val="000000"/>
        </w:rPr>
        <w:t xml:space="preserve"> </w:t>
      </w:r>
      <w:r w:rsidRPr="004A42C7">
        <w:rPr>
          <w:rFonts w:ascii="Times New Roman" w:hAnsi="Times New Roman" w:cs="Times New Roman"/>
          <w:bCs w:val="0"/>
          <w:color w:val="000000"/>
        </w:rPr>
        <w:t xml:space="preserve">PICO (Spark Holland, VE Emmen, </w:t>
      </w:r>
      <w:r>
        <w:rPr>
          <w:rFonts w:ascii="Times New Roman" w:hAnsi="Times New Roman" w:cs="Times New Roman"/>
          <w:bCs w:val="0"/>
          <w:color w:val="000000"/>
        </w:rPr>
        <w:t xml:space="preserve">The Netherlands) coupled with a </w:t>
      </w:r>
      <w:proofErr w:type="spellStart"/>
      <w:r w:rsidRPr="004A42C7">
        <w:rPr>
          <w:rFonts w:ascii="Times New Roman" w:hAnsi="Times New Roman" w:cs="Times New Roman"/>
          <w:bCs w:val="0"/>
          <w:color w:val="000000"/>
        </w:rPr>
        <w:t>Sciex</w:t>
      </w:r>
      <w:proofErr w:type="spellEnd"/>
      <w:r w:rsidRPr="004A42C7">
        <w:rPr>
          <w:rFonts w:ascii="Times New Roman" w:hAnsi="Times New Roman" w:cs="Times New Roman"/>
          <w:bCs w:val="0"/>
          <w:color w:val="000000"/>
        </w:rPr>
        <w:t xml:space="preserve"> Triple Quad 5500 or </w:t>
      </w:r>
      <w:proofErr w:type="spellStart"/>
      <w:r w:rsidRPr="004A42C7">
        <w:rPr>
          <w:rFonts w:ascii="Times New Roman" w:hAnsi="Times New Roman" w:cs="Times New Roman"/>
          <w:bCs w:val="0"/>
          <w:color w:val="000000"/>
        </w:rPr>
        <w:t>Qtrap</w:t>
      </w:r>
      <w:proofErr w:type="spellEnd"/>
      <w:r w:rsidRPr="004A42C7">
        <w:rPr>
          <w:rFonts w:ascii="Times New Roman" w:hAnsi="Times New Roman" w:cs="Times New Roman"/>
          <w:bCs w:val="0"/>
          <w:color w:val="000000"/>
        </w:rPr>
        <w:t xml:space="preserve"> 6500 mass spectrometer (</w:t>
      </w:r>
      <w:proofErr w:type="spellStart"/>
      <w:r w:rsidRPr="004A42C7">
        <w:rPr>
          <w:rFonts w:ascii="Times New Roman" w:hAnsi="Times New Roman" w:cs="Times New Roman"/>
          <w:bCs w:val="0"/>
          <w:color w:val="000000"/>
        </w:rPr>
        <w:t>Sciex</w:t>
      </w:r>
      <w:proofErr w:type="spellEnd"/>
      <w:r w:rsidRPr="004A42C7">
        <w:rPr>
          <w:rFonts w:ascii="Times New Roman" w:hAnsi="Times New Roman" w:cs="Times New Roman"/>
          <w:bCs w:val="0"/>
          <w:color w:val="000000"/>
        </w:rPr>
        <w:t>,</w:t>
      </w:r>
      <w:r>
        <w:rPr>
          <w:rFonts w:ascii="Times New Roman" w:hAnsi="Times New Roman" w:cs="Times New Roman"/>
          <w:bCs w:val="0"/>
          <w:color w:val="000000"/>
        </w:rPr>
        <w:t xml:space="preserve"> </w:t>
      </w:r>
      <w:r w:rsidRPr="004A42C7">
        <w:rPr>
          <w:rFonts w:ascii="Times New Roman" w:hAnsi="Times New Roman" w:cs="Times New Roman"/>
          <w:bCs w:val="0"/>
          <w:color w:val="000000"/>
        </w:rPr>
        <w:t xml:space="preserve">Framingham, MA, USA). </w:t>
      </w:r>
      <w:r>
        <w:rPr>
          <w:rFonts w:ascii="Times New Roman" w:hAnsi="Times New Roman" w:cs="Times New Roman"/>
          <w:bCs w:val="0"/>
          <w:color w:val="000000"/>
        </w:rPr>
        <w:t>Elution with NH</w:t>
      </w:r>
      <w:r w:rsidRPr="004A42C7">
        <w:rPr>
          <w:rFonts w:ascii="Times New Roman" w:hAnsi="Times New Roman" w:cs="Times New Roman"/>
          <w:bCs w:val="0"/>
          <w:color w:val="000000"/>
          <w:vertAlign w:val="subscript"/>
        </w:rPr>
        <w:t>4</w:t>
      </w:r>
      <w:r>
        <w:rPr>
          <w:rFonts w:ascii="Times New Roman" w:hAnsi="Times New Roman" w:cs="Times New Roman"/>
          <w:bCs w:val="0"/>
          <w:color w:val="000000"/>
        </w:rPr>
        <w:t>OH in MeOH</w:t>
      </w:r>
      <w:r w:rsidRPr="004A42C7">
        <w:rPr>
          <w:rFonts w:ascii="Times New Roman" w:hAnsi="Times New Roman" w:cs="Times New Roman"/>
          <w:bCs w:val="0"/>
          <w:color w:val="000000"/>
        </w:rPr>
        <w:t xml:space="preserve"> transfer</w:t>
      </w:r>
      <w:r>
        <w:rPr>
          <w:rFonts w:ascii="Times New Roman" w:hAnsi="Times New Roman" w:cs="Times New Roman"/>
          <w:bCs w:val="0"/>
          <w:color w:val="000000"/>
        </w:rPr>
        <w:t>s</w:t>
      </w:r>
      <w:r w:rsidRPr="004A42C7">
        <w:rPr>
          <w:rFonts w:ascii="Times New Roman" w:hAnsi="Times New Roman" w:cs="Times New Roman"/>
          <w:bCs w:val="0"/>
          <w:color w:val="000000"/>
        </w:rPr>
        <w:t xml:space="preserve"> the analytes onto a </w:t>
      </w:r>
      <w:proofErr w:type="spellStart"/>
      <w:r w:rsidRPr="004A42C7">
        <w:rPr>
          <w:rFonts w:ascii="Times New Roman" w:hAnsi="Times New Roman" w:cs="Times New Roman"/>
          <w:bCs w:val="0"/>
          <w:color w:val="000000"/>
        </w:rPr>
        <w:t>Chromolith</w:t>
      </w:r>
      <w:proofErr w:type="spellEnd"/>
      <w:r w:rsidRPr="004A42C7">
        <w:rPr>
          <w:rFonts w:ascii="Times New Roman" w:hAnsi="Times New Roman" w:cs="Times New Roman"/>
          <w:bCs w:val="0"/>
          <w:color w:val="000000"/>
        </w:rPr>
        <w:t xml:space="preserve">® </w:t>
      </w:r>
      <w:proofErr w:type="spellStart"/>
      <w:r w:rsidRPr="004A42C7">
        <w:rPr>
          <w:rFonts w:ascii="Times New Roman" w:hAnsi="Times New Roman" w:cs="Times New Roman"/>
          <w:bCs w:val="0"/>
          <w:color w:val="000000"/>
        </w:rPr>
        <w:t>HighResolution</w:t>
      </w:r>
      <w:proofErr w:type="spellEnd"/>
      <w:r w:rsidRPr="004A42C7">
        <w:rPr>
          <w:rFonts w:ascii="Times New Roman" w:hAnsi="Times New Roman" w:cs="Times New Roman"/>
          <w:bCs w:val="0"/>
          <w:color w:val="000000"/>
        </w:rPr>
        <w:t xml:space="preserve"> RP-18e</w:t>
      </w:r>
      <w:r>
        <w:rPr>
          <w:rFonts w:ascii="Times New Roman" w:hAnsi="Times New Roman" w:cs="Times New Roman"/>
          <w:bCs w:val="0"/>
          <w:color w:val="000000"/>
        </w:rPr>
        <w:t xml:space="preserve"> </w:t>
      </w:r>
      <w:r w:rsidRPr="004A42C7">
        <w:rPr>
          <w:rFonts w:ascii="Times New Roman" w:hAnsi="Times New Roman" w:cs="Times New Roman"/>
          <w:bCs w:val="0"/>
          <w:color w:val="000000"/>
        </w:rPr>
        <w:t xml:space="preserve">guard column (4.6 </w:t>
      </w:r>
      <w:r>
        <w:rPr>
          <w:rFonts w:ascii="Times New Roman" w:hAnsi="Times New Roman" w:cs="Times New Roman"/>
          <w:bCs w:val="0"/>
          <w:color w:val="000000"/>
        </w:rPr>
        <w:t>×</w:t>
      </w:r>
      <w:r w:rsidRPr="004A42C7">
        <w:rPr>
          <w:rFonts w:ascii="Times New Roman" w:hAnsi="Times New Roman" w:cs="Times New Roman"/>
          <w:bCs w:val="0"/>
          <w:color w:val="000000"/>
        </w:rPr>
        <w:t xml:space="preserve"> 5 mm) followed by a </w:t>
      </w:r>
      <w:proofErr w:type="spellStart"/>
      <w:r w:rsidRPr="004A42C7">
        <w:rPr>
          <w:rFonts w:ascii="Times New Roman" w:hAnsi="Times New Roman" w:cs="Times New Roman"/>
          <w:bCs w:val="0"/>
          <w:color w:val="000000"/>
        </w:rPr>
        <w:t>Chromolith</w:t>
      </w:r>
      <w:proofErr w:type="spellEnd"/>
      <w:r w:rsidRPr="004A42C7">
        <w:rPr>
          <w:rFonts w:ascii="Times New Roman" w:hAnsi="Times New Roman" w:cs="Times New Roman"/>
          <w:bCs w:val="0"/>
          <w:color w:val="000000"/>
        </w:rPr>
        <w:t xml:space="preserve">® High-Resolution RP-18e column (4.6 </w:t>
      </w:r>
      <w:r>
        <w:rPr>
          <w:rFonts w:ascii="Times New Roman" w:hAnsi="Times New Roman" w:cs="Times New Roman"/>
          <w:bCs w:val="0"/>
          <w:color w:val="000000"/>
        </w:rPr>
        <w:t>×</w:t>
      </w:r>
      <w:r w:rsidRPr="004A42C7">
        <w:rPr>
          <w:rFonts w:ascii="Times New Roman" w:hAnsi="Times New Roman" w:cs="Times New Roman"/>
          <w:bCs w:val="0"/>
          <w:color w:val="000000"/>
        </w:rPr>
        <w:t xml:space="preserve"> 25 mm) (Merck </w:t>
      </w:r>
      <w:proofErr w:type="spellStart"/>
      <w:r w:rsidRPr="004A42C7">
        <w:rPr>
          <w:rFonts w:ascii="Times New Roman" w:hAnsi="Times New Roman" w:cs="Times New Roman"/>
          <w:bCs w:val="0"/>
          <w:color w:val="000000"/>
        </w:rPr>
        <w:t>KGaA</w:t>
      </w:r>
      <w:proofErr w:type="spellEnd"/>
      <w:r w:rsidRPr="004A42C7">
        <w:rPr>
          <w:rFonts w:ascii="Times New Roman" w:hAnsi="Times New Roman" w:cs="Times New Roman"/>
          <w:bCs w:val="0"/>
          <w:color w:val="000000"/>
        </w:rPr>
        <w:t xml:space="preserve">, Germany). The analytes </w:t>
      </w:r>
      <w:r>
        <w:rPr>
          <w:rFonts w:ascii="Times New Roman" w:hAnsi="Times New Roman" w:cs="Times New Roman"/>
          <w:bCs w:val="0"/>
          <w:color w:val="000000"/>
        </w:rPr>
        <w:t>are</w:t>
      </w:r>
      <w:r w:rsidRPr="004A42C7">
        <w:rPr>
          <w:rFonts w:ascii="Times New Roman" w:hAnsi="Times New Roman" w:cs="Times New Roman"/>
          <w:bCs w:val="0"/>
          <w:color w:val="000000"/>
        </w:rPr>
        <w:t xml:space="preserve"> chromatographically resolved using a gradient </w:t>
      </w:r>
      <w:r>
        <w:rPr>
          <w:rFonts w:ascii="Times New Roman" w:hAnsi="Times New Roman" w:cs="Times New Roman"/>
          <w:bCs w:val="0"/>
          <w:color w:val="000000"/>
        </w:rPr>
        <w:t xml:space="preserve">of </w:t>
      </w:r>
      <w:r w:rsidRPr="00A021DB">
        <w:rPr>
          <w:rFonts w:ascii="Times New Roman" w:hAnsi="Times New Roman" w:cs="Times New Roman"/>
          <w:bCs w:val="0"/>
          <w:color w:val="000000"/>
        </w:rPr>
        <w:t>ammonium acetate (pH 4.0) in</w:t>
      </w:r>
      <w:r>
        <w:rPr>
          <w:rFonts w:ascii="Times New Roman" w:hAnsi="Times New Roman" w:cs="Times New Roman"/>
          <w:bCs w:val="0"/>
          <w:color w:val="000000"/>
        </w:rPr>
        <w:t xml:space="preserve"> </w:t>
      </w:r>
      <w:r w:rsidRPr="004A42C7">
        <w:rPr>
          <w:rFonts w:ascii="Times New Roman" w:hAnsi="Times New Roman" w:cs="Times New Roman"/>
          <w:bCs w:val="0"/>
          <w:color w:val="000000"/>
        </w:rPr>
        <w:t xml:space="preserve">acetonitrile </w:t>
      </w:r>
      <w:r>
        <w:rPr>
          <w:rFonts w:ascii="Times New Roman" w:hAnsi="Times New Roman" w:cs="Times New Roman"/>
          <w:bCs w:val="0"/>
          <w:color w:val="000000"/>
        </w:rPr>
        <w:t>(</w:t>
      </w:r>
      <w:r w:rsidRPr="004A42C7">
        <w:rPr>
          <w:rFonts w:ascii="Times New Roman" w:hAnsi="Times New Roman" w:cs="Times New Roman"/>
          <w:bCs w:val="0"/>
          <w:color w:val="000000"/>
        </w:rPr>
        <w:t>mobile phase A</w:t>
      </w:r>
      <w:r>
        <w:rPr>
          <w:rFonts w:ascii="Times New Roman" w:hAnsi="Times New Roman" w:cs="Times New Roman"/>
          <w:bCs w:val="0"/>
          <w:color w:val="000000"/>
        </w:rPr>
        <w:t xml:space="preserve">) </w:t>
      </w:r>
      <w:r w:rsidRPr="004A42C7">
        <w:rPr>
          <w:rFonts w:ascii="Times New Roman" w:hAnsi="Times New Roman" w:cs="Times New Roman"/>
          <w:bCs w:val="0"/>
          <w:color w:val="000000"/>
        </w:rPr>
        <w:t xml:space="preserve">and acetonitrile </w:t>
      </w:r>
      <w:r>
        <w:rPr>
          <w:rFonts w:ascii="Times New Roman" w:hAnsi="Times New Roman" w:cs="Times New Roman"/>
          <w:bCs w:val="0"/>
          <w:color w:val="000000"/>
        </w:rPr>
        <w:t>(</w:t>
      </w:r>
      <w:r w:rsidRPr="004A42C7">
        <w:rPr>
          <w:rFonts w:ascii="Times New Roman" w:hAnsi="Times New Roman" w:cs="Times New Roman"/>
          <w:bCs w:val="0"/>
          <w:color w:val="000000"/>
        </w:rPr>
        <w:t>mobile phase</w:t>
      </w:r>
      <w:r>
        <w:rPr>
          <w:rFonts w:ascii="Times New Roman" w:hAnsi="Times New Roman" w:cs="Times New Roman"/>
          <w:bCs w:val="0"/>
          <w:color w:val="000000"/>
        </w:rPr>
        <w:t xml:space="preserve"> </w:t>
      </w:r>
      <w:r w:rsidRPr="004A42C7">
        <w:rPr>
          <w:rFonts w:ascii="Times New Roman" w:hAnsi="Times New Roman" w:cs="Times New Roman"/>
          <w:bCs w:val="0"/>
          <w:color w:val="000000"/>
        </w:rPr>
        <w:t>B</w:t>
      </w:r>
      <w:r>
        <w:rPr>
          <w:rFonts w:ascii="Times New Roman" w:hAnsi="Times New Roman" w:cs="Times New Roman"/>
          <w:bCs w:val="0"/>
          <w:color w:val="000000"/>
        </w:rPr>
        <w:t>)</w:t>
      </w:r>
      <w:r w:rsidRPr="004A42C7">
        <w:rPr>
          <w:rFonts w:ascii="Times New Roman" w:hAnsi="Times New Roman" w:cs="Times New Roman"/>
          <w:bCs w:val="0"/>
          <w:color w:val="000000"/>
        </w:rPr>
        <w:t xml:space="preserve"> </w:t>
      </w:r>
      <w:r>
        <w:rPr>
          <w:rFonts w:ascii="Times New Roman" w:hAnsi="Times New Roman" w:cs="Times New Roman"/>
          <w:bCs w:val="0"/>
          <w:color w:val="000000"/>
        </w:rPr>
        <w:t>at</w:t>
      </w:r>
      <w:r w:rsidRPr="004A42C7">
        <w:rPr>
          <w:rFonts w:ascii="Times New Roman" w:hAnsi="Times New Roman" w:cs="Times New Roman"/>
          <w:bCs w:val="0"/>
          <w:color w:val="000000"/>
        </w:rPr>
        <w:t xml:space="preserve"> </w:t>
      </w:r>
      <w:r>
        <w:rPr>
          <w:rFonts w:ascii="Times New Roman" w:hAnsi="Times New Roman" w:cs="Times New Roman"/>
          <w:bCs w:val="0"/>
          <w:color w:val="000000"/>
        </w:rPr>
        <w:t>1000</w:t>
      </w:r>
      <w:r w:rsidRPr="004A42C7">
        <w:rPr>
          <w:rFonts w:ascii="Times New Roman" w:hAnsi="Times New Roman" w:cs="Times New Roman"/>
          <w:bCs w:val="0"/>
          <w:color w:val="000000"/>
        </w:rPr>
        <w:t xml:space="preserve"> </w:t>
      </w:r>
      <w:r>
        <w:rPr>
          <w:rFonts w:ascii="Times New Roman" w:hAnsi="Times New Roman" w:cs="Times New Roman"/>
          <w:bCs w:val="0"/>
          <w:color w:val="000000"/>
        </w:rPr>
        <w:t>µ</w:t>
      </w:r>
      <w:r w:rsidRPr="004A42C7">
        <w:rPr>
          <w:rFonts w:ascii="Times New Roman" w:hAnsi="Times New Roman" w:cs="Times New Roman"/>
          <w:bCs w:val="0"/>
          <w:color w:val="000000"/>
        </w:rPr>
        <w:t>L/</w:t>
      </w:r>
      <w:proofErr w:type="gramStart"/>
      <w:r w:rsidRPr="004A42C7">
        <w:rPr>
          <w:rFonts w:ascii="Times New Roman" w:hAnsi="Times New Roman" w:cs="Times New Roman"/>
          <w:bCs w:val="0"/>
          <w:color w:val="000000"/>
        </w:rPr>
        <w:t>minute</w:t>
      </w:r>
      <w:r>
        <w:rPr>
          <w:rFonts w:ascii="Times New Roman" w:hAnsi="Times New Roman" w:cs="Times New Roman"/>
          <w:bCs w:val="0"/>
          <w:color w:val="000000"/>
        </w:rPr>
        <w:t>, and</w:t>
      </w:r>
      <w:proofErr w:type="gramEnd"/>
      <w:r>
        <w:rPr>
          <w:rFonts w:ascii="Times New Roman" w:hAnsi="Times New Roman" w:cs="Times New Roman"/>
          <w:bCs w:val="0"/>
          <w:color w:val="000000"/>
        </w:rPr>
        <w:t xml:space="preserve"> detected using negative ion</w:t>
      </w:r>
      <w:r w:rsidRPr="004A42C7">
        <w:rPr>
          <w:rFonts w:ascii="Times New Roman" w:hAnsi="Times New Roman" w:cs="Times New Roman"/>
          <w:bCs w:val="0"/>
          <w:color w:val="000000"/>
        </w:rPr>
        <w:t xml:space="preserve"> </w:t>
      </w:r>
      <w:proofErr w:type="spellStart"/>
      <w:r w:rsidRPr="004A42C7">
        <w:rPr>
          <w:rFonts w:ascii="Times New Roman" w:hAnsi="Times New Roman" w:cs="Times New Roman"/>
          <w:bCs w:val="0"/>
          <w:color w:val="000000"/>
        </w:rPr>
        <w:t>TurboIonSpray</w:t>
      </w:r>
      <w:proofErr w:type="spellEnd"/>
      <w:r w:rsidRPr="004A42C7">
        <w:rPr>
          <w:rFonts w:ascii="Times New Roman" w:hAnsi="Times New Roman" w:cs="Times New Roman"/>
          <w:bCs w:val="0"/>
          <w:color w:val="000000"/>
        </w:rPr>
        <w:t xml:space="preserve"> ionization. </w:t>
      </w:r>
      <w:r w:rsidRPr="00A021DB">
        <w:rPr>
          <w:rFonts w:ascii="Times New Roman" w:hAnsi="Times New Roman" w:cs="Times New Roman"/>
          <w:bCs w:val="0"/>
          <w:color w:val="000000"/>
        </w:rPr>
        <w:t xml:space="preserve">Data acquisition </w:t>
      </w:r>
      <w:r>
        <w:rPr>
          <w:rFonts w:ascii="Times New Roman" w:hAnsi="Times New Roman" w:cs="Times New Roman"/>
          <w:bCs w:val="0"/>
          <w:color w:val="000000"/>
        </w:rPr>
        <w:t>uses</w:t>
      </w:r>
      <w:r w:rsidRPr="00A021DB">
        <w:rPr>
          <w:rFonts w:ascii="Times New Roman" w:hAnsi="Times New Roman" w:cs="Times New Roman"/>
          <w:bCs w:val="0"/>
          <w:color w:val="000000"/>
        </w:rPr>
        <w:t xml:space="preserve"> Analyst 1.6.2</w:t>
      </w:r>
      <w:r>
        <w:rPr>
          <w:rFonts w:ascii="Times New Roman" w:hAnsi="Times New Roman" w:cs="Times New Roman"/>
          <w:bCs w:val="0"/>
          <w:color w:val="000000"/>
        </w:rPr>
        <w:t xml:space="preserve"> </w:t>
      </w:r>
      <w:r w:rsidRPr="00A021DB">
        <w:rPr>
          <w:rFonts w:ascii="Times New Roman" w:hAnsi="Times New Roman" w:cs="Times New Roman"/>
          <w:bCs w:val="0"/>
          <w:color w:val="000000"/>
        </w:rPr>
        <w:t>software</w:t>
      </w:r>
      <w:r>
        <w:rPr>
          <w:rFonts w:ascii="Times New Roman" w:hAnsi="Times New Roman" w:cs="Times New Roman"/>
          <w:bCs w:val="0"/>
          <w:color w:val="000000"/>
        </w:rPr>
        <w:t>, and</w:t>
      </w:r>
      <w:r w:rsidRPr="00A021DB">
        <w:rPr>
          <w:rFonts w:ascii="Times New Roman" w:hAnsi="Times New Roman" w:cs="Times New Roman"/>
          <w:bCs w:val="0"/>
          <w:color w:val="000000"/>
        </w:rPr>
        <w:t xml:space="preserve"> data analysis </w:t>
      </w:r>
      <w:proofErr w:type="spellStart"/>
      <w:r w:rsidRPr="00A021DB">
        <w:rPr>
          <w:rFonts w:ascii="Times New Roman" w:hAnsi="Times New Roman" w:cs="Times New Roman"/>
          <w:bCs w:val="0"/>
          <w:color w:val="000000"/>
        </w:rPr>
        <w:t>MultiQuan</w:t>
      </w:r>
      <w:proofErr w:type="spellEnd"/>
      <w:r w:rsidRPr="00A021DB">
        <w:rPr>
          <w:rFonts w:ascii="Times New Roman" w:hAnsi="Times New Roman" w:cs="Times New Roman"/>
          <w:bCs w:val="0"/>
          <w:color w:val="000000"/>
        </w:rPr>
        <w:t xml:space="preserve"> 3.0.2</w:t>
      </w:r>
      <w:r>
        <w:rPr>
          <w:rFonts w:ascii="Times New Roman" w:hAnsi="Times New Roman" w:cs="Times New Roman"/>
          <w:bCs w:val="0"/>
          <w:color w:val="000000"/>
        </w:rPr>
        <w:t xml:space="preserve"> software</w:t>
      </w:r>
      <w:r w:rsidRPr="004A42C7">
        <w:rPr>
          <w:rFonts w:ascii="Times New Roman" w:hAnsi="Times New Roman" w:cs="Times New Roman"/>
          <w:bCs w:val="0"/>
          <w:color w:val="000000"/>
        </w:rPr>
        <w:t xml:space="preserve">.  </w:t>
      </w:r>
    </w:p>
    <w:p w:rsidR="004757BA" w:rsidRDefault="004757BA" w:rsidP="004757BA">
      <w:pPr>
        <w:spacing w:line="480" w:lineRule="auto"/>
        <w:ind w:left="360"/>
        <w:rPr>
          <w:rFonts w:ascii="Times New Roman" w:hAnsi="Times New Roman" w:cs="Times New Roman"/>
          <w:bCs w:val="0"/>
          <w:color w:val="000000"/>
        </w:rPr>
      </w:pPr>
    </w:p>
    <w:p w:rsidR="004757BA" w:rsidRDefault="004757BA" w:rsidP="004757BA">
      <w:pPr>
        <w:spacing w:line="480" w:lineRule="auto"/>
        <w:ind w:left="360"/>
        <w:rPr>
          <w:rFonts w:ascii="Times New Roman" w:hAnsi="Times New Roman" w:cs="Times New Roman"/>
          <w:bCs w:val="0"/>
          <w:color w:val="000000"/>
        </w:rPr>
      </w:pPr>
      <w:r>
        <w:rPr>
          <w:rFonts w:ascii="Times New Roman" w:hAnsi="Times New Roman" w:cs="Times New Roman"/>
          <w:bCs w:val="0"/>
          <w:color w:val="000000"/>
        </w:rPr>
        <w:t>Quality control and daily operation</w:t>
      </w:r>
    </w:p>
    <w:p w:rsidR="004757BA" w:rsidRPr="00B90949" w:rsidRDefault="004757BA" w:rsidP="004757BA">
      <w:pPr>
        <w:spacing w:line="480" w:lineRule="auto"/>
        <w:ind w:left="360"/>
        <w:rPr>
          <w:rFonts w:ascii="Times New Roman" w:hAnsi="Times New Roman" w:cs="Times New Roman"/>
          <w:bCs w:val="0"/>
          <w:color w:val="000000"/>
        </w:rPr>
      </w:pPr>
      <w:r w:rsidRPr="004A42C7">
        <w:rPr>
          <w:rFonts w:ascii="Times New Roman" w:hAnsi="Times New Roman" w:cs="Times New Roman"/>
          <w:bCs w:val="0"/>
          <w:color w:val="000000"/>
        </w:rPr>
        <w:t xml:space="preserve">Analytes </w:t>
      </w:r>
      <w:r>
        <w:rPr>
          <w:rFonts w:ascii="Times New Roman" w:hAnsi="Times New Roman" w:cs="Times New Roman"/>
          <w:bCs w:val="0"/>
          <w:color w:val="000000"/>
        </w:rPr>
        <w:t>a</w:t>
      </w:r>
      <w:r w:rsidRPr="004A42C7">
        <w:rPr>
          <w:rFonts w:ascii="Times New Roman" w:hAnsi="Times New Roman" w:cs="Times New Roman"/>
          <w:bCs w:val="0"/>
          <w:color w:val="000000"/>
        </w:rPr>
        <w:t xml:space="preserve">re quantified using calibration curves </w:t>
      </w:r>
      <w:r>
        <w:rPr>
          <w:rFonts w:ascii="Times New Roman" w:hAnsi="Times New Roman" w:cs="Times New Roman"/>
          <w:bCs w:val="0"/>
          <w:color w:val="000000"/>
        </w:rPr>
        <w:t>of the</w:t>
      </w:r>
      <w:r w:rsidRPr="004A42C7">
        <w:rPr>
          <w:rFonts w:ascii="Times New Roman" w:hAnsi="Times New Roman" w:cs="Times New Roman"/>
          <w:bCs w:val="0"/>
          <w:color w:val="000000"/>
        </w:rPr>
        <w:t xml:space="preserve"> peak area ratio of each analyte to its </w:t>
      </w:r>
      <w:r>
        <w:rPr>
          <w:rFonts w:ascii="Times New Roman" w:hAnsi="Times New Roman" w:cs="Times New Roman"/>
          <w:bCs w:val="0"/>
          <w:color w:val="000000"/>
        </w:rPr>
        <w:t xml:space="preserve">corresponding </w:t>
      </w:r>
      <w:r w:rsidRPr="004A42C7">
        <w:rPr>
          <w:rFonts w:ascii="Times New Roman" w:hAnsi="Times New Roman" w:cs="Times New Roman"/>
          <w:bCs w:val="0"/>
          <w:color w:val="000000"/>
        </w:rPr>
        <w:t xml:space="preserve">isotopically labeled internal standard </w:t>
      </w:r>
      <w:r>
        <w:rPr>
          <w:rFonts w:ascii="Times New Roman" w:hAnsi="Times New Roman" w:cs="Times New Roman"/>
          <w:bCs w:val="0"/>
          <w:color w:val="000000"/>
        </w:rPr>
        <w:t xml:space="preserve">(or </w:t>
      </w:r>
      <w:r w:rsidRPr="00AC648D">
        <w:rPr>
          <w:rFonts w:ascii="Times New Roman" w:hAnsi="Times New Roman" w:cs="Times New Roman"/>
          <w:vertAlign w:val="superscript"/>
        </w:rPr>
        <w:t>13</w:t>
      </w:r>
      <w:r w:rsidRPr="00AC648D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vertAlign w:val="subscript"/>
        </w:rPr>
        <w:t>3</w:t>
      </w:r>
      <w:r w:rsidRPr="00176BC6">
        <w:rPr>
          <w:rFonts w:ascii="Times New Roman" w:hAnsi="Times New Roman" w:cs="Times New Roman"/>
        </w:rPr>
        <w:t>-</w:t>
      </w:r>
      <w:r w:rsidRPr="00C900BE">
        <w:rPr>
          <w:rFonts w:ascii="Times New Roman" w:hAnsi="Times New Roman" w:cs="Times New Roman"/>
        </w:rPr>
        <w:t>PFBS</w:t>
      </w:r>
      <w:r>
        <w:rPr>
          <w:rFonts w:ascii="Times New Roman" w:hAnsi="Times New Roman" w:cs="Times New Roman"/>
        </w:rPr>
        <w:t xml:space="preserve"> for </w:t>
      </w:r>
      <w:proofErr w:type="spellStart"/>
      <w:r>
        <w:rPr>
          <w:rFonts w:ascii="Times New Roman" w:hAnsi="Times New Roman" w:cs="Times New Roman"/>
        </w:rPr>
        <w:t>PFPrS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895C2A">
        <w:rPr>
          <w:rFonts w:ascii="Times New Roman" w:hAnsi="Times New Roman" w:cs="Times New Roman"/>
          <w:vertAlign w:val="superscript"/>
        </w:rPr>
        <w:t>13</w:t>
      </w:r>
      <w:r w:rsidRPr="00895C2A">
        <w:rPr>
          <w:rFonts w:ascii="Times New Roman" w:hAnsi="Times New Roman" w:cs="Times New Roman"/>
        </w:rPr>
        <w:t>C</w:t>
      </w:r>
      <w:r w:rsidRPr="00895C2A">
        <w:rPr>
          <w:rFonts w:ascii="Times New Roman" w:hAnsi="Times New Roman" w:cs="Times New Roman"/>
          <w:vertAlign w:val="subscript"/>
        </w:rPr>
        <w:t>4</w:t>
      </w:r>
      <w:r w:rsidRPr="00E42C8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PFOS for </w:t>
      </w:r>
      <w:proofErr w:type="spellStart"/>
      <w:r w:rsidRPr="00176BC6">
        <w:rPr>
          <w:rFonts w:ascii="Times New Roman" w:hAnsi="Times New Roman" w:cs="Times New Roman"/>
        </w:rPr>
        <w:t>PFHpS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895C2A">
        <w:rPr>
          <w:rFonts w:ascii="Times New Roman" w:hAnsi="Times New Roman" w:cs="Times New Roman"/>
          <w:vertAlign w:val="superscript"/>
        </w:rPr>
        <w:t>13</w:t>
      </w:r>
      <w:r w:rsidRPr="00895C2A">
        <w:rPr>
          <w:rFonts w:ascii="Times New Roman" w:hAnsi="Times New Roman" w:cs="Times New Roman"/>
        </w:rPr>
        <w:t>C</w:t>
      </w:r>
      <w:r w:rsidRPr="00895C2A">
        <w:rPr>
          <w:rFonts w:ascii="Times New Roman" w:hAnsi="Times New Roman" w:cs="Times New Roman"/>
          <w:vertAlign w:val="subscript"/>
        </w:rPr>
        <w:t>2</w:t>
      </w:r>
      <w:r w:rsidRPr="00E42C81">
        <w:rPr>
          <w:rFonts w:ascii="Times New Roman" w:hAnsi="Times New Roman" w:cs="Times New Roman"/>
        </w:rPr>
        <w:t>-</w:t>
      </w:r>
      <w:r w:rsidRPr="00895C2A">
        <w:rPr>
          <w:rFonts w:ascii="Times New Roman" w:hAnsi="Times New Roman" w:cs="Times New Roman"/>
        </w:rPr>
        <w:t>PFHxA</w:t>
      </w:r>
      <w:r>
        <w:rPr>
          <w:rFonts w:ascii="Times New Roman" w:hAnsi="Times New Roman" w:cs="Times New Roman"/>
        </w:rPr>
        <w:t xml:space="preserve"> for DONA, </w:t>
      </w:r>
      <w:r w:rsidRPr="00895C2A">
        <w:rPr>
          <w:rFonts w:ascii="Times New Roman" w:hAnsi="Times New Roman" w:cs="Times New Roman"/>
          <w:vertAlign w:val="superscript"/>
        </w:rPr>
        <w:t>13</w:t>
      </w:r>
      <w:r w:rsidRPr="00895C2A">
        <w:rPr>
          <w:rFonts w:ascii="Times New Roman" w:hAnsi="Times New Roman" w:cs="Times New Roman"/>
        </w:rPr>
        <w:t>C</w:t>
      </w:r>
      <w:r w:rsidRPr="00895C2A">
        <w:rPr>
          <w:rFonts w:ascii="Times New Roman" w:hAnsi="Times New Roman" w:cs="Times New Roman"/>
          <w:vertAlign w:val="subscript"/>
        </w:rPr>
        <w:t>2</w:t>
      </w:r>
      <w:r w:rsidRPr="00E42C81">
        <w:rPr>
          <w:rFonts w:ascii="Times New Roman" w:hAnsi="Times New Roman" w:cs="Times New Roman"/>
        </w:rPr>
        <w:t>-</w:t>
      </w:r>
      <w:r w:rsidRPr="00895C2A">
        <w:rPr>
          <w:rFonts w:ascii="Times New Roman" w:hAnsi="Times New Roman" w:cs="Times New Roman"/>
        </w:rPr>
        <w:t>PFUnDA</w:t>
      </w:r>
      <w:r>
        <w:rPr>
          <w:rFonts w:ascii="Times New Roman" w:hAnsi="Times New Roman" w:cs="Times New Roman"/>
        </w:rPr>
        <w:t xml:space="preserve"> for </w:t>
      </w:r>
      <w:r w:rsidRPr="00895C2A">
        <w:rPr>
          <w:rFonts w:ascii="Times New Roman" w:hAnsi="Times New Roman" w:cs="Times New Roman"/>
        </w:rPr>
        <w:t>9Cl-PF3ONS</w:t>
      </w:r>
      <w:r>
        <w:rPr>
          <w:rFonts w:ascii="Times New Roman" w:hAnsi="Times New Roman" w:cs="Times New Roman"/>
          <w:bCs w:val="0"/>
          <w:color w:val="000000"/>
        </w:rPr>
        <w:t xml:space="preserve">) </w:t>
      </w:r>
      <w:r w:rsidRPr="004A42C7">
        <w:rPr>
          <w:rFonts w:ascii="Times New Roman" w:hAnsi="Times New Roman" w:cs="Times New Roman"/>
          <w:bCs w:val="0"/>
          <w:color w:val="000000"/>
        </w:rPr>
        <w:t>versus standard concentration.</w:t>
      </w:r>
      <w:r>
        <w:rPr>
          <w:rFonts w:ascii="Times New Roman" w:hAnsi="Times New Roman" w:cs="Times New Roman"/>
          <w:bCs w:val="0"/>
          <w:color w:val="000000"/>
        </w:rPr>
        <w:t xml:space="preserve"> </w:t>
      </w:r>
    </w:p>
    <w:p w:rsidR="004757BA" w:rsidRPr="00B90949" w:rsidRDefault="004757BA" w:rsidP="004757BA">
      <w:pPr>
        <w:spacing w:line="480" w:lineRule="auto"/>
        <w:ind w:left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Daily c</w:t>
      </w:r>
      <w:r w:rsidRPr="005B0FBA">
        <w:rPr>
          <w:rFonts w:ascii="Times New Roman" w:hAnsi="Times New Roman" w:cs="Times New Roman"/>
        </w:rPr>
        <w:t>alibration curves</w:t>
      </w:r>
      <w:r>
        <w:rPr>
          <w:rFonts w:ascii="Times New Roman" w:hAnsi="Times New Roman" w:cs="Times New Roman"/>
        </w:rPr>
        <w:t xml:space="preserve"> include n</w:t>
      </w:r>
      <w:r w:rsidRPr="005B0FBA">
        <w:rPr>
          <w:rFonts w:ascii="Times New Roman" w:hAnsi="Times New Roman" w:cs="Times New Roman"/>
        </w:rPr>
        <w:t>ine standard solution</w:t>
      </w:r>
      <w:r>
        <w:rPr>
          <w:rFonts w:ascii="Times New Roman" w:hAnsi="Times New Roman" w:cs="Times New Roman"/>
        </w:rPr>
        <w:t>s for each analyte</w:t>
      </w:r>
      <w:r w:rsidRPr="005B0FBA">
        <w:rPr>
          <w:rFonts w:ascii="Times New Roman" w:hAnsi="Times New Roman" w:cs="Times New Roman"/>
        </w:rPr>
        <w:t>, spiked into</w:t>
      </w:r>
      <w:r>
        <w:rPr>
          <w:rFonts w:ascii="Times New Roman" w:hAnsi="Times New Roman" w:cs="Times New Roman"/>
        </w:rPr>
        <w:t xml:space="preserve"> </w:t>
      </w:r>
      <w:r w:rsidRPr="005B0FBA">
        <w:rPr>
          <w:rFonts w:ascii="Times New Roman" w:hAnsi="Times New Roman" w:cs="Times New Roman"/>
        </w:rPr>
        <w:t xml:space="preserve">0.1M formic acid, </w:t>
      </w:r>
      <w:r>
        <w:rPr>
          <w:rFonts w:ascii="Times New Roman" w:hAnsi="Times New Roman" w:cs="Times New Roman"/>
        </w:rPr>
        <w:t xml:space="preserve">that </w:t>
      </w:r>
      <w:r w:rsidRPr="005B0FBA">
        <w:rPr>
          <w:rFonts w:ascii="Times New Roman" w:hAnsi="Times New Roman" w:cs="Times New Roman"/>
        </w:rPr>
        <w:t>encompass the entire linear range of</w:t>
      </w:r>
      <w:r>
        <w:rPr>
          <w:rFonts w:ascii="Times New Roman" w:hAnsi="Times New Roman" w:cs="Times New Roman"/>
        </w:rPr>
        <w:t xml:space="preserve"> </w:t>
      </w:r>
      <w:r w:rsidRPr="005B0FBA">
        <w:rPr>
          <w:rFonts w:ascii="Times New Roman" w:hAnsi="Times New Roman" w:cs="Times New Roman"/>
        </w:rPr>
        <w:t>the method (0.07</w:t>
      </w:r>
      <w:r>
        <w:rPr>
          <w:rFonts w:ascii="Times New Roman" w:hAnsi="Times New Roman" w:cs="Times New Roman"/>
        </w:rPr>
        <w:t>-</w:t>
      </w:r>
      <w:r w:rsidRPr="005B0FBA">
        <w:rPr>
          <w:rFonts w:ascii="Times New Roman" w:hAnsi="Times New Roman" w:cs="Times New Roman"/>
        </w:rPr>
        <w:t>20 ng/mL)</w:t>
      </w:r>
      <w:r>
        <w:rPr>
          <w:rFonts w:ascii="Times New Roman" w:hAnsi="Times New Roman" w:cs="Times New Roman"/>
        </w:rPr>
        <w:t>. T</w:t>
      </w:r>
      <w:r w:rsidRPr="006A5791">
        <w:rPr>
          <w:rFonts w:ascii="Times New Roman" w:hAnsi="Times New Roman" w:cs="Times New Roman"/>
        </w:rPr>
        <w:t xml:space="preserve">wo </w:t>
      </w:r>
      <w:r>
        <w:rPr>
          <w:rFonts w:ascii="Times New Roman" w:hAnsi="Times New Roman" w:cs="Times New Roman"/>
        </w:rPr>
        <w:t>low concentration quality control materials (QCs)</w:t>
      </w:r>
      <w:r w:rsidRPr="006A579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6A5791">
        <w:rPr>
          <w:rFonts w:ascii="Times New Roman" w:hAnsi="Times New Roman" w:cs="Times New Roman"/>
        </w:rPr>
        <w:t xml:space="preserve">two </w:t>
      </w:r>
      <w:r>
        <w:rPr>
          <w:rFonts w:ascii="Times New Roman" w:hAnsi="Times New Roman" w:cs="Times New Roman"/>
        </w:rPr>
        <w:t>high concentration QCs,</w:t>
      </w:r>
      <w:r w:rsidRPr="006A5791">
        <w:rPr>
          <w:rFonts w:ascii="Times New Roman" w:hAnsi="Times New Roman" w:cs="Times New Roman"/>
        </w:rPr>
        <w:t xml:space="preserve"> and three reagent blanks </w:t>
      </w:r>
      <w:r>
        <w:rPr>
          <w:rFonts w:ascii="Times New Roman" w:hAnsi="Times New Roman" w:cs="Times New Roman"/>
        </w:rPr>
        <w:t xml:space="preserve">(made using </w:t>
      </w:r>
      <w:r w:rsidRPr="005B0FBA">
        <w:rPr>
          <w:rFonts w:ascii="Times New Roman" w:hAnsi="Times New Roman" w:cs="Times New Roman"/>
        </w:rPr>
        <w:t xml:space="preserve">0.1M </w:t>
      </w:r>
      <w:r>
        <w:rPr>
          <w:rFonts w:ascii="Times New Roman" w:hAnsi="Times New Roman" w:cs="Times New Roman"/>
        </w:rPr>
        <w:t>formic acid) a</w:t>
      </w:r>
      <w:r w:rsidRPr="006A5791">
        <w:rPr>
          <w:rFonts w:ascii="Times New Roman" w:hAnsi="Times New Roman" w:cs="Times New Roman"/>
        </w:rPr>
        <w:t>re analyzed concurrently</w:t>
      </w:r>
      <w:r>
        <w:rPr>
          <w:rFonts w:ascii="Times New Roman" w:hAnsi="Times New Roman" w:cs="Times New Roman"/>
        </w:rPr>
        <w:t xml:space="preserve"> </w:t>
      </w:r>
      <w:r w:rsidRPr="006A5791">
        <w:rPr>
          <w:rFonts w:ascii="Times New Roman" w:hAnsi="Times New Roman" w:cs="Times New Roman"/>
        </w:rPr>
        <w:t xml:space="preserve">with 20 samples and </w:t>
      </w:r>
      <w:r>
        <w:rPr>
          <w:rFonts w:ascii="Times New Roman" w:hAnsi="Times New Roman" w:cs="Times New Roman"/>
        </w:rPr>
        <w:t xml:space="preserve">the </w:t>
      </w:r>
      <w:r w:rsidRPr="006A5791">
        <w:rPr>
          <w:rFonts w:ascii="Times New Roman" w:hAnsi="Times New Roman" w:cs="Times New Roman"/>
        </w:rPr>
        <w:t xml:space="preserve">calibration standards. </w:t>
      </w:r>
      <w:r w:rsidRPr="00C711F9">
        <w:rPr>
          <w:rFonts w:ascii="Times New Roman" w:hAnsi="Times New Roman" w:cs="Times New Roman"/>
        </w:rPr>
        <w:t>For each analytical run, concentrations of reagent blanks</w:t>
      </w:r>
      <w:r>
        <w:rPr>
          <w:rFonts w:ascii="Times New Roman" w:hAnsi="Times New Roman" w:cs="Times New Roman"/>
        </w:rPr>
        <w:t xml:space="preserve"> are examined</w:t>
      </w:r>
      <w:r w:rsidRPr="00C711F9">
        <w:rPr>
          <w:rFonts w:ascii="Times New Roman" w:hAnsi="Times New Roman" w:cs="Times New Roman"/>
        </w:rPr>
        <w:t xml:space="preserve"> (of</w:t>
      </w:r>
      <w:r>
        <w:rPr>
          <w:rFonts w:ascii="Times New Roman" w:hAnsi="Times New Roman" w:cs="Times New Roman"/>
        </w:rPr>
        <w:t xml:space="preserve"> </w:t>
      </w:r>
      <w:r w:rsidRPr="00C711F9">
        <w:rPr>
          <w:rFonts w:ascii="Times New Roman" w:hAnsi="Times New Roman" w:cs="Times New Roman"/>
        </w:rPr>
        <w:t xml:space="preserve">note, </w:t>
      </w:r>
      <w:r>
        <w:rPr>
          <w:rFonts w:ascii="Times New Roman" w:hAnsi="Times New Roman" w:cs="Times New Roman"/>
        </w:rPr>
        <w:t>PFAS</w:t>
      </w:r>
      <w:r w:rsidRPr="00C711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were not detected </w:t>
      </w:r>
      <w:r w:rsidRPr="00C711F9">
        <w:rPr>
          <w:rFonts w:ascii="Times New Roman" w:hAnsi="Times New Roman" w:cs="Times New Roman"/>
        </w:rPr>
        <w:t>in any of the reagent blanks</w:t>
      </w:r>
      <w:r>
        <w:rPr>
          <w:rFonts w:ascii="Times New Roman" w:hAnsi="Times New Roman" w:cs="Times New Roman"/>
        </w:rPr>
        <w:t xml:space="preserve"> </w:t>
      </w:r>
      <w:r w:rsidRPr="00C711F9">
        <w:rPr>
          <w:rFonts w:ascii="Times New Roman" w:hAnsi="Times New Roman" w:cs="Times New Roman"/>
        </w:rPr>
        <w:t>analyzed).</w:t>
      </w:r>
      <w:r>
        <w:rPr>
          <w:rFonts w:ascii="Times New Roman" w:hAnsi="Times New Roman" w:cs="Times New Roman"/>
        </w:rPr>
        <w:t xml:space="preserve"> Also, t</w:t>
      </w:r>
      <w:r w:rsidRPr="006A5791">
        <w:rPr>
          <w:rFonts w:ascii="Times New Roman" w:hAnsi="Times New Roman" w:cs="Times New Roman"/>
        </w:rPr>
        <w:t>he concentrations of</w:t>
      </w:r>
      <w:r>
        <w:rPr>
          <w:rFonts w:ascii="Times New Roman" w:hAnsi="Times New Roman" w:cs="Times New Roman"/>
        </w:rPr>
        <w:t xml:space="preserve"> </w:t>
      </w:r>
      <w:r w:rsidRPr="006A5791">
        <w:rPr>
          <w:rFonts w:ascii="Times New Roman" w:hAnsi="Times New Roman" w:cs="Times New Roman"/>
        </w:rPr>
        <w:t>the QCs, averaged to obtain one measurement of high- and one of</w:t>
      </w:r>
      <w:r>
        <w:rPr>
          <w:rFonts w:ascii="Times New Roman" w:hAnsi="Times New Roman" w:cs="Times New Roman"/>
        </w:rPr>
        <w:t xml:space="preserve"> </w:t>
      </w:r>
      <w:r w:rsidRPr="006A5791">
        <w:rPr>
          <w:rFonts w:ascii="Times New Roman" w:hAnsi="Times New Roman" w:cs="Times New Roman"/>
        </w:rPr>
        <w:t xml:space="preserve">low-concentration QC for each run, </w:t>
      </w:r>
      <w:r>
        <w:rPr>
          <w:rFonts w:ascii="Times New Roman" w:hAnsi="Times New Roman" w:cs="Times New Roman"/>
        </w:rPr>
        <w:t>a</w:t>
      </w:r>
      <w:r w:rsidRPr="006A5791">
        <w:rPr>
          <w:rFonts w:ascii="Times New Roman" w:hAnsi="Times New Roman" w:cs="Times New Roman"/>
        </w:rPr>
        <w:t>re evaluated by use of</w:t>
      </w:r>
      <w:r>
        <w:rPr>
          <w:rFonts w:ascii="Times New Roman" w:hAnsi="Times New Roman" w:cs="Times New Roman"/>
        </w:rPr>
        <w:t xml:space="preserve"> </w:t>
      </w:r>
      <w:r w:rsidRPr="006A5791">
        <w:rPr>
          <w:rFonts w:ascii="Times New Roman" w:hAnsi="Times New Roman" w:cs="Times New Roman"/>
        </w:rPr>
        <w:t>standard statistical probability rules (Caudill et al., 2008).</w:t>
      </w:r>
      <w:r w:rsidRPr="00B90949">
        <w:rPr>
          <w:rFonts w:ascii="Times New Roman" w:hAnsi="Times New Roman" w:cs="Times New Roman"/>
        </w:rPr>
        <w:t xml:space="preserve">  </w:t>
      </w:r>
    </w:p>
    <w:p w:rsidR="004757BA" w:rsidRDefault="004757BA" w:rsidP="004757BA">
      <w:pPr>
        <w:rPr>
          <w:rFonts w:ascii="Times New Roman" w:hAnsi="Times New Roman" w:cs="Times New Roman"/>
        </w:rPr>
      </w:pPr>
    </w:p>
    <w:p w:rsidR="004757BA" w:rsidRDefault="004757BA" w:rsidP="004757BA">
      <w:pPr>
        <w:rPr>
          <w:rFonts w:ascii="Times New Roman" w:hAnsi="Times New Roman" w:cs="Times New Roman"/>
        </w:rPr>
      </w:pPr>
      <w:r w:rsidRPr="00F96007">
        <w:rPr>
          <w:rFonts w:ascii="Times New Roman" w:hAnsi="Times New Roman" w:cs="Times New Roman"/>
        </w:rPr>
        <w:t xml:space="preserve">Kato K, </w:t>
      </w:r>
      <w:proofErr w:type="spellStart"/>
      <w:r w:rsidRPr="00F96007">
        <w:rPr>
          <w:rFonts w:ascii="Times New Roman" w:hAnsi="Times New Roman" w:cs="Times New Roman"/>
        </w:rPr>
        <w:t>Kalathil</w:t>
      </w:r>
      <w:proofErr w:type="spellEnd"/>
      <w:r w:rsidRPr="00F96007">
        <w:rPr>
          <w:rFonts w:ascii="Times New Roman" w:hAnsi="Times New Roman" w:cs="Times New Roman"/>
        </w:rPr>
        <w:t xml:space="preserve"> AA, Patel AM, Ye X, Calafat AM (2018) Per- and polyfluoroalkyl substances and fluorinated alternatives in urine and serum by on-line solid phase extraction-liquid chromatography-tandem mass spectrometry. Chemosphere 209:338-345.</w:t>
      </w:r>
    </w:p>
    <w:p w:rsidR="004757BA" w:rsidRDefault="004757BA" w:rsidP="004757BA">
      <w:pPr>
        <w:rPr>
          <w:rFonts w:ascii="Times New Roman" w:hAnsi="Times New Roman" w:cs="Times New Roman"/>
        </w:rPr>
      </w:pPr>
    </w:p>
    <w:p w:rsidR="004757BA" w:rsidRDefault="004757BA" w:rsidP="004757BA">
      <w:pPr>
        <w:rPr>
          <w:rFonts w:ascii="Times New Roman" w:hAnsi="Times New Roman" w:cs="Times New Roman"/>
        </w:rPr>
      </w:pPr>
      <w:r w:rsidRPr="006A5791">
        <w:rPr>
          <w:rFonts w:ascii="Open Sans" w:hAnsi="Open Sans"/>
          <w:color w:val="1C1D1E"/>
          <w:lang w:val="en"/>
        </w:rPr>
        <w:t xml:space="preserve">Caudill SP, Schleicher RL, Pirkle JL </w:t>
      </w:r>
      <w:r>
        <w:rPr>
          <w:rFonts w:ascii="Open Sans" w:hAnsi="Open Sans"/>
          <w:color w:val="1C1D1E"/>
          <w:lang w:val="en"/>
        </w:rPr>
        <w:t>(</w:t>
      </w:r>
      <w:r w:rsidRPr="006A5791">
        <w:rPr>
          <w:rFonts w:ascii="Open Sans" w:hAnsi="Open Sans"/>
          <w:color w:val="1C1D1E"/>
          <w:lang w:val="en"/>
        </w:rPr>
        <w:t>2008</w:t>
      </w:r>
      <w:r>
        <w:rPr>
          <w:rFonts w:ascii="Open Sans" w:hAnsi="Open Sans"/>
          <w:color w:val="1C1D1E"/>
          <w:lang w:val="en"/>
        </w:rPr>
        <w:t>) Multi‐rule quality control for the age‐related eye disease study</w:t>
      </w:r>
      <w:r w:rsidRPr="006A5791">
        <w:rPr>
          <w:rFonts w:ascii="Open Sans" w:hAnsi="Open Sans"/>
          <w:color w:val="1C1D1E"/>
          <w:lang w:val="en"/>
        </w:rPr>
        <w:t xml:space="preserve">. Stat. Med. 27, 4094e4106. </w:t>
      </w:r>
      <w:r>
        <w:rPr>
          <w:rFonts w:ascii="Times New Roman" w:hAnsi="Times New Roman" w:cs="Times New Roman"/>
        </w:rPr>
        <w:br w:type="page"/>
      </w:r>
    </w:p>
    <w:p w:rsidR="004757BA" w:rsidRDefault="004757BA" w:rsidP="004757BA">
      <w:pPr>
        <w:rPr>
          <w:rFonts w:ascii="Times New Roman" w:hAnsi="Times New Roman" w:cs="Times New Roman"/>
          <w:bCs w:val="0"/>
          <w:kern w:val="24"/>
        </w:rPr>
        <w:sectPr w:rsidR="004757BA" w:rsidSect="004757BA">
          <w:footerReference w:type="default" r:id="rId6"/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4757BA" w:rsidRDefault="004757BA" w:rsidP="004757BA">
      <w:pPr>
        <w:rPr>
          <w:rFonts w:ascii="Times New Roman" w:hAnsi="Times New Roman" w:cs="Times New Roman"/>
          <w:bCs w:val="0"/>
          <w:kern w:val="24"/>
        </w:rPr>
      </w:pPr>
      <w:r w:rsidRPr="00FE0543">
        <w:rPr>
          <w:rFonts w:ascii="Times New Roman" w:hAnsi="Times New Roman" w:cs="Times New Roman"/>
          <w:bCs w:val="0"/>
          <w:kern w:val="24"/>
        </w:rPr>
        <w:t>Table S1.</w:t>
      </w:r>
      <w:r>
        <w:rPr>
          <w:rFonts w:ascii="Times New Roman" w:hAnsi="Times New Roman" w:cs="Times New Roman"/>
          <w:bCs w:val="0"/>
          <w:kern w:val="24"/>
        </w:rPr>
        <w:t xml:space="preserve"> Estimated proportion of the U.S. general population with detectable urinary concentrations of PFAS (NHANES 2013–2014)</w:t>
      </w:r>
    </w:p>
    <w:p w:rsidR="004757BA" w:rsidRPr="00FE0543" w:rsidRDefault="004757BA" w:rsidP="004757BA">
      <w:pPr>
        <w:rPr>
          <w:rFonts w:ascii="Times New Roman" w:hAnsi="Times New Roman" w:cs="Times New Roman"/>
          <w:bCs w:val="0"/>
          <w:kern w:val="24"/>
        </w:rPr>
      </w:pPr>
    </w:p>
    <w:p w:rsidR="004757BA" w:rsidRDefault="004757BA" w:rsidP="004757BA"/>
    <w:tbl>
      <w:tblPr>
        <w:tblW w:w="7182" w:type="dxa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620"/>
        <w:gridCol w:w="1800"/>
        <w:gridCol w:w="1800"/>
        <w:gridCol w:w="1962"/>
      </w:tblGrid>
      <w:tr w:rsidR="004757BA" w:rsidRPr="00BB58A0" w:rsidTr="002C4749">
        <w:trPr>
          <w:tblHeader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757BA" w:rsidRDefault="004757BA" w:rsidP="002C474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5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57BA" w:rsidRDefault="004757BA" w:rsidP="002C474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Estimated percent of the U.S. general population with detectable PFAS</w:t>
            </w:r>
          </w:p>
        </w:tc>
      </w:tr>
      <w:tr w:rsidR="004757BA" w:rsidRPr="00BB58A0" w:rsidTr="002C4749">
        <w:trPr>
          <w:tblHeader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757BA" w:rsidRDefault="004757BA" w:rsidP="002C474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57BA" w:rsidRDefault="004757BA" w:rsidP="002C474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57BA" w:rsidRDefault="004757BA" w:rsidP="002C474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Paired urine-serum </w:t>
            </w:r>
          </w:p>
        </w:tc>
      </w:tr>
      <w:tr w:rsidR="004757BA" w:rsidRPr="00BB58A0" w:rsidTr="002C4749">
        <w:trPr>
          <w:tblHeader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57BA" w:rsidRPr="00BB58A0" w:rsidRDefault="004757BA" w:rsidP="002C4749">
            <w:pPr>
              <w:jc w:val="center"/>
              <w:rPr>
                <w:rFonts w:ascii="Times New Roman" w:eastAsia="Times New Roman" w:hAnsi="Times New Roman" w:cs="Times New Roman"/>
                <w:b/>
                <w:bCs w:val="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 of detected PFAS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57BA" w:rsidRPr="00BB58A0" w:rsidRDefault="004757BA" w:rsidP="002C4749">
            <w:pPr>
              <w:jc w:val="center"/>
              <w:rPr>
                <w:rFonts w:ascii="Times New Roman" w:eastAsia="Times New Roman" w:hAnsi="Times New Roman" w:cs="Times New Roman"/>
                <w:b/>
                <w:bCs w:val="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People ≥6 years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57BA" w:rsidRPr="00BB58A0" w:rsidRDefault="004757BA" w:rsidP="002C474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Adults 12+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57BA" w:rsidRPr="00BB58A0" w:rsidRDefault="004757BA" w:rsidP="002C474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Children 6-11</w:t>
            </w:r>
          </w:p>
        </w:tc>
      </w:tr>
      <w:tr w:rsidR="004757BA" w:rsidTr="002C4749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57BA" w:rsidRPr="00FE0543" w:rsidRDefault="004757BA" w:rsidP="002C4749">
            <w:pPr>
              <w:jc w:val="center"/>
              <w:rPr>
                <w:rFonts w:ascii="Times New Roman" w:eastAsia="Times New Roman" w:hAnsi="Times New Roman" w:cs="Times New Roman"/>
                <w:bCs w:val="0"/>
              </w:rPr>
            </w:pPr>
            <w:r w:rsidRPr="00FE054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57BA" w:rsidRPr="00BB58A0" w:rsidRDefault="004757BA" w:rsidP="002C474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757BA" w:rsidRDefault="004757BA" w:rsidP="002C474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73417">
              <w:rPr>
                <w:rFonts w:ascii="Times New Roman" w:eastAsia="Times New Roman" w:hAnsi="Times New Roman" w:cs="Times New Roman"/>
              </w:rPr>
              <w:t>0.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4757BA" w:rsidRDefault="004757BA" w:rsidP="002C474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73417">
              <w:rPr>
                <w:rFonts w:ascii="Times New Roman" w:eastAsia="Times New Roman" w:hAnsi="Times New Roman" w:cs="Times New Roman"/>
              </w:rPr>
              <w:t>6.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757BA" w:rsidTr="002C4749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57BA" w:rsidRPr="00FE0543" w:rsidRDefault="004757BA" w:rsidP="002C4749">
            <w:pPr>
              <w:jc w:val="center"/>
              <w:rPr>
                <w:rFonts w:ascii="Times New Roman" w:eastAsia="Times New Roman" w:hAnsi="Times New Roman" w:cs="Times New Roman"/>
                <w:bCs w:val="0"/>
              </w:rPr>
            </w:pPr>
            <w:r w:rsidRPr="00FE054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57BA" w:rsidRPr="00BB58A0" w:rsidRDefault="004757BA" w:rsidP="002C474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757BA" w:rsidRDefault="004757BA" w:rsidP="002C474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73417">
              <w:rPr>
                <w:rFonts w:ascii="Times New Roman" w:eastAsia="Times New Roman" w:hAnsi="Times New Roman" w:cs="Times New Roman"/>
              </w:rPr>
              <w:t>5.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4757BA" w:rsidRDefault="004757BA" w:rsidP="002C474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73417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673417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4757BA" w:rsidTr="002C4749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57BA" w:rsidRPr="00FE0543" w:rsidRDefault="004757BA" w:rsidP="002C4749">
            <w:pPr>
              <w:jc w:val="center"/>
              <w:rPr>
                <w:rFonts w:ascii="Times New Roman" w:eastAsia="Times New Roman" w:hAnsi="Times New Roman" w:cs="Times New Roman"/>
                <w:bCs w:val="0"/>
              </w:rPr>
            </w:pPr>
            <w:r w:rsidRPr="00FE054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57BA" w:rsidRPr="00BB58A0" w:rsidRDefault="004757BA" w:rsidP="002C474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757BA" w:rsidRDefault="004757BA" w:rsidP="002C474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4757BA" w:rsidRDefault="004757BA" w:rsidP="002C474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42.6</w:t>
            </w:r>
          </w:p>
        </w:tc>
      </w:tr>
      <w:tr w:rsidR="004757BA" w:rsidTr="002C4749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57BA" w:rsidRPr="00FE0543" w:rsidRDefault="004757BA" w:rsidP="002C4749">
            <w:pPr>
              <w:jc w:val="center"/>
              <w:rPr>
                <w:rFonts w:ascii="Times New Roman" w:eastAsia="Times New Roman" w:hAnsi="Times New Roman" w:cs="Times New Roman"/>
                <w:bCs w:val="0"/>
              </w:rPr>
            </w:pPr>
            <w:r w:rsidRPr="00FE054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57BA" w:rsidRPr="00BB58A0" w:rsidRDefault="004757BA" w:rsidP="002C474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67.5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757BA" w:rsidRDefault="004757BA" w:rsidP="002C474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73417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Pr="00673417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4757BA" w:rsidRDefault="004757BA" w:rsidP="002C474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73417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673417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4757BA" w:rsidTr="002C4749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757BA" w:rsidRDefault="004757BA" w:rsidP="002C474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757BA" w:rsidRPr="00FE0543" w:rsidRDefault="004757BA" w:rsidP="002C474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757BA" w:rsidRDefault="004757BA" w:rsidP="002C474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757BA" w:rsidRPr="00673417" w:rsidRDefault="004757BA" w:rsidP="002C474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4757BA" w:rsidRPr="00673417" w:rsidRDefault="004757BA" w:rsidP="002C474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757BA" w:rsidRDefault="004757BA" w:rsidP="004757BA"/>
    <w:p w:rsidR="004757BA" w:rsidRDefault="004757BA" w:rsidP="004757BA">
      <w:pPr>
        <w:sectPr w:rsidR="004757BA" w:rsidSect="004757BA">
          <w:type w:val="continuous"/>
          <w:pgSz w:w="15840" w:h="12240" w:orient="landscape"/>
          <w:pgMar w:top="1800" w:right="1440" w:bottom="1800" w:left="1440" w:header="720" w:footer="720" w:gutter="0"/>
          <w:cols w:space="720"/>
          <w:docGrid w:linePitch="360"/>
        </w:sectPr>
      </w:pPr>
    </w:p>
    <w:p w:rsidR="004757BA" w:rsidRDefault="004757BA" w:rsidP="004757BA">
      <w:pPr>
        <w:keepNext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Figure S1</w:t>
      </w:r>
      <w:r w:rsidRPr="009E44F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Estimated proportion of the U.S. general population 6 years of age and older with detectable urinary concentrations of 17 PFAS in urine (2013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 xml:space="preserve">–2014 NHANES) </w:t>
      </w:r>
    </w:p>
    <w:p w:rsidR="004757BA" w:rsidRDefault="004757BA" w:rsidP="004757BA">
      <w:pPr>
        <w:keepNext/>
        <w:spacing w:before="120" w:after="120"/>
        <w:rPr>
          <w:rFonts w:ascii="Times New Roman" w:hAnsi="Times New Roman" w:cs="Times New Roman"/>
        </w:rPr>
      </w:pPr>
    </w:p>
    <w:p w:rsidR="004757BA" w:rsidRDefault="004757BA" w:rsidP="004757BA">
      <w:pPr>
        <w:keepNext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041B057B" wp14:editId="1BADFABB">
            <wp:extent cx="6318504" cy="3858768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504" cy="38587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57BA" w:rsidRDefault="004757BA" w:rsidP="004757BA">
      <w:pPr>
        <w:rPr>
          <w:rFonts w:ascii="Times New Roman" w:hAnsi="Times New Roman" w:cs="Times New Roman"/>
          <w:color w:val="002060"/>
          <w:kern w:val="24"/>
          <w:lang w:eastAsia="ja-JP"/>
        </w:rPr>
      </w:pPr>
    </w:p>
    <w:p w:rsidR="004757BA" w:rsidRDefault="004757BA" w:rsidP="004757BA">
      <w:pPr>
        <w:rPr>
          <w:rFonts w:ascii="Times New Roman" w:hAnsi="Times New Roman" w:cs="Times New Roman"/>
          <w:color w:val="002060"/>
          <w:kern w:val="24"/>
          <w:lang w:eastAsia="ja-JP"/>
        </w:rPr>
      </w:pPr>
    </w:p>
    <w:p w:rsidR="004757BA" w:rsidRDefault="004757BA" w:rsidP="004757BA">
      <w:pPr>
        <w:jc w:val="center"/>
        <w:rPr>
          <w:rFonts w:ascii="Times New Roman" w:hAnsi="Times New Roman" w:cs="Times New Roman"/>
          <w:color w:val="002060"/>
          <w:kern w:val="24"/>
          <w:lang w:eastAsia="ja-JP"/>
        </w:rPr>
      </w:pPr>
    </w:p>
    <w:p w:rsidR="00FC70C6" w:rsidRDefault="00FC70C6"/>
    <w:sectPr w:rsidR="00FC70C6" w:rsidSect="004757BA">
      <w:type w:val="continuous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E94" w:rsidRDefault="00AC5E94" w:rsidP="004757BA">
      <w:r>
        <w:separator/>
      </w:r>
    </w:p>
  </w:endnote>
  <w:endnote w:type="continuationSeparator" w:id="0">
    <w:p w:rsidR="00AC5E94" w:rsidRDefault="00AC5E94" w:rsidP="00475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808393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757BA" w:rsidRDefault="004757B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757BA" w:rsidRDefault="004757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E94" w:rsidRDefault="00AC5E94" w:rsidP="004757BA">
      <w:r>
        <w:separator/>
      </w:r>
    </w:p>
  </w:footnote>
  <w:footnote w:type="continuationSeparator" w:id="0">
    <w:p w:rsidR="00AC5E94" w:rsidRDefault="00AC5E94" w:rsidP="004757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revisionView w:inkAnnotation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7BA"/>
    <w:rsid w:val="004757BA"/>
    <w:rsid w:val="006D5AB7"/>
    <w:rsid w:val="00AC5E94"/>
    <w:rsid w:val="00D26908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82613D-8B21-4029-817F-779114A0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57BA"/>
    <w:pPr>
      <w:spacing w:after="0" w:line="240" w:lineRule="auto"/>
    </w:pPr>
    <w:rPr>
      <w:rFonts w:ascii="Arial" w:eastAsia="MS Mincho" w:hAnsi="Arial" w:cs="Arial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4757BA"/>
  </w:style>
  <w:style w:type="paragraph" w:styleId="BalloonText">
    <w:name w:val="Balloon Text"/>
    <w:basedOn w:val="Normal"/>
    <w:link w:val="BalloonTextChar"/>
    <w:uiPriority w:val="99"/>
    <w:semiHidden/>
    <w:unhideWhenUsed/>
    <w:rsid w:val="004757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7BA"/>
    <w:rPr>
      <w:rFonts w:ascii="Segoe UI" w:eastAsia="MS Mincho" w:hAnsi="Segoe UI" w:cs="Segoe UI"/>
      <w:bC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757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7BA"/>
    <w:rPr>
      <w:rFonts w:ascii="Arial" w:eastAsia="MS Mincho" w:hAnsi="Arial" w:cs="Arial"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57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7BA"/>
    <w:rPr>
      <w:rFonts w:ascii="Arial" w:eastAsia="MS Mincho" w:hAnsi="Arial" w:cs="Arial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Calafat, Antonia M. (CDC/DDNID/NCEH/DLS)</dc:creator>
  <cp:keywords/>
  <dc:description/>
  <cp:lastModifiedBy>Calafat, Antonia M. (CDC/DDNID/NCEH/DLS)</cp:lastModifiedBy>
  <cp:revision>1</cp:revision>
  <dcterms:created xsi:type="dcterms:W3CDTF">2019-07-21T18:49:00Z</dcterms:created>
  <dcterms:modified xsi:type="dcterms:W3CDTF">2019-07-21T18:52:00Z</dcterms:modified>
</cp:coreProperties>
</file>