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41D9" w14:textId="58809605" w:rsidR="00701633" w:rsidRPr="004E210D" w:rsidRDefault="00682493" w:rsidP="003B093C">
      <w:pPr>
        <w:spacing w:line="480" w:lineRule="auto"/>
        <w:rPr>
          <w:rFonts w:ascii="Times New Roman" w:hAnsi="Times New Roman" w:cs="Times New Roman"/>
          <w:b/>
          <w:bCs/>
          <w:sz w:val="24"/>
          <w:szCs w:val="24"/>
        </w:rPr>
      </w:pPr>
      <w:r w:rsidRPr="00701633">
        <w:rPr>
          <w:rFonts w:ascii="Times New Roman" w:hAnsi="Times New Roman" w:cs="Times New Roman"/>
          <w:b/>
          <w:bCs/>
          <w:sz w:val="24"/>
          <w:szCs w:val="24"/>
        </w:rPr>
        <w:t>Appendi</w:t>
      </w:r>
      <w:r>
        <w:rPr>
          <w:rFonts w:ascii="Times New Roman" w:hAnsi="Times New Roman" w:cs="Times New Roman"/>
          <w:b/>
          <w:bCs/>
          <w:sz w:val="24"/>
          <w:szCs w:val="24"/>
        </w:rPr>
        <w:t>x Figure 2</w:t>
      </w:r>
      <w:r w:rsidRPr="00701633">
        <w:rPr>
          <w:rFonts w:ascii="Times New Roman" w:hAnsi="Times New Roman" w:cs="Times New Roman"/>
          <w:b/>
          <w:bCs/>
          <w:sz w:val="24"/>
          <w:szCs w:val="24"/>
        </w:rPr>
        <w:t xml:space="preserve"> </w:t>
      </w:r>
      <w:r w:rsidR="00701633" w:rsidRPr="00701633">
        <w:rPr>
          <w:rFonts w:ascii="Times New Roman" w:hAnsi="Times New Roman" w:cs="Times New Roman"/>
          <w:b/>
          <w:bCs/>
          <w:sz w:val="24"/>
          <w:szCs w:val="24"/>
        </w:rPr>
        <w:t xml:space="preserve">for </w:t>
      </w:r>
      <w:r w:rsidR="00E62538">
        <w:rPr>
          <w:rFonts w:ascii="Times New Roman" w:hAnsi="Times New Roman" w:cs="Times New Roman"/>
          <w:b/>
          <w:bCs/>
          <w:sz w:val="24"/>
          <w:szCs w:val="24"/>
        </w:rPr>
        <w:t>“</w:t>
      </w:r>
      <w:r w:rsidR="00A22796">
        <w:rPr>
          <w:rFonts w:ascii="Times New Roman" w:hAnsi="Times New Roman" w:cs="Times New Roman"/>
          <w:b/>
          <w:bCs/>
          <w:sz w:val="24"/>
          <w:szCs w:val="24"/>
        </w:rPr>
        <w:t>Cost-effectiveness</w:t>
      </w:r>
      <w:r w:rsidR="00A22796" w:rsidRPr="004E210D">
        <w:rPr>
          <w:rFonts w:ascii="Times New Roman" w:hAnsi="Times New Roman" w:cs="Times New Roman"/>
          <w:b/>
          <w:bCs/>
          <w:sz w:val="24"/>
          <w:szCs w:val="24"/>
        </w:rPr>
        <w:t xml:space="preserve"> of </w:t>
      </w:r>
      <w:r w:rsidR="00A22796">
        <w:rPr>
          <w:rFonts w:ascii="Times New Roman" w:hAnsi="Times New Roman" w:cs="Times New Roman"/>
          <w:b/>
          <w:bCs/>
          <w:sz w:val="24"/>
          <w:szCs w:val="24"/>
        </w:rPr>
        <w:t>treatment strategies</w:t>
      </w:r>
      <w:r w:rsidR="00A22796" w:rsidRPr="004E210D">
        <w:rPr>
          <w:rFonts w:ascii="Times New Roman" w:hAnsi="Times New Roman" w:cs="Times New Roman"/>
          <w:b/>
          <w:bCs/>
          <w:sz w:val="24"/>
          <w:szCs w:val="24"/>
        </w:rPr>
        <w:t xml:space="preserve"> for </w:t>
      </w:r>
      <w:r w:rsidR="0062188C">
        <w:rPr>
          <w:rFonts w:ascii="Times New Roman" w:hAnsi="Times New Roman" w:cs="Times New Roman"/>
          <w:b/>
          <w:bCs/>
          <w:sz w:val="24"/>
          <w:szCs w:val="24"/>
        </w:rPr>
        <w:t>populations</w:t>
      </w:r>
      <w:r w:rsidR="0062188C" w:rsidRPr="004E210D">
        <w:rPr>
          <w:rFonts w:ascii="Times New Roman" w:hAnsi="Times New Roman" w:cs="Times New Roman"/>
          <w:b/>
          <w:bCs/>
          <w:sz w:val="24"/>
          <w:szCs w:val="24"/>
        </w:rPr>
        <w:t xml:space="preserve"> </w:t>
      </w:r>
      <w:r w:rsidR="00A22796" w:rsidRPr="004E210D">
        <w:rPr>
          <w:rFonts w:ascii="Times New Roman" w:hAnsi="Times New Roman" w:cs="Times New Roman"/>
          <w:b/>
          <w:bCs/>
          <w:sz w:val="24"/>
          <w:szCs w:val="24"/>
        </w:rPr>
        <w:t xml:space="preserve">from strongyloidiasis high-risk areas </w:t>
      </w:r>
      <w:r w:rsidR="00580F93">
        <w:rPr>
          <w:rFonts w:ascii="Times New Roman" w:hAnsi="Times New Roman" w:cs="Times New Roman"/>
          <w:b/>
          <w:bCs/>
          <w:sz w:val="24"/>
          <w:szCs w:val="24"/>
        </w:rPr>
        <w:t xml:space="preserve">globally </w:t>
      </w:r>
      <w:r w:rsidR="00A22796" w:rsidRPr="004E210D">
        <w:rPr>
          <w:rFonts w:ascii="Times New Roman" w:hAnsi="Times New Roman" w:cs="Times New Roman"/>
          <w:b/>
          <w:bCs/>
          <w:sz w:val="24"/>
          <w:szCs w:val="24"/>
        </w:rPr>
        <w:t xml:space="preserve">who </w:t>
      </w:r>
      <w:r w:rsidR="00A22796">
        <w:rPr>
          <w:rFonts w:ascii="Times New Roman" w:hAnsi="Times New Roman" w:cs="Times New Roman"/>
          <w:b/>
          <w:bCs/>
          <w:sz w:val="24"/>
          <w:szCs w:val="24"/>
        </w:rPr>
        <w:t>will initiate</w:t>
      </w:r>
      <w:r w:rsidR="00A22796" w:rsidRPr="004E210D">
        <w:rPr>
          <w:rFonts w:ascii="Times New Roman" w:hAnsi="Times New Roman" w:cs="Times New Roman"/>
          <w:b/>
          <w:bCs/>
          <w:sz w:val="24"/>
          <w:szCs w:val="24"/>
        </w:rPr>
        <w:t xml:space="preserve"> </w:t>
      </w:r>
      <w:r w:rsidR="00A22796">
        <w:rPr>
          <w:rFonts w:ascii="Times New Roman" w:hAnsi="Times New Roman" w:cs="Times New Roman"/>
          <w:b/>
          <w:bCs/>
          <w:sz w:val="24"/>
          <w:szCs w:val="24"/>
        </w:rPr>
        <w:t>cortico</w:t>
      </w:r>
      <w:r w:rsidR="00A22796" w:rsidRPr="004E210D">
        <w:rPr>
          <w:rFonts w:ascii="Times New Roman" w:hAnsi="Times New Roman" w:cs="Times New Roman"/>
          <w:b/>
          <w:bCs/>
          <w:sz w:val="24"/>
          <w:szCs w:val="24"/>
        </w:rPr>
        <w:t>steroid treatment</w:t>
      </w:r>
      <w:r w:rsidR="00A22796">
        <w:rPr>
          <w:rFonts w:ascii="Times New Roman" w:hAnsi="Times New Roman" w:cs="Times New Roman"/>
          <w:b/>
          <w:bCs/>
          <w:sz w:val="24"/>
          <w:szCs w:val="24"/>
        </w:rPr>
        <w:t xml:space="preserve"> in the United States</w:t>
      </w:r>
      <w:r w:rsidR="00E62538">
        <w:rPr>
          <w:rFonts w:ascii="Times New Roman" w:hAnsi="Times New Roman" w:cs="Times New Roman"/>
          <w:b/>
          <w:bCs/>
          <w:sz w:val="24"/>
          <w:szCs w:val="24"/>
        </w:rPr>
        <w:t>”</w:t>
      </w:r>
    </w:p>
    <w:p w14:paraId="50B387DB" w14:textId="77777777" w:rsidR="0000734D" w:rsidRDefault="0000734D" w:rsidP="00386CA7">
      <w:pPr>
        <w:spacing w:line="480" w:lineRule="auto"/>
        <w:rPr>
          <w:rFonts w:ascii="Times New Roman" w:hAnsi="Times New Roman" w:cs="Times New Roman"/>
          <w:b/>
          <w:bCs/>
          <w:sz w:val="24"/>
          <w:szCs w:val="24"/>
        </w:rPr>
      </w:pPr>
    </w:p>
    <w:p w14:paraId="697B8778" w14:textId="0B6E0D82" w:rsidR="00386CA7" w:rsidRPr="00FA6DFA" w:rsidRDefault="00386CA7" w:rsidP="00386CA7">
      <w:pPr>
        <w:spacing w:line="480" w:lineRule="auto"/>
        <w:rPr>
          <w:rFonts w:ascii="Times New Roman" w:hAnsi="Times New Roman" w:cs="Times New Roman"/>
          <w:sz w:val="24"/>
          <w:szCs w:val="24"/>
        </w:rPr>
      </w:pPr>
      <w:r w:rsidRPr="006C06E1">
        <w:rPr>
          <w:rFonts w:ascii="Times New Roman" w:hAnsi="Times New Roman" w:cs="Times New Roman"/>
          <w:b/>
          <w:bCs/>
          <w:sz w:val="24"/>
          <w:szCs w:val="24"/>
        </w:rPr>
        <w:t>Authors:</w:t>
      </w:r>
      <w:r>
        <w:rPr>
          <w:rFonts w:ascii="Times New Roman" w:hAnsi="Times New Roman" w:cs="Times New Roman"/>
          <w:sz w:val="24"/>
          <w:szCs w:val="24"/>
        </w:rPr>
        <w:t xml:space="preserve"> Heesoo Joo, PhD</w:t>
      </w:r>
      <w:r>
        <w:rPr>
          <w:rStyle w:val="FootnoteReference"/>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Fonts w:ascii="Times New Roman" w:hAnsi="Times New Roman" w:cs="Times New Roman"/>
          <w:sz w:val="24"/>
          <w:szCs w:val="24"/>
        </w:rPr>
        <w:t>; Brian A. Maskery,</w:t>
      </w:r>
      <w:r>
        <w:rPr>
          <w:rFonts w:ascii="Times New Roman" w:hAnsi="Times New Roman" w:cs="Times New Roman"/>
          <w:sz w:val="24"/>
          <w:szCs w:val="24"/>
          <w:vertAlign w:val="superscript"/>
        </w:rPr>
        <w:t xml:space="preserve"> </w:t>
      </w:r>
      <w:r>
        <w:rPr>
          <w:rFonts w:ascii="Times New Roman" w:hAnsi="Times New Roman" w:cs="Times New Roman"/>
          <w:sz w:val="24"/>
          <w:szCs w:val="24"/>
        </w:rPr>
        <w:t>PhD</w:t>
      </w:r>
      <w:r>
        <w:rPr>
          <w:rFonts w:ascii="Times New Roman" w:hAnsi="Times New Roman" w:cs="Times New Roman"/>
          <w:sz w:val="24"/>
          <w:szCs w:val="24"/>
          <w:vertAlign w:val="superscript"/>
        </w:rPr>
        <w:t>1</w:t>
      </w:r>
      <w:r>
        <w:rPr>
          <w:rFonts w:ascii="Times New Roman" w:hAnsi="Times New Roman" w:cs="Times New Roman"/>
          <w:sz w:val="24"/>
          <w:szCs w:val="24"/>
        </w:rPr>
        <w:t xml:space="preserve">; Jonathan </w:t>
      </w:r>
      <w:r w:rsidRPr="00CC23F5">
        <w:rPr>
          <w:rFonts w:ascii="Times New Roman" w:hAnsi="Times New Roman" w:cs="Times New Roman"/>
          <w:sz w:val="24"/>
          <w:szCs w:val="24"/>
        </w:rPr>
        <w:t>D.</w:t>
      </w:r>
      <w:r>
        <w:rPr>
          <w:rFonts w:ascii="Times New Roman" w:hAnsi="Times New Roman" w:cs="Times New Roman"/>
          <w:sz w:val="24"/>
          <w:szCs w:val="24"/>
        </w:rPr>
        <w:t xml:space="preserve"> Alpern, MD</w:t>
      </w:r>
      <w:r>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Pr>
          <w:rFonts w:ascii="Times New Roman" w:hAnsi="Times New Roman" w:cs="Times New Roman"/>
          <w:sz w:val="24"/>
          <w:szCs w:val="24"/>
        </w:rPr>
        <w:br/>
        <w:t>Michelle Weinberg,</w:t>
      </w:r>
      <w:r w:rsidRPr="00FA6DFA">
        <w:rPr>
          <w:rFonts w:ascii="Times New Roman" w:hAnsi="Times New Roman" w:cs="Times New Roman"/>
          <w:sz w:val="24"/>
          <w:szCs w:val="24"/>
        </w:rPr>
        <w:t xml:space="preserve"> MD</w:t>
      </w:r>
      <w:r w:rsidRPr="00C7213D">
        <w:rPr>
          <w:rFonts w:ascii="Times New Roman" w:hAnsi="Times New Roman" w:cs="Times New Roman"/>
          <w:sz w:val="24"/>
          <w:szCs w:val="24"/>
          <w:vertAlign w:val="superscript"/>
        </w:rPr>
        <w:t>1</w:t>
      </w:r>
      <w:r>
        <w:rPr>
          <w:rFonts w:ascii="Times New Roman" w:hAnsi="Times New Roman" w:cs="Times New Roman"/>
          <w:sz w:val="24"/>
          <w:szCs w:val="24"/>
        </w:rPr>
        <w:t>; William M. Stauffer, MD</w:t>
      </w:r>
      <w:r>
        <w:rPr>
          <w:rFonts w:ascii="Times New Roman" w:hAnsi="Times New Roman" w:cs="Times New Roman"/>
          <w:sz w:val="24"/>
          <w:szCs w:val="24"/>
          <w:vertAlign w:val="superscript"/>
        </w:rPr>
        <w:t>1,3</w:t>
      </w:r>
      <w:r w:rsidR="008909F5">
        <w:rPr>
          <w:rFonts w:ascii="Times New Roman" w:hAnsi="Times New Roman" w:cs="Times New Roman"/>
          <w:sz w:val="24"/>
          <w:szCs w:val="24"/>
          <w:vertAlign w:val="superscript"/>
        </w:rPr>
        <w:t>,4</w:t>
      </w:r>
    </w:p>
    <w:p w14:paraId="4308FD35" w14:textId="77777777" w:rsidR="00386CA7" w:rsidRPr="001F4A4C" w:rsidRDefault="00386CA7" w:rsidP="00386CA7">
      <w:pPr>
        <w:rPr>
          <w:rFonts w:ascii="Times New Roman" w:hAnsi="Times New Roman" w:cs="Times New Roman"/>
          <w:b/>
          <w:bCs/>
          <w:sz w:val="24"/>
          <w:szCs w:val="24"/>
        </w:rPr>
      </w:pPr>
      <w:r w:rsidRPr="001F4A4C">
        <w:rPr>
          <w:rFonts w:ascii="Times New Roman" w:hAnsi="Times New Roman" w:cs="Times New Roman"/>
          <w:b/>
          <w:bCs/>
          <w:sz w:val="24"/>
          <w:szCs w:val="24"/>
        </w:rPr>
        <w:t xml:space="preserve">Affiliations: </w:t>
      </w:r>
    </w:p>
    <w:p w14:paraId="4AE6A256" w14:textId="09DB957D" w:rsidR="00386CA7" w:rsidRPr="00FA6DFA" w:rsidRDefault="00386CA7" w:rsidP="00386CA7">
      <w:pPr>
        <w:spacing w:line="276"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FA6DFA">
        <w:rPr>
          <w:rFonts w:ascii="Times New Roman" w:hAnsi="Times New Roman" w:cs="Times New Roman"/>
          <w:sz w:val="24"/>
          <w:szCs w:val="24"/>
        </w:rPr>
        <w:t xml:space="preserve">Division </w:t>
      </w:r>
      <w:r>
        <w:rPr>
          <w:rFonts w:ascii="Times New Roman" w:hAnsi="Times New Roman" w:cs="Times New Roman"/>
          <w:sz w:val="24"/>
          <w:szCs w:val="24"/>
        </w:rPr>
        <w:t>of Global Migration and Quarantine, U</w:t>
      </w:r>
      <w:r w:rsidR="00400FCE">
        <w:rPr>
          <w:rFonts w:ascii="Times New Roman" w:hAnsi="Times New Roman" w:cs="Times New Roman"/>
          <w:sz w:val="24"/>
          <w:szCs w:val="24"/>
        </w:rPr>
        <w:t>.</w:t>
      </w:r>
      <w:r>
        <w:rPr>
          <w:rFonts w:ascii="Times New Roman" w:hAnsi="Times New Roman" w:cs="Times New Roman"/>
          <w:sz w:val="24"/>
          <w:szCs w:val="24"/>
        </w:rPr>
        <w:t>S</w:t>
      </w:r>
      <w:r w:rsidR="00400FCE">
        <w:rPr>
          <w:rFonts w:ascii="Times New Roman" w:hAnsi="Times New Roman" w:cs="Times New Roman"/>
          <w:sz w:val="24"/>
          <w:szCs w:val="24"/>
        </w:rPr>
        <w:t>.</w:t>
      </w:r>
      <w:r>
        <w:rPr>
          <w:rFonts w:ascii="Times New Roman" w:hAnsi="Times New Roman" w:cs="Times New Roman"/>
          <w:sz w:val="24"/>
          <w:szCs w:val="24"/>
        </w:rPr>
        <w:t xml:space="preserve"> </w:t>
      </w:r>
      <w:r w:rsidRPr="00FA6DFA">
        <w:rPr>
          <w:rFonts w:ascii="Times New Roman" w:hAnsi="Times New Roman" w:cs="Times New Roman"/>
          <w:sz w:val="24"/>
          <w:szCs w:val="24"/>
        </w:rPr>
        <w:t>Centers for Disease Control and Prevention</w:t>
      </w:r>
      <w:r>
        <w:rPr>
          <w:rFonts w:ascii="Times New Roman" w:hAnsi="Times New Roman" w:cs="Times New Roman"/>
          <w:sz w:val="24"/>
          <w:szCs w:val="24"/>
        </w:rPr>
        <w:t xml:space="preserve">, </w:t>
      </w:r>
      <w:r w:rsidR="008909F5">
        <w:rPr>
          <w:rFonts w:ascii="Times New Roman" w:hAnsi="Times New Roman" w:cs="Times New Roman"/>
          <w:sz w:val="24"/>
          <w:szCs w:val="24"/>
        </w:rPr>
        <w:t>Atlanta</w:t>
      </w:r>
      <w:r>
        <w:rPr>
          <w:rFonts w:ascii="Times New Roman" w:hAnsi="Times New Roman" w:cs="Times New Roman"/>
          <w:sz w:val="24"/>
          <w:szCs w:val="24"/>
        </w:rPr>
        <w:t>,</w:t>
      </w:r>
      <w:r w:rsidR="008909F5">
        <w:rPr>
          <w:rFonts w:ascii="Times New Roman" w:hAnsi="Times New Roman" w:cs="Times New Roman"/>
          <w:sz w:val="24"/>
          <w:szCs w:val="24"/>
        </w:rPr>
        <w:t xml:space="preserve"> GA</w:t>
      </w:r>
      <w:r w:rsidR="00435880">
        <w:rPr>
          <w:rFonts w:ascii="Times New Roman" w:hAnsi="Times New Roman" w:cs="Times New Roman"/>
          <w:sz w:val="24"/>
          <w:szCs w:val="24"/>
        </w:rPr>
        <w:t>,</w:t>
      </w:r>
      <w:r>
        <w:rPr>
          <w:rFonts w:ascii="Times New Roman" w:hAnsi="Times New Roman" w:cs="Times New Roman"/>
          <w:sz w:val="24"/>
          <w:szCs w:val="24"/>
        </w:rPr>
        <w:t xml:space="preserve"> USA</w:t>
      </w:r>
      <w:r w:rsidRPr="00FA6DFA">
        <w:rPr>
          <w:rFonts w:ascii="Times New Roman" w:hAnsi="Times New Roman" w:cs="Times New Roman"/>
          <w:sz w:val="24"/>
          <w:szCs w:val="24"/>
        </w:rPr>
        <w:t xml:space="preserve"> </w:t>
      </w:r>
    </w:p>
    <w:p w14:paraId="0CEE8D0B" w14:textId="6A7A5CE1"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F4A4C">
        <w:rPr>
          <w:rFonts w:ascii="Times New Roman" w:hAnsi="Times New Roman" w:cs="Times New Roman"/>
          <w:sz w:val="24"/>
          <w:szCs w:val="24"/>
        </w:rPr>
        <w:t>Infectious Disease Section, Minneapolis Veterans Affairs Health Care System, Minneapolis</w:t>
      </w:r>
      <w:r>
        <w:rPr>
          <w:rFonts w:ascii="Times New Roman" w:hAnsi="Times New Roman" w:cs="Times New Roman"/>
          <w:sz w:val="24"/>
          <w:szCs w:val="24"/>
        </w:rPr>
        <w:t xml:space="preserve">, </w:t>
      </w:r>
      <w:r w:rsidR="00435880">
        <w:rPr>
          <w:rFonts w:ascii="Times New Roman" w:hAnsi="Times New Roman" w:cs="Times New Roman"/>
          <w:sz w:val="24"/>
          <w:szCs w:val="24"/>
        </w:rPr>
        <w:t xml:space="preserve">MN, </w:t>
      </w:r>
      <w:r>
        <w:rPr>
          <w:rFonts w:ascii="Times New Roman" w:hAnsi="Times New Roman" w:cs="Times New Roman"/>
          <w:sz w:val="24"/>
          <w:szCs w:val="24"/>
        </w:rPr>
        <w:t>USA</w:t>
      </w:r>
      <w:r w:rsidDel="0089290D">
        <w:rPr>
          <w:rFonts w:ascii="Times New Roman" w:hAnsi="Times New Roman" w:cs="Times New Roman"/>
          <w:sz w:val="24"/>
          <w:szCs w:val="24"/>
          <w:lang w:val="en"/>
        </w:rPr>
        <w:t xml:space="preserve"> </w:t>
      </w:r>
    </w:p>
    <w:p w14:paraId="36A5A3A2" w14:textId="445794B3" w:rsidR="00386CA7" w:rsidRDefault="00386CA7" w:rsidP="00386CA7">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3 </w:t>
      </w:r>
      <w:r w:rsidRPr="001F4A4C">
        <w:rPr>
          <w:rFonts w:ascii="Times New Roman" w:hAnsi="Times New Roman" w:cs="Times New Roman"/>
          <w:sz w:val="24"/>
          <w:szCs w:val="24"/>
        </w:rPr>
        <w:t xml:space="preserve">Department of Medicine, </w:t>
      </w:r>
      <w:r w:rsidR="006866E8">
        <w:rPr>
          <w:rFonts w:ascii="Times New Roman" w:hAnsi="Times New Roman" w:cs="Times New Roman"/>
          <w:sz w:val="24"/>
          <w:szCs w:val="24"/>
        </w:rPr>
        <w:t xml:space="preserve">Infectious Diseases and International Medicine, </w:t>
      </w:r>
      <w:r w:rsidRPr="001F4A4C">
        <w:rPr>
          <w:rFonts w:ascii="Times New Roman" w:hAnsi="Times New Roman" w:cs="Times New Roman"/>
          <w:sz w:val="24"/>
          <w:szCs w:val="24"/>
        </w:rPr>
        <w:t>University of Minnesota, Minneapolis,</w:t>
      </w:r>
      <w:r w:rsidR="00435880">
        <w:rPr>
          <w:rFonts w:ascii="Times New Roman" w:hAnsi="Times New Roman" w:cs="Times New Roman"/>
          <w:sz w:val="24"/>
          <w:szCs w:val="24"/>
        </w:rPr>
        <w:t xml:space="preserve"> MN,</w:t>
      </w:r>
      <w:r w:rsidRPr="001F4A4C">
        <w:rPr>
          <w:rFonts w:ascii="Times New Roman" w:hAnsi="Times New Roman" w:cs="Times New Roman"/>
          <w:sz w:val="24"/>
          <w:szCs w:val="24"/>
        </w:rPr>
        <w:t xml:space="preserve"> USA</w:t>
      </w:r>
    </w:p>
    <w:p w14:paraId="21AB1DE2" w14:textId="77777777" w:rsidR="008909F5" w:rsidRPr="0079706F" w:rsidRDefault="008909F5" w:rsidP="008909F5">
      <w:pPr>
        <w:spacing w:line="276" w:lineRule="auto"/>
        <w:rPr>
          <w:rFonts w:ascii="Times New Roman" w:hAnsi="Times New Roman" w:cs="Times New Roman"/>
          <w:sz w:val="24"/>
          <w:szCs w:val="24"/>
          <w:lang w:val="en"/>
        </w:rPr>
      </w:pPr>
      <w:r>
        <w:rPr>
          <w:rFonts w:ascii="Times New Roman" w:hAnsi="Times New Roman" w:cs="Times New Roman"/>
          <w:sz w:val="24"/>
          <w:szCs w:val="24"/>
          <w:vertAlign w:val="superscript"/>
        </w:rPr>
        <w:t xml:space="preserve">4 </w:t>
      </w:r>
      <w:r>
        <w:rPr>
          <w:rFonts w:ascii="Times New Roman" w:hAnsi="Times New Roman" w:cs="Times New Roman"/>
          <w:sz w:val="24"/>
          <w:szCs w:val="24"/>
        </w:rPr>
        <w:t>Center for Global Health and Social Responsibility, University of Minnesota, Minneapolis, MN, USA</w:t>
      </w:r>
    </w:p>
    <w:p w14:paraId="0B834004" w14:textId="7838ABF1" w:rsidR="00386CA7" w:rsidRDefault="00386CA7" w:rsidP="00386CA7">
      <w:pPr>
        <w:spacing w:after="0" w:line="480" w:lineRule="auto"/>
        <w:rPr>
          <w:rFonts w:ascii="Times New Roman" w:hAnsi="Times New Roman" w:cs="Times New Roman"/>
          <w:sz w:val="24"/>
          <w:szCs w:val="24"/>
          <w:vertAlign w:val="superscript"/>
          <w:lang w:val="en"/>
        </w:rPr>
      </w:pPr>
    </w:p>
    <w:p w14:paraId="31293230" w14:textId="14773C2C" w:rsidR="003B093C" w:rsidRDefault="003B093C" w:rsidP="00386CA7">
      <w:pPr>
        <w:spacing w:after="0" w:line="480" w:lineRule="auto"/>
        <w:rPr>
          <w:rFonts w:ascii="Times New Roman" w:hAnsi="Times New Roman" w:cs="Times New Roman"/>
          <w:sz w:val="24"/>
          <w:szCs w:val="24"/>
          <w:vertAlign w:val="superscript"/>
          <w:lang w:val="en"/>
        </w:rPr>
      </w:pPr>
    </w:p>
    <w:p w14:paraId="07F8862A" w14:textId="77777777" w:rsidR="0000734D" w:rsidRDefault="0000734D" w:rsidP="00386CA7">
      <w:pPr>
        <w:spacing w:after="0" w:line="480" w:lineRule="auto"/>
        <w:rPr>
          <w:rFonts w:ascii="Times New Roman" w:hAnsi="Times New Roman" w:cs="Times New Roman"/>
          <w:sz w:val="24"/>
          <w:szCs w:val="24"/>
        </w:rPr>
      </w:pPr>
      <w:bookmarkStart w:id="0" w:name="_Hlk54689701"/>
    </w:p>
    <w:p w14:paraId="5F4C09AD" w14:textId="5EBF5B2E" w:rsidR="002B2575" w:rsidRDefault="003B093C" w:rsidP="00C51623">
      <w:pPr>
        <w:spacing w:after="0" w:line="480" w:lineRule="auto"/>
        <w:rPr>
          <w:rFonts w:ascii="Times New Roman" w:hAnsi="Times New Roman" w:cs="Times New Roman"/>
          <w:sz w:val="24"/>
          <w:szCs w:val="24"/>
        </w:rPr>
        <w:sectPr w:rsidR="002B2575" w:rsidSect="00F17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533E93">
        <w:rPr>
          <w:rFonts w:ascii="Times New Roman" w:hAnsi="Times New Roman" w:cs="Times New Roman"/>
          <w:sz w:val="24"/>
          <w:szCs w:val="24"/>
        </w:rPr>
        <w:t>D</w:t>
      </w:r>
      <w:r w:rsidRPr="00052AEC">
        <w:rPr>
          <w:rFonts w:ascii="Times New Roman" w:hAnsi="Times New Roman" w:cs="Times New Roman"/>
          <w:sz w:val="24"/>
          <w:szCs w:val="24"/>
        </w:rPr>
        <w:t>i</w:t>
      </w:r>
      <w:r w:rsidRPr="00533E93">
        <w:rPr>
          <w:rFonts w:ascii="Times New Roman" w:hAnsi="Times New Roman" w:cs="Times New Roman"/>
          <w:sz w:val="24"/>
          <w:szCs w:val="24"/>
        </w:rPr>
        <w:t xml:space="preserve">sclaimer: </w:t>
      </w:r>
      <w:r w:rsidRPr="00D96FC1">
        <w:rPr>
          <w:rFonts w:ascii="Times New Roman" w:hAnsi="Times New Roman" w:cs="Times New Roman"/>
          <w:sz w:val="24"/>
          <w:szCs w:val="24"/>
        </w:rPr>
        <w:t>The findings and conclusions in this article are those of the authors and do not necessarily represent the official position of the U</w:t>
      </w:r>
      <w:r w:rsidR="00400FCE">
        <w:rPr>
          <w:rFonts w:ascii="Times New Roman" w:hAnsi="Times New Roman" w:cs="Times New Roman"/>
          <w:sz w:val="24"/>
          <w:szCs w:val="24"/>
        </w:rPr>
        <w:t>.</w:t>
      </w:r>
      <w:r w:rsidRPr="00D96FC1">
        <w:rPr>
          <w:rFonts w:ascii="Times New Roman" w:hAnsi="Times New Roman" w:cs="Times New Roman"/>
          <w:sz w:val="24"/>
          <w:szCs w:val="24"/>
        </w:rPr>
        <w:t>S</w:t>
      </w:r>
      <w:r w:rsidR="00400FCE">
        <w:rPr>
          <w:rFonts w:ascii="Times New Roman" w:hAnsi="Times New Roman" w:cs="Times New Roman"/>
          <w:sz w:val="24"/>
          <w:szCs w:val="24"/>
        </w:rPr>
        <w:t>.</w:t>
      </w:r>
      <w:r w:rsidRPr="00D96FC1">
        <w:rPr>
          <w:rFonts w:ascii="Times New Roman" w:hAnsi="Times New Roman" w:cs="Times New Roman"/>
          <w:sz w:val="24"/>
          <w:szCs w:val="24"/>
        </w:rPr>
        <w:t xml:space="preserve"> Centers for Disease Control and Prevention (CDC).</w:t>
      </w:r>
      <w:bookmarkEnd w:id="0"/>
    </w:p>
    <w:p w14:paraId="69FDB901" w14:textId="1E0CF1AB" w:rsidR="001D2696" w:rsidRDefault="001D2696" w:rsidP="001D2696">
      <w:pPr>
        <w:rPr>
          <w:rFonts w:ascii="Times New Roman" w:hAnsi="Times New Roman" w:cs="Times New Roman"/>
          <w:sz w:val="24"/>
          <w:szCs w:val="24"/>
        </w:rPr>
      </w:pPr>
      <w:r>
        <w:rPr>
          <w:rFonts w:ascii="Times New Roman" w:hAnsi="Times New Roman" w:cs="Times New Roman"/>
          <w:sz w:val="24"/>
          <w:szCs w:val="24"/>
        </w:rPr>
        <w:lastRenderedPageBreak/>
        <w:t xml:space="preserve">Appendix Figure </w:t>
      </w:r>
      <w:r w:rsidR="00B33F1A">
        <w:rPr>
          <w:rFonts w:ascii="Times New Roman" w:hAnsi="Times New Roman" w:cs="Times New Roman"/>
          <w:sz w:val="24"/>
          <w:szCs w:val="24"/>
        </w:rPr>
        <w:t>2</w:t>
      </w:r>
      <w:r>
        <w:rPr>
          <w:rFonts w:ascii="Times New Roman" w:hAnsi="Times New Roman" w:cs="Times New Roman"/>
          <w:sz w:val="24"/>
          <w:szCs w:val="24"/>
        </w:rPr>
        <w:t>. One-way sensitivity analyses for incremental cost-effectiveness ratios (ICERs) (2019 US dollars per death averted)</w:t>
      </w:r>
      <w:r w:rsidR="00976019">
        <w:rPr>
          <w:rFonts w:ascii="Times New Roman" w:hAnsi="Times New Roman" w:cs="Times New Roman"/>
          <w:sz w:val="24"/>
          <w:szCs w:val="24"/>
        </w:rPr>
        <w:t xml:space="preserve"> for strongyloidiasis management strategies</w:t>
      </w:r>
      <w:r>
        <w:rPr>
          <w:rFonts w:ascii="Times New Roman" w:hAnsi="Times New Roman" w:cs="Times New Roman"/>
          <w:sz w:val="24"/>
          <w:szCs w:val="24"/>
        </w:rPr>
        <w:t xml:space="preserve">.  </w:t>
      </w:r>
    </w:p>
    <w:p w14:paraId="45AF5319" w14:textId="77777777" w:rsidR="001D2696" w:rsidRDefault="001D2696" w:rsidP="001D2696">
      <w:pPr>
        <w:spacing w:after="0"/>
        <w:rPr>
          <w:rFonts w:ascii="Times New Roman" w:hAnsi="Times New Roman" w:cs="Times New Roman"/>
          <w:sz w:val="24"/>
          <w:szCs w:val="24"/>
        </w:rPr>
      </w:pPr>
      <w:r>
        <w:rPr>
          <w:rFonts w:ascii="Times New Roman" w:hAnsi="Times New Roman" w:cs="Times New Roman"/>
          <w:sz w:val="24"/>
          <w:szCs w:val="24"/>
        </w:rPr>
        <w:t>“Screen and Treat” vs. “No Intervention”</w:t>
      </w:r>
    </w:p>
    <w:p w14:paraId="7213C9F5" w14:textId="77777777" w:rsidR="001D2696" w:rsidRDefault="001D2696" w:rsidP="001D2696">
      <w:pPr>
        <w:rPr>
          <w:rFonts w:ascii="Times New Roman" w:hAnsi="Times New Roman" w:cs="Times New Roman"/>
          <w:sz w:val="24"/>
          <w:szCs w:val="24"/>
        </w:rPr>
      </w:pPr>
      <w:r>
        <w:rPr>
          <w:noProof/>
        </w:rPr>
        <mc:AlternateContent>
          <mc:Choice Requires="wps">
            <w:drawing>
              <wp:anchor distT="0" distB="0" distL="114300" distR="114300" simplePos="0" relativeHeight="251661314" behindDoc="0" locked="0" layoutInCell="1" allowOverlap="1" wp14:anchorId="2448A21E" wp14:editId="1180106C">
                <wp:simplePos x="0" y="0"/>
                <wp:positionH relativeFrom="column">
                  <wp:posOffset>3978275</wp:posOffset>
                </wp:positionH>
                <wp:positionV relativeFrom="paragraph">
                  <wp:posOffset>1664970</wp:posOffset>
                </wp:positionV>
                <wp:extent cx="657225" cy="37147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EB2D0" id="Straight Connector 2" o:spid="_x0000_s1026" style="position:absolute;flip:y;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25pt,131.1pt" to="36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62338" behindDoc="0" locked="0" layoutInCell="1" allowOverlap="1" wp14:anchorId="7902C98F" wp14:editId="7AFB7A57">
                <wp:simplePos x="0" y="0"/>
                <wp:positionH relativeFrom="column">
                  <wp:posOffset>3971925</wp:posOffset>
                </wp:positionH>
                <wp:positionV relativeFrom="paragraph">
                  <wp:posOffset>3202940</wp:posOffset>
                </wp:positionV>
                <wp:extent cx="682625" cy="17780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2625"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413CD" id="Straight Connector 1" o:spid="_x0000_s1026" style="position:absolute;flip:y;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252.2pt" to="366.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" strokecolor="black [3200]" strokeweight=".5pt">
                <v:stroke joinstyle="miter"/>
                <o:lock v:ext="edit" shapetype="f"/>
              </v:line>
            </w:pict>
          </mc:Fallback>
        </mc:AlternateContent>
      </w:r>
      <w:r>
        <w:rPr>
          <w:noProof/>
        </w:rPr>
        <w:drawing>
          <wp:anchor distT="0" distB="0" distL="114300" distR="114300" simplePos="0" relativeHeight="251660290" behindDoc="0" locked="0" layoutInCell="1" allowOverlap="1" wp14:anchorId="1C916480" wp14:editId="10C956F3">
            <wp:simplePos x="0" y="0"/>
            <wp:positionH relativeFrom="column">
              <wp:posOffset>4654550</wp:posOffset>
            </wp:positionH>
            <wp:positionV relativeFrom="paragraph">
              <wp:posOffset>1653540</wp:posOffset>
            </wp:positionV>
            <wp:extent cx="2425700" cy="1549400"/>
            <wp:effectExtent l="0" t="0" r="0" b="0"/>
            <wp:wrapNone/>
            <wp:docPr id="7" name="Chart 7">
              <a:extLst xmlns:a="http://schemas.openxmlformats.org/drawingml/2006/main">
                <a:ext uri="{FF2B5EF4-FFF2-40B4-BE49-F238E27FC236}">
                  <a16:creationId xmlns:a16="http://schemas.microsoft.com/office/drawing/2014/main" id="{FA95D358-AE82-4933-A518-EC1E397BA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inline distT="0" distB="0" distL="0" distR="0" wp14:anchorId="17195097" wp14:editId="4135800E">
            <wp:extent cx="8343900" cy="3848100"/>
            <wp:effectExtent l="0" t="0" r="0" b="0"/>
            <wp:docPr id="3" name="Chart 3">
              <a:extLst xmlns:a="http://schemas.openxmlformats.org/drawingml/2006/main">
                <a:ext uri="{FF2B5EF4-FFF2-40B4-BE49-F238E27FC236}">
                  <a16:creationId xmlns:a16="http://schemas.microsoft.com/office/drawing/2014/main" id="{3C6663BC-AFA2-4763-BBE8-587D4FE0FE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37C113" w14:textId="77777777" w:rsidR="001D2696" w:rsidRDefault="001D2696" w:rsidP="001D2696">
      <w:pPr>
        <w:rPr>
          <w:rFonts w:ascii="Times New Roman" w:hAnsi="Times New Roman" w:cs="Times New Roman"/>
          <w:sz w:val="20"/>
          <w:szCs w:val="20"/>
        </w:rPr>
      </w:pPr>
      <w:r w:rsidRPr="00806FBC">
        <w:rPr>
          <w:rFonts w:ascii="Times New Roman" w:hAnsi="Times New Roman" w:cs="Times New Roman"/>
          <w:sz w:val="20"/>
          <w:szCs w:val="20"/>
        </w:rPr>
        <w:t xml:space="preserve">Abbreviation: VSL, Value of Statistical Life </w:t>
      </w:r>
      <w:r w:rsidRPr="00806FBC">
        <w:rPr>
          <w:rFonts w:ascii="Times New Roman" w:hAnsi="Times New Roman" w:cs="Times New Roman"/>
          <w:sz w:val="20"/>
          <w:szCs w:val="20"/>
        </w:rPr>
        <w:br/>
        <w:t>Notes: The black</w:t>
      </w:r>
      <w:r>
        <w:rPr>
          <w:rFonts w:ascii="Times New Roman" w:hAnsi="Times New Roman" w:cs="Times New Roman"/>
          <w:sz w:val="20"/>
          <w:szCs w:val="20"/>
        </w:rPr>
        <w:t>, red, and green</w:t>
      </w:r>
      <w:r w:rsidRPr="00806FBC">
        <w:rPr>
          <w:rFonts w:ascii="Times New Roman" w:hAnsi="Times New Roman" w:cs="Times New Roman"/>
          <w:sz w:val="20"/>
          <w:szCs w:val="20"/>
        </w:rPr>
        <w:t xml:space="preserve"> vertical line</w:t>
      </w:r>
      <w:r>
        <w:rPr>
          <w:rFonts w:ascii="Times New Roman" w:hAnsi="Times New Roman" w:cs="Times New Roman"/>
          <w:sz w:val="20"/>
          <w:szCs w:val="20"/>
        </w:rPr>
        <w:t>s</w:t>
      </w:r>
      <w:r w:rsidRPr="00806FBC">
        <w:rPr>
          <w:rFonts w:ascii="Times New Roman" w:hAnsi="Times New Roman" w:cs="Times New Roman"/>
          <w:sz w:val="20"/>
          <w:szCs w:val="20"/>
        </w:rPr>
        <w:t xml:space="preserve"> represent the baseline ICER,</w:t>
      </w:r>
      <w:r>
        <w:rPr>
          <w:rFonts w:ascii="Times New Roman" w:hAnsi="Times New Roman" w:cs="Times New Roman"/>
          <w:sz w:val="20"/>
          <w:szCs w:val="20"/>
        </w:rPr>
        <w:t xml:space="preserve"> </w:t>
      </w:r>
      <w:r w:rsidRPr="00806FBC">
        <w:rPr>
          <w:rFonts w:ascii="Times New Roman" w:hAnsi="Times New Roman" w:cs="Times New Roman"/>
          <w:sz w:val="20"/>
          <w:szCs w:val="20"/>
        </w:rPr>
        <w:t>the cost-effectiveness threshold</w:t>
      </w:r>
      <w:r>
        <w:rPr>
          <w:rFonts w:ascii="Times New Roman" w:hAnsi="Times New Roman" w:cs="Times New Roman"/>
          <w:sz w:val="20"/>
          <w:szCs w:val="20"/>
        </w:rPr>
        <w:t xml:space="preserve"> (i.e., $10.6 million per statistical life), and the zero ICER, respectively</w:t>
      </w:r>
      <w:r w:rsidRPr="00806FBC">
        <w:rPr>
          <w:rFonts w:ascii="Times New Roman" w:hAnsi="Times New Roman" w:cs="Times New Roman"/>
          <w:sz w:val="20"/>
          <w:szCs w:val="20"/>
        </w:rPr>
        <w:t>. The width of horizontal bars showed the change in ICER when each input parameter was varied over the lower and upper bound estimates.</w:t>
      </w:r>
      <w:r>
        <w:rPr>
          <w:rFonts w:ascii="Times New Roman" w:hAnsi="Times New Roman" w:cs="Times New Roman"/>
          <w:sz w:val="20"/>
          <w:szCs w:val="20"/>
        </w:rPr>
        <w:t xml:space="preserve"> All negative values (i.e., the portions of horizontal bars on the left side of the green vertical line) indicate that “Screen and Treat” is a dominant strategy </w:t>
      </w:r>
      <w:r w:rsidRPr="000C2673">
        <w:rPr>
          <w:rFonts w:ascii="Times New Roman" w:hAnsi="Times New Roman" w:cs="Times New Roman"/>
          <w:sz w:val="20"/>
          <w:szCs w:val="20"/>
        </w:rPr>
        <w:t xml:space="preserve">(i.e., achieves net cost savings [negative incremental costs] and averts more deaths) compared to “No Intervention.” The portions of horizontal bars between the green </w:t>
      </w:r>
      <w:r>
        <w:rPr>
          <w:rFonts w:ascii="Times New Roman" w:hAnsi="Times New Roman" w:cs="Times New Roman"/>
          <w:sz w:val="20"/>
          <w:szCs w:val="20"/>
        </w:rPr>
        <w:t>and red vertical lines indicate that “Screen and Treat” is a cost-effective strategy (i.e., averts more deaths at an incremental cost per statistical death less than the threshold value) compared to “No Intervention.” The portions of horizontal bars on the right side of the red vertical line represent that “Screen and Treat” is not a cost-effective strategy (i.e., averts more deaths at an incremental cost per statistical death greater than the threshold value) compared to “No Intervention.”</w:t>
      </w:r>
    </w:p>
    <w:p w14:paraId="01F6E686" w14:textId="77777777" w:rsidR="001D2696" w:rsidRDefault="001D2696" w:rsidP="001D2696">
      <w:pPr>
        <w:rPr>
          <w:rFonts w:ascii="Times New Roman" w:hAnsi="Times New Roman" w:cs="Times New Roman"/>
          <w:sz w:val="24"/>
          <w:szCs w:val="24"/>
        </w:rPr>
      </w:pPr>
      <w:r>
        <w:rPr>
          <w:rFonts w:ascii="Times New Roman" w:hAnsi="Times New Roman" w:cs="Times New Roman"/>
          <w:sz w:val="24"/>
          <w:szCs w:val="24"/>
        </w:rPr>
        <w:lastRenderedPageBreak/>
        <w:t>“Presumptively Treat” vs. “No Intervention”</w:t>
      </w:r>
    </w:p>
    <w:p w14:paraId="77F65674" w14:textId="77777777" w:rsidR="001D2696" w:rsidRDefault="001D2696" w:rsidP="001D2696">
      <w:pPr>
        <w:rPr>
          <w:rFonts w:ascii="Times New Roman" w:hAnsi="Times New Roman" w:cs="Times New Roman"/>
          <w:sz w:val="24"/>
          <w:szCs w:val="24"/>
        </w:rPr>
      </w:pPr>
      <w:r>
        <w:rPr>
          <w:noProof/>
        </w:rPr>
        <w:drawing>
          <wp:inline distT="0" distB="0" distL="0" distR="0" wp14:anchorId="3C7E72B3" wp14:editId="5A032028">
            <wp:extent cx="8083550" cy="4083050"/>
            <wp:effectExtent l="0" t="0" r="12700" b="12700"/>
            <wp:docPr id="4" name="Chart 4">
              <a:extLst xmlns:a="http://schemas.openxmlformats.org/drawingml/2006/main">
                <a:ext uri="{FF2B5EF4-FFF2-40B4-BE49-F238E27FC236}">
                  <a16:creationId xmlns:a16="http://schemas.microsoft.com/office/drawing/2014/main" id="{12DBF23F-388F-4CCA-A6AB-D0441279F2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5F8DB0" w14:textId="77777777" w:rsidR="001D2696" w:rsidRDefault="001D2696" w:rsidP="001D2696">
      <w:pPr>
        <w:rPr>
          <w:rFonts w:ascii="Times New Roman" w:hAnsi="Times New Roman" w:cs="Times New Roman"/>
          <w:sz w:val="20"/>
          <w:szCs w:val="20"/>
        </w:rPr>
      </w:pPr>
      <w:r w:rsidRPr="00806FBC">
        <w:rPr>
          <w:rFonts w:ascii="Times New Roman" w:hAnsi="Times New Roman" w:cs="Times New Roman"/>
          <w:sz w:val="20"/>
          <w:szCs w:val="20"/>
        </w:rPr>
        <w:t xml:space="preserve">Abbreviation: VSL, Value of Statistical Life </w:t>
      </w:r>
      <w:r w:rsidRPr="00806FBC">
        <w:rPr>
          <w:rFonts w:ascii="Times New Roman" w:hAnsi="Times New Roman" w:cs="Times New Roman"/>
          <w:sz w:val="20"/>
          <w:szCs w:val="20"/>
        </w:rPr>
        <w:br/>
        <w:t>Notes: The black</w:t>
      </w:r>
      <w:r>
        <w:rPr>
          <w:rFonts w:ascii="Times New Roman" w:hAnsi="Times New Roman" w:cs="Times New Roman"/>
          <w:sz w:val="20"/>
          <w:szCs w:val="20"/>
        </w:rPr>
        <w:t>, red, and green</w:t>
      </w:r>
      <w:r w:rsidRPr="00806FBC">
        <w:rPr>
          <w:rFonts w:ascii="Times New Roman" w:hAnsi="Times New Roman" w:cs="Times New Roman"/>
          <w:sz w:val="20"/>
          <w:szCs w:val="20"/>
        </w:rPr>
        <w:t xml:space="preserve"> vertical line</w:t>
      </w:r>
      <w:r>
        <w:rPr>
          <w:rFonts w:ascii="Times New Roman" w:hAnsi="Times New Roman" w:cs="Times New Roman"/>
          <w:sz w:val="20"/>
          <w:szCs w:val="20"/>
        </w:rPr>
        <w:t>s</w:t>
      </w:r>
      <w:r w:rsidRPr="00806FBC">
        <w:rPr>
          <w:rFonts w:ascii="Times New Roman" w:hAnsi="Times New Roman" w:cs="Times New Roman"/>
          <w:sz w:val="20"/>
          <w:szCs w:val="20"/>
        </w:rPr>
        <w:t xml:space="preserve"> represent the baseline ICER,</w:t>
      </w:r>
      <w:r>
        <w:rPr>
          <w:rFonts w:ascii="Times New Roman" w:hAnsi="Times New Roman" w:cs="Times New Roman"/>
          <w:sz w:val="20"/>
          <w:szCs w:val="20"/>
        </w:rPr>
        <w:t xml:space="preserve"> </w:t>
      </w:r>
      <w:r w:rsidRPr="00806FBC">
        <w:rPr>
          <w:rFonts w:ascii="Times New Roman" w:hAnsi="Times New Roman" w:cs="Times New Roman"/>
          <w:sz w:val="20"/>
          <w:szCs w:val="20"/>
        </w:rPr>
        <w:t>the cost-effectiveness threshold</w:t>
      </w:r>
      <w:r>
        <w:rPr>
          <w:rFonts w:ascii="Times New Roman" w:hAnsi="Times New Roman" w:cs="Times New Roman"/>
          <w:sz w:val="20"/>
          <w:szCs w:val="20"/>
        </w:rPr>
        <w:t xml:space="preserve"> (i.e., $10.6 million per statistical life), and the zero ICER, respectively</w:t>
      </w:r>
      <w:r w:rsidRPr="00806FBC">
        <w:rPr>
          <w:rFonts w:ascii="Times New Roman" w:hAnsi="Times New Roman" w:cs="Times New Roman"/>
          <w:sz w:val="20"/>
          <w:szCs w:val="20"/>
        </w:rPr>
        <w:t>. The width of horizontal bars showed the change in ICER when each input parameter was varied over the lower and upper bound estimates.</w:t>
      </w:r>
      <w:r>
        <w:rPr>
          <w:rFonts w:ascii="Times New Roman" w:hAnsi="Times New Roman" w:cs="Times New Roman"/>
          <w:sz w:val="20"/>
          <w:szCs w:val="20"/>
        </w:rPr>
        <w:t xml:space="preserve"> All negative values (i.e., the portions of horizontal bars on the left side of the green vertical line) indicate that “Presumptively Treat” is a dominant </w:t>
      </w:r>
      <w:r w:rsidRPr="003811E3">
        <w:rPr>
          <w:rFonts w:ascii="Times New Roman" w:hAnsi="Times New Roman" w:cs="Times New Roman"/>
          <w:sz w:val="20"/>
          <w:szCs w:val="20"/>
        </w:rPr>
        <w:t xml:space="preserve">strategy </w:t>
      </w:r>
      <w:r w:rsidRPr="00C14C25">
        <w:rPr>
          <w:rFonts w:ascii="Times New Roman" w:hAnsi="Times New Roman" w:cs="Times New Roman"/>
          <w:sz w:val="20"/>
          <w:szCs w:val="20"/>
        </w:rPr>
        <w:t>(i.e., achieves net cost savings [negative incremental costs</w:t>
      </w:r>
      <w:r w:rsidRPr="003811E3">
        <w:rPr>
          <w:rFonts w:ascii="Times New Roman" w:hAnsi="Times New Roman" w:cs="Times New Roman"/>
          <w:sz w:val="20"/>
          <w:szCs w:val="20"/>
        </w:rPr>
        <w:t xml:space="preserve">] and averts </w:t>
      </w:r>
      <w:r w:rsidRPr="00C14C25">
        <w:rPr>
          <w:rFonts w:ascii="Times New Roman" w:hAnsi="Times New Roman" w:cs="Times New Roman"/>
          <w:sz w:val="20"/>
          <w:szCs w:val="20"/>
        </w:rPr>
        <w:t xml:space="preserve">more </w:t>
      </w:r>
      <w:r w:rsidRPr="003811E3">
        <w:rPr>
          <w:rFonts w:ascii="Times New Roman" w:hAnsi="Times New Roman" w:cs="Times New Roman"/>
          <w:sz w:val="20"/>
          <w:szCs w:val="20"/>
        </w:rPr>
        <w:t xml:space="preserve">deaths) </w:t>
      </w:r>
      <w:r w:rsidRPr="00C14C25">
        <w:rPr>
          <w:rFonts w:ascii="Times New Roman" w:hAnsi="Times New Roman" w:cs="Times New Roman"/>
          <w:sz w:val="20"/>
          <w:szCs w:val="20"/>
        </w:rPr>
        <w:t>compared to “No Intervention.” The portions of horizontal bars between the green and red vertical lines indicate that “Presumptively Treat” is a cost-effective strategy (i.e., averts more deaths at an incremental cost per statistical death less than</w:t>
      </w:r>
      <w:r>
        <w:rPr>
          <w:rFonts w:ascii="Times New Roman" w:hAnsi="Times New Roman" w:cs="Times New Roman"/>
          <w:sz w:val="20"/>
          <w:szCs w:val="20"/>
        </w:rPr>
        <w:t xml:space="preserve"> the threshold value) compared to “No Intervention.” The portions of horizontal bars on the right side of the red vertical line represent that “Presumptively Treat” is not a cost-effective strategy (i.e., averts more deaths at an incremental cost per statistical death greater than the threshold value) compared to “No Intervention.”</w:t>
      </w:r>
    </w:p>
    <w:p w14:paraId="2CCB78EC" w14:textId="77777777" w:rsidR="001D2696" w:rsidRDefault="001D2696" w:rsidP="001D2696">
      <w:pPr>
        <w:rPr>
          <w:rFonts w:ascii="Times New Roman" w:hAnsi="Times New Roman" w:cs="Times New Roman"/>
          <w:sz w:val="24"/>
          <w:szCs w:val="24"/>
        </w:rPr>
      </w:pPr>
      <w:r>
        <w:rPr>
          <w:rFonts w:ascii="Times New Roman" w:hAnsi="Times New Roman" w:cs="Times New Roman"/>
          <w:sz w:val="24"/>
          <w:szCs w:val="24"/>
        </w:rPr>
        <w:lastRenderedPageBreak/>
        <w:t>“Presumptively Treat” vs. “Screen and treat”</w:t>
      </w:r>
    </w:p>
    <w:p w14:paraId="14EAC35D" w14:textId="77777777" w:rsidR="001D2696" w:rsidRDefault="001D2696" w:rsidP="001D2696">
      <w:pPr>
        <w:rPr>
          <w:rFonts w:ascii="Times New Roman" w:hAnsi="Times New Roman" w:cs="Times New Roman"/>
          <w:sz w:val="24"/>
          <w:szCs w:val="24"/>
        </w:rPr>
      </w:pPr>
      <w:r>
        <w:rPr>
          <w:noProof/>
        </w:rPr>
        <w:drawing>
          <wp:inline distT="0" distB="0" distL="0" distR="0" wp14:anchorId="44F58449" wp14:editId="19E0B1A0">
            <wp:extent cx="8096250" cy="4076700"/>
            <wp:effectExtent l="0" t="0" r="0" b="0"/>
            <wp:docPr id="5" name="Chart 5">
              <a:extLst xmlns:a="http://schemas.openxmlformats.org/drawingml/2006/main">
                <a:ext uri="{FF2B5EF4-FFF2-40B4-BE49-F238E27FC236}">
                  <a16:creationId xmlns:a16="http://schemas.microsoft.com/office/drawing/2014/main" id="{A17B37D0-1090-4F03-B993-3763A6E00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1AC012" w14:textId="46654735" w:rsidR="00365E9D" w:rsidRPr="00C72AB0" w:rsidRDefault="001D2696" w:rsidP="00C51623">
      <w:pPr>
        <w:rPr>
          <w:rFonts w:ascii="Times New Roman" w:hAnsi="Times New Roman" w:cs="Times New Roman"/>
          <w:sz w:val="24"/>
          <w:szCs w:val="24"/>
        </w:rPr>
      </w:pPr>
      <w:r w:rsidRPr="00806FBC">
        <w:rPr>
          <w:rFonts w:ascii="Times New Roman" w:hAnsi="Times New Roman" w:cs="Times New Roman"/>
          <w:sz w:val="20"/>
          <w:szCs w:val="20"/>
        </w:rPr>
        <w:t xml:space="preserve">Abbreviation: VSL, Value of Statistical Life </w:t>
      </w:r>
      <w:r w:rsidRPr="00806FBC">
        <w:rPr>
          <w:rFonts w:ascii="Times New Roman" w:hAnsi="Times New Roman" w:cs="Times New Roman"/>
          <w:sz w:val="20"/>
          <w:szCs w:val="20"/>
        </w:rPr>
        <w:br/>
        <w:t>Notes: The black</w:t>
      </w:r>
      <w:r>
        <w:rPr>
          <w:rFonts w:ascii="Times New Roman" w:hAnsi="Times New Roman" w:cs="Times New Roman"/>
          <w:sz w:val="20"/>
          <w:szCs w:val="20"/>
        </w:rPr>
        <w:t>, red, and green</w:t>
      </w:r>
      <w:r w:rsidRPr="00806FBC">
        <w:rPr>
          <w:rFonts w:ascii="Times New Roman" w:hAnsi="Times New Roman" w:cs="Times New Roman"/>
          <w:sz w:val="20"/>
          <w:szCs w:val="20"/>
        </w:rPr>
        <w:t xml:space="preserve"> vertical line</w:t>
      </w:r>
      <w:r>
        <w:rPr>
          <w:rFonts w:ascii="Times New Roman" w:hAnsi="Times New Roman" w:cs="Times New Roman"/>
          <w:sz w:val="20"/>
          <w:szCs w:val="20"/>
        </w:rPr>
        <w:t>s</w:t>
      </w:r>
      <w:r w:rsidRPr="00806FBC">
        <w:rPr>
          <w:rFonts w:ascii="Times New Roman" w:hAnsi="Times New Roman" w:cs="Times New Roman"/>
          <w:sz w:val="20"/>
          <w:szCs w:val="20"/>
        </w:rPr>
        <w:t xml:space="preserve"> represent the baseline ICER,</w:t>
      </w:r>
      <w:r>
        <w:rPr>
          <w:rFonts w:ascii="Times New Roman" w:hAnsi="Times New Roman" w:cs="Times New Roman"/>
          <w:sz w:val="20"/>
          <w:szCs w:val="20"/>
        </w:rPr>
        <w:t xml:space="preserve"> </w:t>
      </w:r>
      <w:r w:rsidRPr="00806FBC">
        <w:rPr>
          <w:rFonts w:ascii="Times New Roman" w:hAnsi="Times New Roman" w:cs="Times New Roman"/>
          <w:sz w:val="20"/>
          <w:szCs w:val="20"/>
        </w:rPr>
        <w:t>the cost-effectiveness threshold</w:t>
      </w:r>
      <w:r>
        <w:rPr>
          <w:rFonts w:ascii="Times New Roman" w:hAnsi="Times New Roman" w:cs="Times New Roman"/>
          <w:sz w:val="20"/>
          <w:szCs w:val="20"/>
        </w:rPr>
        <w:t xml:space="preserve"> (i.e., $10.6 million per statistical life), and the zero ICER, respectively</w:t>
      </w:r>
      <w:r w:rsidRPr="00806FBC">
        <w:rPr>
          <w:rFonts w:ascii="Times New Roman" w:hAnsi="Times New Roman" w:cs="Times New Roman"/>
          <w:sz w:val="20"/>
          <w:szCs w:val="20"/>
        </w:rPr>
        <w:t xml:space="preserve">. The width of horizontal bars showed the </w:t>
      </w:r>
      <w:r w:rsidRPr="00B076CB">
        <w:rPr>
          <w:rFonts w:ascii="Times New Roman" w:hAnsi="Times New Roman" w:cs="Times New Roman"/>
          <w:sz w:val="20"/>
          <w:szCs w:val="20"/>
        </w:rPr>
        <w:t>change in ICER when each input parameter was varied over the lower and upper bound estimates.</w:t>
      </w:r>
      <w:r w:rsidRPr="005456F4">
        <w:rPr>
          <w:rFonts w:ascii="Times New Roman" w:hAnsi="Times New Roman" w:cs="Times New Roman"/>
          <w:sz w:val="20"/>
          <w:szCs w:val="20"/>
        </w:rPr>
        <w:t xml:space="preserve"> All negative values (i.e., the portions of horizontal bars on the left side of the green vertical line) indicate that “Presumptively Treat” is a dominant strategy </w:t>
      </w:r>
      <w:r w:rsidRPr="003811E3">
        <w:rPr>
          <w:rFonts w:ascii="Times New Roman" w:hAnsi="Times New Roman" w:cs="Times New Roman"/>
          <w:sz w:val="20"/>
          <w:szCs w:val="20"/>
        </w:rPr>
        <w:t>(i.e., achieves net cost savings [negative incremental costs</w:t>
      </w:r>
      <w:r w:rsidRPr="00B076CB">
        <w:rPr>
          <w:rFonts w:ascii="Times New Roman" w:hAnsi="Times New Roman" w:cs="Times New Roman"/>
          <w:sz w:val="20"/>
          <w:szCs w:val="20"/>
        </w:rPr>
        <w:t xml:space="preserve">] and averts </w:t>
      </w:r>
      <w:r w:rsidRPr="003811E3">
        <w:rPr>
          <w:rFonts w:ascii="Times New Roman" w:hAnsi="Times New Roman" w:cs="Times New Roman"/>
          <w:sz w:val="20"/>
          <w:szCs w:val="20"/>
        </w:rPr>
        <w:t xml:space="preserve">more </w:t>
      </w:r>
      <w:r w:rsidRPr="00B076CB">
        <w:rPr>
          <w:rFonts w:ascii="Times New Roman" w:hAnsi="Times New Roman" w:cs="Times New Roman"/>
          <w:sz w:val="20"/>
          <w:szCs w:val="20"/>
        </w:rPr>
        <w:t xml:space="preserve">deaths) </w:t>
      </w:r>
      <w:r w:rsidRPr="005456F4">
        <w:rPr>
          <w:rFonts w:ascii="Times New Roman" w:hAnsi="Times New Roman" w:cs="Times New Roman"/>
          <w:sz w:val="20"/>
          <w:szCs w:val="20"/>
        </w:rPr>
        <w:t>compared to “Screen and Treat.” The portions of horizontal bars between the green and red vertical lines indicate that “Presumptively Treat” is a</w:t>
      </w:r>
      <w:r>
        <w:rPr>
          <w:rFonts w:ascii="Times New Roman" w:hAnsi="Times New Roman" w:cs="Times New Roman"/>
          <w:sz w:val="20"/>
          <w:szCs w:val="20"/>
        </w:rPr>
        <w:t xml:space="preserve"> cost-effective strategy (i.e., averts more deaths at an incremental cost per statistical death less than the threshold value) compared to “Screen and Treat.” The portions of horizontal bars on the right side of the red vertical line represent that “Presumptively Treat” is not a cost-effective strategy (i.e., averts more deaths at an incremental cost per statistical death greater than the threshold value) compared to “Screen and Treat.”</w:t>
      </w:r>
    </w:p>
    <w:sectPr w:rsidR="00365E9D" w:rsidRPr="00C72AB0" w:rsidSect="00C516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A87D" w14:textId="77777777" w:rsidR="0064473B" w:rsidRDefault="0064473B" w:rsidP="00701633">
      <w:pPr>
        <w:spacing w:after="0" w:line="240" w:lineRule="auto"/>
      </w:pPr>
      <w:r>
        <w:separator/>
      </w:r>
    </w:p>
  </w:endnote>
  <w:endnote w:type="continuationSeparator" w:id="0">
    <w:p w14:paraId="24742735" w14:textId="77777777" w:rsidR="0064473B" w:rsidRDefault="0064473B" w:rsidP="00701633">
      <w:pPr>
        <w:spacing w:after="0" w:line="240" w:lineRule="auto"/>
      </w:pPr>
      <w:r>
        <w:continuationSeparator/>
      </w:r>
    </w:p>
  </w:endnote>
  <w:endnote w:type="continuationNotice" w:id="1">
    <w:p w14:paraId="7C683A4F" w14:textId="77777777" w:rsidR="0064473B" w:rsidRDefault="00644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6A46" w14:textId="77777777" w:rsidR="0073457C" w:rsidRDefault="0073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9F7A" w14:textId="77777777" w:rsidR="0073457C" w:rsidRDefault="00734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ADBB" w14:textId="77777777" w:rsidR="0073457C" w:rsidRDefault="0073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8670" w14:textId="77777777" w:rsidR="0064473B" w:rsidRDefault="0064473B" w:rsidP="00701633">
      <w:pPr>
        <w:spacing w:after="0" w:line="240" w:lineRule="auto"/>
      </w:pPr>
      <w:r>
        <w:separator/>
      </w:r>
    </w:p>
  </w:footnote>
  <w:footnote w:type="continuationSeparator" w:id="0">
    <w:p w14:paraId="52639F82" w14:textId="77777777" w:rsidR="0064473B" w:rsidRDefault="0064473B" w:rsidP="00701633">
      <w:pPr>
        <w:spacing w:after="0" w:line="240" w:lineRule="auto"/>
      </w:pPr>
      <w:r>
        <w:continuationSeparator/>
      </w:r>
    </w:p>
  </w:footnote>
  <w:footnote w:type="continuationNotice" w:id="1">
    <w:p w14:paraId="1FD6380C" w14:textId="77777777" w:rsidR="0064473B" w:rsidRDefault="0064473B">
      <w:pPr>
        <w:spacing w:after="0" w:line="240" w:lineRule="auto"/>
      </w:pPr>
    </w:p>
  </w:footnote>
  <w:footnote w:id="2">
    <w:p w14:paraId="1AD65E66" w14:textId="77777777" w:rsidR="00386CA7" w:rsidRPr="005C21CA" w:rsidRDefault="00386CA7" w:rsidP="00386CA7">
      <w:pPr>
        <w:pStyle w:val="BodyA"/>
        <w:spacing w:line="276" w:lineRule="auto"/>
        <w:rPr>
          <w:rFonts w:ascii="Times New Roman" w:eastAsia="Malgun Gothic" w:hAnsi="Times New Roman" w:cs="Times New Roman"/>
          <w:sz w:val="24"/>
          <w:szCs w:val="24"/>
        </w:rPr>
      </w:pPr>
      <w:r>
        <w:rPr>
          <w:rStyle w:val="FootnoteReference"/>
        </w:rPr>
        <w:footnoteRef/>
      </w:r>
      <w:r>
        <w:t xml:space="preserve">*  </w:t>
      </w:r>
      <w:r w:rsidRPr="00D024B4">
        <w:rPr>
          <w:rFonts w:ascii="Times New Roman" w:hAnsi="Times New Roman" w:cs="Times New Roman"/>
          <w:sz w:val="24"/>
          <w:szCs w:val="24"/>
        </w:rPr>
        <w:t>Address:</w:t>
      </w:r>
      <w:r>
        <w:t xml:space="preserve"> </w:t>
      </w:r>
      <w:r w:rsidRPr="005C21CA">
        <w:rPr>
          <w:rFonts w:ascii="Times New Roman" w:eastAsia="Malgun Gothic" w:hAnsi="Times New Roman" w:cs="Times New Roman"/>
          <w:sz w:val="24"/>
          <w:szCs w:val="24"/>
        </w:rPr>
        <w:t>U.S. Centers for Disease Control and Prevention</w:t>
      </w:r>
      <w:r>
        <w:rPr>
          <w:rFonts w:ascii="Times New Roman" w:eastAsia="Malgun Gothic" w:hAnsi="Times New Roman" w:cs="Times New Roman"/>
          <w:sz w:val="24"/>
          <w:szCs w:val="24"/>
        </w:rPr>
        <w:t>,</w:t>
      </w:r>
      <w:r w:rsidRPr="005C21CA">
        <w:rPr>
          <w:rFonts w:ascii="Times New Roman" w:eastAsia="Malgun Gothic" w:hAnsi="Times New Roman" w:cs="Times New Roman"/>
          <w:sz w:val="24"/>
          <w:szCs w:val="24"/>
        </w:rPr>
        <w:t xml:space="preserve"> 1600 Clifton Road</w:t>
      </w:r>
      <w:r>
        <w:rPr>
          <w:rFonts w:ascii="Times New Roman" w:eastAsia="Malgun Gothic" w:hAnsi="Times New Roman" w:cs="Times New Roman"/>
          <w:sz w:val="24"/>
          <w:szCs w:val="24"/>
        </w:rPr>
        <w:t xml:space="preserve"> NE</w:t>
      </w:r>
      <w:r w:rsidRPr="005C21CA">
        <w:rPr>
          <w:rFonts w:ascii="Times New Roman" w:eastAsia="Malgun Gothic" w:hAnsi="Times New Roman" w:cs="Times New Roman"/>
          <w:sz w:val="24"/>
          <w:szCs w:val="24"/>
        </w:rPr>
        <w:t xml:space="preserve">, MS </w:t>
      </w:r>
      <w:r>
        <w:rPr>
          <w:rFonts w:ascii="Times New Roman" w:eastAsia="Malgun Gothic" w:hAnsi="Times New Roman" w:cs="Times New Roman"/>
          <w:sz w:val="24"/>
          <w:szCs w:val="24"/>
        </w:rPr>
        <w:t xml:space="preserve">H16-4, </w:t>
      </w:r>
      <w:r w:rsidRPr="005C21CA">
        <w:rPr>
          <w:rFonts w:ascii="Times New Roman" w:eastAsia="Malgun Gothic" w:hAnsi="Times New Roman" w:cs="Times New Roman"/>
          <w:sz w:val="24"/>
          <w:szCs w:val="24"/>
        </w:rPr>
        <w:t>Atlanta, GA 303</w:t>
      </w:r>
      <w:r>
        <w:rPr>
          <w:rFonts w:ascii="Times New Roman" w:eastAsia="Malgun Gothic" w:hAnsi="Times New Roman" w:cs="Times New Roman"/>
          <w:sz w:val="24"/>
          <w:szCs w:val="24"/>
        </w:rPr>
        <w:t>29</w:t>
      </w:r>
      <w:r w:rsidRPr="005C21CA">
        <w:rPr>
          <w:rFonts w:ascii="Times New Roman" w:eastAsia="Malgun Gothic" w:hAnsi="Times New Roman" w:cs="Times New Roman"/>
          <w:sz w:val="24"/>
          <w:szCs w:val="24"/>
        </w:rPr>
        <w:t>, USA</w:t>
      </w:r>
      <w:r>
        <w:rPr>
          <w:rFonts w:ascii="Times New Roman" w:eastAsia="Malgun Gothic" w:hAnsi="Times New Roman" w:cs="Times New Roman"/>
          <w:sz w:val="24"/>
          <w:szCs w:val="24"/>
        </w:rPr>
        <w:t>; Phone number</w:t>
      </w:r>
      <w:r w:rsidRPr="005C21CA">
        <w:rPr>
          <w:rFonts w:ascii="Times New Roman" w:eastAsia="Malgun Gothic" w:hAnsi="Times New Roman" w:cs="Times New Roman"/>
          <w:sz w:val="24"/>
          <w:szCs w:val="24"/>
        </w:rPr>
        <w:t>: +1 404 718 1667</w:t>
      </w:r>
      <w:r>
        <w:rPr>
          <w:rFonts w:ascii="Times New Roman" w:eastAsia="Malgun Gothic" w:hAnsi="Times New Roman" w:cs="Times New Roman"/>
          <w:sz w:val="24"/>
          <w:szCs w:val="24"/>
        </w:rPr>
        <w:t xml:space="preserve">; </w:t>
      </w:r>
      <w:r w:rsidRPr="005C21CA">
        <w:rPr>
          <w:rFonts w:ascii="Times New Roman" w:eastAsia="Malgun Gothic" w:hAnsi="Times New Roman" w:cs="Times New Roman"/>
          <w:sz w:val="24"/>
          <w:szCs w:val="24"/>
        </w:rPr>
        <w:t xml:space="preserve">e-mail: </w:t>
      </w:r>
      <w:r>
        <w:rPr>
          <w:rFonts w:ascii="Times New Roman" w:eastAsia="Malgun Gothic" w:hAnsi="Times New Roman" w:cs="Times New Roman"/>
          <w:sz w:val="24"/>
          <w:szCs w:val="24"/>
        </w:rPr>
        <w:t>hjoo</w:t>
      </w:r>
      <w:r w:rsidRPr="005C21CA">
        <w:rPr>
          <w:rFonts w:ascii="Times New Roman" w:eastAsia="Malgun Gothic" w:hAnsi="Times New Roman" w:cs="Times New Roman"/>
          <w:sz w:val="24"/>
          <w:szCs w:val="24"/>
        </w:rPr>
        <w:t>@cdc.gov</w:t>
      </w:r>
    </w:p>
    <w:p w14:paraId="2CF039FC" w14:textId="77777777" w:rsidR="00386CA7" w:rsidRPr="00CA15D1" w:rsidRDefault="00386CA7" w:rsidP="00386CA7">
      <w:pPr>
        <w:pStyle w:val="FootnoteText"/>
        <w:rPr>
          <w:rFonts w:eastAsiaTheme="minorEastAsia"/>
          <w:lang w:eastAsia="ko-K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0115" w14:textId="77777777" w:rsidR="0073457C" w:rsidRDefault="00734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A1E0" w14:textId="77777777" w:rsidR="0073457C" w:rsidRDefault="00734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B165" w14:textId="77777777" w:rsidR="0073457C" w:rsidRDefault="0073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4"/>
    <w:multiLevelType w:val="multilevel"/>
    <w:tmpl w:val="EF02B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61503"/>
    <w:multiLevelType w:val="hybridMultilevel"/>
    <w:tmpl w:val="4A540F00"/>
    <w:lvl w:ilvl="0" w:tplc="684E0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C17BC1"/>
    <w:multiLevelType w:val="hybridMultilevel"/>
    <w:tmpl w:val="83E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F610A"/>
    <w:multiLevelType w:val="hybridMultilevel"/>
    <w:tmpl w:val="8E5CC392"/>
    <w:lvl w:ilvl="0" w:tplc="2C94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17693">
    <w:abstractNumId w:val="2"/>
  </w:num>
  <w:num w:numId="2" w16cid:durableId="1127967899">
    <w:abstractNumId w:val="1"/>
  </w:num>
  <w:num w:numId="3" w16cid:durableId="622274491">
    <w:abstractNumId w:val="0"/>
  </w:num>
  <w:num w:numId="4" w16cid:durableId="257180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mer J Trop Med Hygie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zver9r62pwtaew5rxvatp80rttwwd5awxv&quot;&gt;strongy_05102022&lt;record-ids&gt;&lt;item&gt;8&lt;/item&gt;&lt;item&gt;9&lt;/item&gt;&lt;item&gt;18&lt;/item&gt;&lt;item&gt;19&lt;/item&gt;&lt;/record-ids&gt;&lt;/item&gt;&lt;/Libraries&gt;"/>
  </w:docVars>
  <w:rsids>
    <w:rsidRoot w:val="00701633"/>
    <w:rsid w:val="00000530"/>
    <w:rsid w:val="00000F60"/>
    <w:rsid w:val="00001309"/>
    <w:rsid w:val="00001FBB"/>
    <w:rsid w:val="0000423F"/>
    <w:rsid w:val="00004ABB"/>
    <w:rsid w:val="000050A3"/>
    <w:rsid w:val="00006123"/>
    <w:rsid w:val="0000734D"/>
    <w:rsid w:val="00007A39"/>
    <w:rsid w:val="00015778"/>
    <w:rsid w:val="0001699F"/>
    <w:rsid w:val="00017257"/>
    <w:rsid w:val="000172D8"/>
    <w:rsid w:val="0002036A"/>
    <w:rsid w:val="00021DB1"/>
    <w:rsid w:val="000243BC"/>
    <w:rsid w:val="000260DD"/>
    <w:rsid w:val="00032849"/>
    <w:rsid w:val="00033E4F"/>
    <w:rsid w:val="00037522"/>
    <w:rsid w:val="000404E7"/>
    <w:rsid w:val="0004090A"/>
    <w:rsid w:val="000417B4"/>
    <w:rsid w:val="0004203B"/>
    <w:rsid w:val="00043349"/>
    <w:rsid w:val="00045B88"/>
    <w:rsid w:val="00045C3F"/>
    <w:rsid w:val="00050779"/>
    <w:rsid w:val="00053CFA"/>
    <w:rsid w:val="000547C1"/>
    <w:rsid w:val="00054B0D"/>
    <w:rsid w:val="000553AB"/>
    <w:rsid w:val="0005779F"/>
    <w:rsid w:val="0006153C"/>
    <w:rsid w:val="00063754"/>
    <w:rsid w:val="00065600"/>
    <w:rsid w:val="00070080"/>
    <w:rsid w:val="00070B1C"/>
    <w:rsid w:val="0007140D"/>
    <w:rsid w:val="00071C77"/>
    <w:rsid w:val="000765CF"/>
    <w:rsid w:val="000826F5"/>
    <w:rsid w:val="000919C3"/>
    <w:rsid w:val="00091D68"/>
    <w:rsid w:val="00093A44"/>
    <w:rsid w:val="00095264"/>
    <w:rsid w:val="00095812"/>
    <w:rsid w:val="00095AA8"/>
    <w:rsid w:val="00096178"/>
    <w:rsid w:val="0009688B"/>
    <w:rsid w:val="00096E77"/>
    <w:rsid w:val="000A1A92"/>
    <w:rsid w:val="000A3E47"/>
    <w:rsid w:val="000A4C29"/>
    <w:rsid w:val="000A5610"/>
    <w:rsid w:val="000A5804"/>
    <w:rsid w:val="000A58E4"/>
    <w:rsid w:val="000A7B62"/>
    <w:rsid w:val="000B0F8D"/>
    <w:rsid w:val="000B4019"/>
    <w:rsid w:val="000B4507"/>
    <w:rsid w:val="000B61B1"/>
    <w:rsid w:val="000C7114"/>
    <w:rsid w:val="000D057B"/>
    <w:rsid w:val="000D1C47"/>
    <w:rsid w:val="000D356A"/>
    <w:rsid w:val="000D70AF"/>
    <w:rsid w:val="000D7121"/>
    <w:rsid w:val="000E16EC"/>
    <w:rsid w:val="000E5221"/>
    <w:rsid w:val="000E7036"/>
    <w:rsid w:val="000F5CFE"/>
    <w:rsid w:val="000F7513"/>
    <w:rsid w:val="00100ACD"/>
    <w:rsid w:val="00102B07"/>
    <w:rsid w:val="00103702"/>
    <w:rsid w:val="00103832"/>
    <w:rsid w:val="00104120"/>
    <w:rsid w:val="00105DA3"/>
    <w:rsid w:val="0010659D"/>
    <w:rsid w:val="0011041F"/>
    <w:rsid w:val="00111149"/>
    <w:rsid w:val="001119D6"/>
    <w:rsid w:val="00122DCD"/>
    <w:rsid w:val="00122F86"/>
    <w:rsid w:val="00126A2F"/>
    <w:rsid w:val="00127362"/>
    <w:rsid w:val="00131FD3"/>
    <w:rsid w:val="0013214C"/>
    <w:rsid w:val="00134B6A"/>
    <w:rsid w:val="001358E8"/>
    <w:rsid w:val="001402AD"/>
    <w:rsid w:val="001510F2"/>
    <w:rsid w:val="00152617"/>
    <w:rsid w:val="0016078B"/>
    <w:rsid w:val="00160E8F"/>
    <w:rsid w:val="0016187F"/>
    <w:rsid w:val="00162033"/>
    <w:rsid w:val="00162BB5"/>
    <w:rsid w:val="00163412"/>
    <w:rsid w:val="0016364E"/>
    <w:rsid w:val="00163981"/>
    <w:rsid w:val="0016643F"/>
    <w:rsid w:val="001679BB"/>
    <w:rsid w:val="00170DE4"/>
    <w:rsid w:val="00171AD1"/>
    <w:rsid w:val="00172301"/>
    <w:rsid w:val="00174B3E"/>
    <w:rsid w:val="00175490"/>
    <w:rsid w:val="00183D34"/>
    <w:rsid w:val="00185D64"/>
    <w:rsid w:val="00186E7C"/>
    <w:rsid w:val="001907F2"/>
    <w:rsid w:val="00192124"/>
    <w:rsid w:val="00192244"/>
    <w:rsid w:val="001931F4"/>
    <w:rsid w:val="00193C70"/>
    <w:rsid w:val="001948B0"/>
    <w:rsid w:val="001A04AE"/>
    <w:rsid w:val="001A0A04"/>
    <w:rsid w:val="001A0C09"/>
    <w:rsid w:val="001A7AAA"/>
    <w:rsid w:val="001B1D62"/>
    <w:rsid w:val="001B5AEF"/>
    <w:rsid w:val="001B5E9B"/>
    <w:rsid w:val="001C0EB3"/>
    <w:rsid w:val="001C49E6"/>
    <w:rsid w:val="001C62F0"/>
    <w:rsid w:val="001C64FA"/>
    <w:rsid w:val="001D2696"/>
    <w:rsid w:val="001D5598"/>
    <w:rsid w:val="001D641C"/>
    <w:rsid w:val="001D78B9"/>
    <w:rsid w:val="001E2808"/>
    <w:rsid w:val="001E39F1"/>
    <w:rsid w:val="001E5A12"/>
    <w:rsid w:val="001E5A97"/>
    <w:rsid w:val="001F0665"/>
    <w:rsid w:val="001F20B3"/>
    <w:rsid w:val="001F5ED0"/>
    <w:rsid w:val="001F7222"/>
    <w:rsid w:val="00200EB8"/>
    <w:rsid w:val="00201D8A"/>
    <w:rsid w:val="002028A9"/>
    <w:rsid w:val="00206458"/>
    <w:rsid w:val="002064E6"/>
    <w:rsid w:val="002119E0"/>
    <w:rsid w:val="00211C91"/>
    <w:rsid w:val="00213613"/>
    <w:rsid w:val="00214B1B"/>
    <w:rsid w:val="0021657E"/>
    <w:rsid w:val="002210E8"/>
    <w:rsid w:val="00221F9D"/>
    <w:rsid w:val="00223511"/>
    <w:rsid w:val="00224F20"/>
    <w:rsid w:val="00225A9F"/>
    <w:rsid w:val="00231E6E"/>
    <w:rsid w:val="0023277D"/>
    <w:rsid w:val="00232BFD"/>
    <w:rsid w:val="00232DCF"/>
    <w:rsid w:val="002369DA"/>
    <w:rsid w:val="00245295"/>
    <w:rsid w:val="00250547"/>
    <w:rsid w:val="00252226"/>
    <w:rsid w:val="002561C2"/>
    <w:rsid w:val="00256A1C"/>
    <w:rsid w:val="002574AC"/>
    <w:rsid w:val="002578E6"/>
    <w:rsid w:val="00261E5A"/>
    <w:rsid w:val="00262516"/>
    <w:rsid w:val="002642D6"/>
    <w:rsid w:val="002663DC"/>
    <w:rsid w:val="002722CE"/>
    <w:rsid w:val="00274D63"/>
    <w:rsid w:val="0027639D"/>
    <w:rsid w:val="00276408"/>
    <w:rsid w:val="00282549"/>
    <w:rsid w:val="00282D37"/>
    <w:rsid w:val="00293E93"/>
    <w:rsid w:val="00294263"/>
    <w:rsid w:val="002A0AED"/>
    <w:rsid w:val="002A1359"/>
    <w:rsid w:val="002A3801"/>
    <w:rsid w:val="002B042F"/>
    <w:rsid w:val="002B09F9"/>
    <w:rsid w:val="002B2278"/>
    <w:rsid w:val="002B254C"/>
    <w:rsid w:val="002B2575"/>
    <w:rsid w:val="002B439C"/>
    <w:rsid w:val="002C47A5"/>
    <w:rsid w:val="002C5BCB"/>
    <w:rsid w:val="002D3AB4"/>
    <w:rsid w:val="002D4E83"/>
    <w:rsid w:val="002E1FD2"/>
    <w:rsid w:val="002E256F"/>
    <w:rsid w:val="002E375A"/>
    <w:rsid w:val="002E744D"/>
    <w:rsid w:val="002E7844"/>
    <w:rsid w:val="002F3462"/>
    <w:rsid w:val="002F5FFC"/>
    <w:rsid w:val="00300D63"/>
    <w:rsid w:val="00300E1C"/>
    <w:rsid w:val="0030373A"/>
    <w:rsid w:val="003078AD"/>
    <w:rsid w:val="00307E00"/>
    <w:rsid w:val="00312FE2"/>
    <w:rsid w:val="003161FA"/>
    <w:rsid w:val="003304B5"/>
    <w:rsid w:val="00330F1D"/>
    <w:rsid w:val="00333C2E"/>
    <w:rsid w:val="003356BF"/>
    <w:rsid w:val="00335F6D"/>
    <w:rsid w:val="00340563"/>
    <w:rsid w:val="00342570"/>
    <w:rsid w:val="00343D0F"/>
    <w:rsid w:val="0034671B"/>
    <w:rsid w:val="00347D18"/>
    <w:rsid w:val="0035343B"/>
    <w:rsid w:val="00355381"/>
    <w:rsid w:val="00357659"/>
    <w:rsid w:val="0035788A"/>
    <w:rsid w:val="00357EA5"/>
    <w:rsid w:val="00360E10"/>
    <w:rsid w:val="00360E62"/>
    <w:rsid w:val="00362008"/>
    <w:rsid w:val="00362DF9"/>
    <w:rsid w:val="00363C95"/>
    <w:rsid w:val="003653DA"/>
    <w:rsid w:val="00365E9D"/>
    <w:rsid w:val="00367341"/>
    <w:rsid w:val="003675D5"/>
    <w:rsid w:val="0037026B"/>
    <w:rsid w:val="003710D6"/>
    <w:rsid w:val="00371CE4"/>
    <w:rsid w:val="00371FA4"/>
    <w:rsid w:val="00371FDB"/>
    <w:rsid w:val="00372F0C"/>
    <w:rsid w:val="00377EEE"/>
    <w:rsid w:val="00382C96"/>
    <w:rsid w:val="00383B87"/>
    <w:rsid w:val="00386CA7"/>
    <w:rsid w:val="00393A76"/>
    <w:rsid w:val="00395E79"/>
    <w:rsid w:val="0039606F"/>
    <w:rsid w:val="003A33AC"/>
    <w:rsid w:val="003A35D0"/>
    <w:rsid w:val="003A391F"/>
    <w:rsid w:val="003A4D95"/>
    <w:rsid w:val="003A6EFA"/>
    <w:rsid w:val="003B093C"/>
    <w:rsid w:val="003B1CDF"/>
    <w:rsid w:val="003B21F7"/>
    <w:rsid w:val="003B22D3"/>
    <w:rsid w:val="003B4810"/>
    <w:rsid w:val="003B5543"/>
    <w:rsid w:val="003B5789"/>
    <w:rsid w:val="003B5F6A"/>
    <w:rsid w:val="003B7819"/>
    <w:rsid w:val="003C0AD8"/>
    <w:rsid w:val="003C0B01"/>
    <w:rsid w:val="003C10B5"/>
    <w:rsid w:val="003C2E24"/>
    <w:rsid w:val="003C43E9"/>
    <w:rsid w:val="003C4B66"/>
    <w:rsid w:val="003C561B"/>
    <w:rsid w:val="003D2378"/>
    <w:rsid w:val="003D2C6A"/>
    <w:rsid w:val="003D7C13"/>
    <w:rsid w:val="003D7C8A"/>
    <w:rsid w:val="003E06AD"/>
    <w:rsid w:val="003E1243"/>
    <w:rsid w:val="003E4DAE"/>
    <w:rsid w:val="003F0508"/>
    <w:rsid w:val="003F16FF"/>
    <w:rsid w:val="003F1B93"/>
    <w:rsid w:val="003F23D6"/>
    <w:rsid w:val="003F4957"/>
    <w:rsid w:val="003F5467"/>
    <w:rsid w:val="003F68E1"/>
    <w:rsid w:val="00400979"/>
    <w:rsid w:val="00400BCE"/>
    <w:rsid w:val="00400EC6"/>
    <w:rsid w:val="00400FCE"/>
    <w:rsid w:val="004027E2"/>
    <w:rsid w:val="00404355"/>
    <w:rsid w:val="004064EE"/>
    <w:rsid w:val="004067F9"/>
    <w:rsid w:val="00406815"/>
    <w:rsid w:val="004068DB"/>
    <w:rsid w:val="004128F8"/>
    <w:rsid w:val="00413D9B"/>
    <w:rsid w:val="004179FB"/>
    <w:rsid w:val="00420058"/>
    <w:rsid w:val="00420C60"/>
    <w:rsid w:val="0042327F"/>
    <w:rsid w:val="00425248"/>
    <w:rsid w:val="00425B08"/>
    <w:rsid w:val="00430AC9"/>
    <w:rsid w:val="00432865"/>
    <w:rsid w:val="00433051"/>
    <w:rsid w:val="00433260"/>
    <w:rsid w:val="00435880"/>
    <w:rsid w:val="00436000"/>
    <w:rsid w:val="00437720"/>
    <w:rsid w:val="004378FC"/>
    <w:rsid w:val="00442524"/>
    <w:rsid w:val="0044420F"/>
    <w:rsid w:val="0044662D"/>
    <w:rsid w:val="00447945"/>
    <w:rsid w:val="0045099E"/>
    <w:rsid w:val="00451CF3"/>
    <w:rsid w:val="00454061"/>
    <w:rsid w:val="00454E99"/>
    <w:rsid w:val="00455619"/>
    <w:rsid w:val="00456A81"/>
    <w:rsid w:val="00457697"/>
    <w:rsid w:val="00460CBB"/>
    <w:rsid w:val="0047314F"/>
    <w:rsid w:val="00477D98"/>
    <w:rsid w:val="00480E19"/>
    <w:rsid w:val="00482B11"/>
    <w:rsid w:val="004840D1"/>
    <w:rsid w:val="004965BC"/>
    <w:rsid w:val="004A68AB"/>
    <w:rsid w:val="004A6C40"/>
    <w:rsid w:val="004A70D7"/>
    <w:rsid w:val="004A794A"/>
    <w:rsid w:val="004A7B1F"/>
    <w:rsid w:val="004B1CD4"/>
    <w:rsid w:val="004B3424"/>
    <w:rsid w:val="004B3DB4"/>
    <w:rsid w:val="004B4720"/>
    <w:rsid w:val="004B57EA"/>
    <w:rsid w:val="004B5831"/>
    <w:rsid w:val="004B5932"/>
    <w:rsid w:val="004C007E"/>
    <w:rsid w:val="004C019F"/>
    <w:rsid w:val="004C0E91"/>
    <w:rsid w:val="004C1325"/>
    <w:rsid w:val="004C1BE9"/>
    <w:rsid w:val="004C4715"/>
    <w:rsid w:val="004C694B"/>
    <w:rsid w:val="004D1383"/>
    <w:rsid w:val="004D1506"/>
    <w:rsid w:val="004D272C"/>
    <w:rsid w:val="004D77E6"/>
    <w:rsid w:val="004D7BB7"/>
    <w:rsid w:val="004E149C"/>
    <w:rsid w:val="004E2DB3"/>
    <w:rsid w:val="004E308E"/>
    <w:rsid w:val="004E3A13"/>
    <w:rsid w:val="004E607C"/>
    <w:rsid w:val="004F039A"/>
    <w:rsid w:val="004F4754"/>
    <w:rsid w:val="004F5811"/>
    <w:rsid w:val="005006C6"/>
    <w:rsid w:val="0050205D"/>
    <w:rsid w:val="0050223E"/>
    <w:rsid w:val="00503FBC"/>
    <w:rsid w:val="00506D17"/>
    <w:rsid w:val="0050790B"/>
    <w:rsid w:val="005107C7"/>
    <w:rsid w:val="005134AE"/>
    <w:rsid w:val="00513EEE"/>
    <w:rsid w:val="00513F75"/>
    <w:rsid w:val="00514551"/>
    <w:rsid w:val="005154DD"/>
    <w:rsid w:val="00516D73"/>
    <w:rsid w:val="005209C1"/>
    <w:rsid w:val="00521CA2"/>
    <w:rsid w:val="0052362F"/>
    <w:rsid w:val="0052522F"/>
    <w:rsid w:val="00530170"/>
    <w:rsid w:val="00535B20"/>
    <w:rsid w:val="00545404"/>
    <w:rsid w:val="0054789D"/>
    <w:rsid w:val="00547AEA"/>
    <w:rsid w:val="00550E7A"/>
    <w:rsid w:val="00551F17"/>
    <w:rsid w:val="00552D90"/>
    <w:rsid w:val="00553EE6"/>
    <w:rsid w:val="0055464D"/>
    <w:rsid w:val="00554672"/>
    <w:rsid w:val="00555B33"/>
    <w:rsid w:val="00557724"/>
    <w:rsid w:val="00560553"/>
    <w:rsid w:val="00560B08"/>
    <w:rsid w:val="005618F0"/>
    <w:rsid w:val="00563AEB"/>
    <w:rsid w:val="0056417A"/>
    <w:rsid w:val="005678C2"/>
    <w:rsid w:val="0057527A"/>
    <w:rsid w:val="0057639F"/>
    <w:rsid w:val="00580EB4"/>
    <w:rsid w:val="00580F93"/>
    <w:rsid w:val="00581345"/>
    <w:rsid w:val="005814D3"/>
    <w:rsid w:val="00582BA1"/>
    <w:rsid w:val="00582D68"/>
    <w:rsid w:val="0058521B"/>
    <w:rsid w:val="00587B90"/>
    <w:rsid w:val="00595028"/>
    <w:rsid w:val="005967B3"/>
    <w:rsid w:val="005A249A"/>
    <w:rsid w:val="005A512F"/>
    <w:rsid w:val="005A5369"/>
    <w:rsid w:val="005A5E4F"/>
    <w:rsid w:val="005A69D8"/>
    <w:rsid w:val="005A6AFA"/>
    <w:rsid w:val="005A77DC"/>
    <w:rsid w:val="005A7D95"/>
    <w:rsid w:val="005B0F82"/>
    <w:rsid w:val="005B55FC"/>
    <w:rsid w:val="005B6D61"/>
    <w:rsid w:val="005B7766"/>
    <w:rsid w:val="005B7F13"/>
    <w:rsid w:val="005C158F"/>
    <w:rsid w:val="005C1A38"/>
    <w:rsid w:val="005C1C86"/>
    <w:rsid w:val="005C4344"/>
    <w:rsid w:val="005C7342"/>
    <w:rsid w:val="005D0C58"/>
    <w:rsid w:val="005D1352"/>
    <w:rsid w:val="005D5E41"/>
    <w:rsid w:val="005E0887"/>
    <w:rsid w:val="005E0C5D"/>
    <w:rsid w:val="005E492C"/>
    <w:rsid w:val="005E6287"/>
    <w:rsid w:val="005F0698"/>
    <w:rsid w:val="005F22A7"/>
    <w:rsid w:val="005F2412"/>
    <w:rsid w:val="005F5886"/>
    <w:rsid w:val="00600A48"/>
    <w:rsid w:val="00601BA0"/>
    <w:rsid w:val="00601D1B"/>
    <w:rsid w:val="00601F72"/>
    <w:rsid w:val="00605DE5"/>
    <w:rsid w:val="00607DEB"/>
    <w:rsid w:val="006104C9"/>
    <w:rsid w:val="006116E9"/>
    <w:rsid w:val="00615368"/>
    <w:rsid w:val="00615472"/>
    <w:rsid w:val="006204E8"/>
    <w:rsid w:val="00620BC0"/>
    <w:rsid w:val="0062188C"/>
    <w:rsid w:val="00622FCD"/>
    <w:rsid w:val="0062382A"/>
    <w:rsid w:val="00624393"/>
    <w:rsid w:val="006243DE"/>
    <w:rsid w:val="00625DBC"/>
    <w:rsid w:val="00632A35"/>
    <w:rsid w:val="00633708"/>
    <w:rsid w:val="00633B92"/>
    <w:rsid w:val="00636247"/>
    <w:rsid w:val="0063763D"/>
    <w:rsid w:val="0064291D"/>
    <w:rsid w:val="00643736"/>
    <w:rsid w:val="0064473B"/>
    <w:rsid w:val="00644964"/>
    <w:rsid w:val="00645892"/>
    <w:rsid w:val="00647281"/>
    <w:rsid w:val="0064728D"/>
    <w:rsid w:val="006501C8"/>
    <w:rsid w:val="00650E40"/>
    <w:rsid w:val="006512DD"/>
    <w:rsid w:val="00655339"/>
    <w:rsid w:val="00660F58"/>
    <w:rsid w:val="006630E0"/>
    <w:rsid w:val="006631F3"/>
    <w:rsid w:val="00665DC5"/>
    <w:rsid w:val="006662E1"/>
    <w:rsid w:val="006723F0"/>
    <w:rsid w:val="00674209"/>
    <w:rsid w:val="00674712"/>
    <w:rsid w:val="00677750"/>
    <w:rsid w:val="00677D72"/>
    <w:rsid w:val="006816DB"/>
    <w:rsid w:val="00682493"/>
    <w:rsid w:val="00683959"/>
    <w:rsid w:val="006866E8"/>
    <w:rsid w:val="00686BC4"/>
    <w:rsid w:val="00686CD1"/>
    <w:rsid w:val="00687C19"/>
    <w:rsid w:val="00690ED2"/>
    <w:rsid w:val="00693605"/>
    <w:rsid w:val="00694E76"/>
    <w:rsid w:val="006959AB"/>
    <w:rsid w:val="006962E9"/>
    <w:rsid w:val="006A0BA1"/>
    <w:rsid w:val="006A11FC"/>
    <w:rsid w:val="006A349C"/>
    <w:rsid w:val="006A442E"/>
    <w:rsid w:val="006B14C8"/>
    <w:rsid w:val="006B1659"/>
    <w:rsid w:val="006B2940"/>
    <w:rsid w:val="006B346B"/>
    <w:rsid w:val="006B4985"/>
    <w:rsid w:val="006B56DA"/>
    <w:rsid w:val="006C0A97"/>
    <w:rsid w:val="006C20CC"/>
    <w:rsid w:val="006C486B"/>
    <w:rsid w:val="006C4F35"/>
    <w:rsid w:val="006C51AC"/>
    <w:rsid w:val="006C6586"/>
    <w:rsid w:val="006D2101"/>
    <w:rsid w:val="006D2ABA"/>
    <w:rsid w:val="006D3748"/>
    <w:rsid w:val="006D5265"/>
    <w:rsid w:val="006E033C"/>
    <w:rsid w:val="006E2894"/>
    <w:rsid w:val="006F1FFB"/>
    <w:rsid w:val="006F3449"/>
    <w:rsid w:val="006F4062"/>
    <w:rsid w:val="006F4090"/>
    <w:rsid w:val="006F4B4E"/>
    <w:rsid w:val="006F4C01"/>
    <w:rsid w:val="006F4DE8"/>
    <w:rsid w:val="006F51D1"/>
    <w:rsid w:val="00701633"/>
    <w:rsid w:val="007021FC"/>
    <w:rsid w:val="00706543"/>
    <w:rsid w:val="007065BC"/>
    <w:rsid w:val="00706F0E"/>
    <w:rsid w:val="007075BA"/>
    <w:rsid w:val="00710480"/>
    <w:rsid w:val="0071165A"/>
    <w:rsid w:val="007123AA"/>
    <w:rsid w:val="007127FA"/>
    <w:rsid w:val="00712A10"/>
    <w:rsid w:val="0071315C"/>
    <w:rsid w:val="00714264"/>
    <w:rsid w:val="007143ED"/>
    <w:rsid w:val="00715462"/>
    <w:rsid w:val="00715ADF"/>
    <w:rsid w:val="00716BE7"/>
    <w:rsid w:val="00720A3F"/>
    <w:rsid w:val="00720EA8"/>
    <w:rsid w:val="007240E8"/>
    <w:rsid w:val="007251C0"/>
    <w:rsid w:val="007265B1"/>
    <w:rsid w:val="00727BDD"/>
    <w:rsid w:val="00732A14"/>
    <w:rsid w:val="0073457C"/>
    <w:rsid w:val="00736700"/>
    <w:rsid w:val="00737AE4"/>
    <w:rsid w:val="00737B9E"/>
    <w:rsid w:val="00740463"/>
    <w:rsid w:val="00740C0E"/>
    <w:rsid w:val="00740CBB"/>
    <w:rsid w:val="0074105B"/>
    <w:rsid w:val="00743947"/>
    <w:rsid w:val="007455B5"/>
    <w:rsid w:val="0074726B"/>
    <w:rsid w:val="0074761C"/>
    <w:rsid w:val="007520F6"/>
    <w:rsid w:val="007550B4"/>
    <w:rsid w:val="00755F44"/>
    <w:rsid w:val="0075620F"/>
    <w:rsid w:val="00757BE6"/>
    <w:rsid w:val="007600E2"/>
    <w:rsid w:val="007607D1"/>
    <w:rsid w:val="00760C52"/>
    <w:rsid w:val="007616AA"/>
    <w:rsid w:val="007620E6"/>
    <w:rsid w:val="007636F3"/>
    <w:rsid w:val="00764883"/>
    <w:rsid w:val="00770861"/>
    <w:rsid w:val="00770AB0"/>
    <w:rsid w:val="00774148"/>
    <w:rsid w:val="00774A22"/>
    <w:rsid w:val="007777F4"/>
    <w:rsid w:val="007802FD"/>
    <w:rsid w:val="00780663"/>
    <w:rsid w:val="007813D5"/>
    <w:rsid w:val="00781C5B"/>
    <w:rsid w:val="0078221C"/>
    <w:rsid w:val="00785162"/>
    <w:rsid w:val="00785A27"/>
    <w:rsid w:val="00787925"/>
    <w:rsid w:val="00787BD1"/>
    <w:rsid w:val="007928CD"/>
    <w:rsid w:val="00792AD1"/>
    <w:rsid w:val="007945BF"/>
    <w:rsid w:val="007A1165"/>
    <w:rsid w:val="007A1252"/>
    <w:rsid w:val="007A5423"/>
    <w:rsid w:val="007B0219"/>
    <w:rsid w:val="007B1386"/>
    <w:rsid w:val="007B306C"/>
    <w:rsid w:val="007B31E2"/>
    <w:rsid w:val="007B5021"/>
    <w:rsid w:val="007B5ADF"/>
    <w:rsid w:val="007B5EE3"/>
    <w:rsid w:val="007B63C3"/>
    <w:rsid w:val="007C07A0"/>
    <w:rsid w:val="007C227E"/>
    <w:rsid w:val="007C2626"/>
    <w:rsid w:val="007C30FD"/>
    <w:rsid w:val="007C3E5F"/>
    <w:rsid w:val="007C4111"/>
    <w:rsid w:val="007C5CBE"/>
    <w:rsid w:val="007C7FE3"/>
    <w:rsid w:val="007D16F8"/>
    <w:rsid w:val="007D1B4E"/>
    <w:rsid w:val="007D2C6A"/>
    <w:rsid w:val="007D2CA9"/>
    <w:rsid w:val="007D33D1"/>
    <w:rsid w:val="007D4F4C"/>
    <w:rsid w:val="007D6186"/>
    <w:rsid w:val="007D733E"/>
    <w:rsid w:val="007E211B"/>
    <w:rsid w:val="007E3344"/>
    <w:rsid w:val="007E3CF3"/>
    <w:rsid w:val="007E477E"/>
    <w:rsid w:val="007E7A20"/>
    <w:rsid w:val="007F1C04"/>
    <w:rsid w:val="007F55C0"/>
    <w:rsid w:val="007F75CF"/>
    <w:rsid w:val="00800F49"/>
    <w:rsid w:val="008019F1"/>
    <w:rsid w:val="008036F6"/>
    <w:rsid w:val="00803ED9"/>
    <w:rsid w:val="00806BFF"/>
    <w:rsid w:val="008073E1"/>
    <w:rsid w:val="00812357"/>
    <w:rsid w:val="00812510"/>
    <w:rsid w:val="008139D6"/>
    <w:rsid w:val="008168BD"/>
    <w:rsid w:val="008173DF"/>
    <w:rsid w:val="008176EE"/>
    <w:rsid w:val="0082084E"/>
    <w:rsid w:val="00824F83"/>
    <w:rsid w:val="00826066"/>
    <w:rsid w:val="00833876"/>
    <w:rsid w:val="00836715"/>
    <w:rsid w:val="0084058C"/>
    <w:rsid w:val="00840AD4"/>
    <w:rsid w:val="008410FB"/>
    <w:rsid w:val="00844E28"/>
    <w:rsid w:val="008463F4"/>
    <w:rsid w:val="00846C18"/>
    <w:rsid w:val="008506E9"/>
    <w:rsid w:val="0085182B"/>
    <w:rsid w:val="00852C70"/>
    <w:rsid w:val="00855258"/>
    <w:rsid w:val="00857C05"/>
    <w:rsid w:val="00857EBE"/>
    <w:rsid w:val="00862123"/>
    <w:rsid w:val="00864A7A"/>
    <w:rsid w:val="00867432"/>
    <w:rsid w:val="00873683"/>
    <w:rsid w:val="00875C42"/>
    <w:rsid w:val="008804EC"/>
    <w:rsid w:val="0088079E"/>
    <w:rsid w:val="00880E21"/>
    <w:rsid w:val="008811B0"/>
    <w:rsid w:val="00881E87"/>
    <w:rsid w:val="0088207D"/>
    <w:rsid w:val="00882531"/>
    <w:rsid w:val="0088398F"/>
    <w:rsid w:val="00884EBF"/>
    <w:rsid w:val="008909F5"/>
    <w:rsid w:val="0089155E"/>
    <w:rsid w:val="00893012"/>
    <w:rsid w:val="0089462D"/>
    <w:rsid w:val="008965BE"/>
    <w:rsid w:val="00896996"/>
    <w:rsid w:val="00896F3B"/>
    <w:rsid w:val="008A26F9"/>
    <w:rsid w:val="008A3921"/>
    <w:rsid w:val="008A39BB"/>
    <w:rsid w:val="008A486F"/>
    <w:rsid w:val="008A5476"/>
    <w:rsid w:val="008A7D63"/>
    <w:rsid w:val="008B152D"/>
    <w:rsid w:val="008B3C5B"/>
    <w:rsid w:val="008B68FF"/>
    <w:rsid w:val="008B7EF1"/>
    <w:rsid w:val="008C0EA2"/>
    <w:rsid w:val="008C12AB"/>
    <w:rsid w:val="008C6145"/>
    <w:rsid w:val="008C63C0"/>
    <w:rsid w:val="008C6483"/>
    <w:rsid w:val="008C79C9"/>
    <w:rsid w:val="008D01C2"/>
    <w:rsid w:val="008D4962"/>
    <w:rsid w:val="008E1137"/>
    <w:rsid w:val="008E1539"/>
    <w:rsid w:val="008E19F8"/>
    <w:rsid w:val="008E1CBA"/>
    <w:rsid w:val="008E3B1C"/>
    <w:rsid w:val="008E4254"/>
    <w:rsid w:val="008E53B6"/>
    <w:rsid w:val="008E53DB"/>
    <w:rsid w:val="008E7470"/>
    <w:rsid w:val="008F05DB"/>
    <w:rsid w:val="008F5CCF"/>
    <w:rsid w:val="0090128B"/>
    <w:rsid w:val="0091166F"/>
    <w:rsid w:val="0091202C"/>
    <w:rsid w:val="0091333B"/>
    <w:rsid w:val="00914A19"/>
    <w:rsid w:val="00914E7A"/>
    <w:rsid w:val="00915ADE"/>
    <w:rsid w:val="0091725E"/>
    <w:rsid w:val="00920DF3"/>
    <w:rsid w:val="009229AA"/>
    <w:rsid w:val="00923087"/>
    <w:rsid w:val="00923474"/>
    <w:rsid w:val="0092387B"/>
    <w:rsid w:val="009241D5"/>
    <w:rsid w:val="009256E0"/>
    <w:rsid w:val="00926D75"/>
    <w:rsid w:val="00931613"/>
    <w:rsid w:val="009319B9"/>
    <w:rsid w:val="00933384"/>
    <w:rsid w:val="009351A2"/>
    <w:rsid w:val="009416EF"/>
    <w:rsid w:val="009418FB"/>
    <w:rsid w:val="00943A70"/>
    <w:rsid w:val="009443CE"/>
    <w:rsid w:val="009445D1"/>
    <w:rsid w:val="009467AF"/>
    <w:rsid w:val="009472DF"/>
    <w:rsid w:val="009502BE"/>
    <w:rsid w:val="00950D13"/>
    <w:rsid w:val="00950E2C"/>
    <w:rsid w:val="00953793"/>
    <w:rsid w:val="00953BDB"/>
    <w:rsid w:val="00954AE4"/>
    <w:rsid w:val="00956612"/>
    <w:rsid w:val="009569A4"/>
    <w:rsid w:val="009602DA"/>
    <w:rsid w:val="00962048"/>
    <w:rsid w:val="0096646A"/>
    <w:rsid w:val="0097231D"/>
    <w:rsid w:val="00973255"/>
    <w:rsid w:val="009758E8"/>
    <w:rsid w:val="00976019"/>
    <w:rsid w:val="00976663"/>
    <w:rsid w:val="00976BEA"/>
    <w:rsid w:val="009801B4"/>
    <w:rsid w:val="0098178F"/>
    <w:rsid w:val="0098182A"/>
    <w:rsid w:val="00981F46"/>
    <w:rsid w:val="00982232"/>
    <w:rsid w:val="00982438"/>
    <w:rsid w:val="00986CC8"/>
    <w:rsid w:val="009950BF"/>
    <w:rsid w:val="009A0076"/>
    <w:rsid w:val="009A1BF6"/>
    <w:rsid w:val="009A1DC0"/>
    <w:rsid w:val="009A2D91"/>
    <w:rsid w:val="009A3F50"/>
    <w:rsid w:val="009A3F5D"/>
    <w:rsid w:val="009A5D3A"/>
    <w:rsid w:val="009A5D51"/>
    <w:rsid w:val="009B1ECB"/>
    <w:rsid w:val="009B225C"/>
    <w:rsid w:val="009B27A5"/>
    <w:rsid w:val="009B6B14"/>
    <w:rsid w:val="009C1CD4"/>
    <w:rsid w:val="009C2D4F"/>
    <w:rsid w:val="009C4B3E"/>
    <w:rsid w:val="009C505F"/>
    <w:rsid w:val="009C5C88"/>
    <w:rsid w:val="009C63C9"/>
    <w:rsid w:val="009D0CCA"/>
    <w:rsid w:val="009D2BD4"/>
    <w:rsid w:val="009D3A49"/>
    <w:rsid w:val="009D4ABD"/>
    <w:rsid w:val="009D4C5F"/>
    <w:rsid w:val="009D7303"/>
    <w:rsid w:val="009E0723"/>
    <w:rsid w:val="009E12D4"/>
    <w:rsid w:val="009E2E54"/>
    <w:rsid w:val="009E409A"/>
    <w:rsid w:val="009E5749"/>
    <w:rsid w:val="009E57A9"/>
    <w:rsid w:val="009E5D3E"/>
    <w:rsid w:val="009E7D34"/>
    <w:rsid w:val="009F0FF2"/>
    <w:rsid w:val="009F4127"/>
    <w:rsid w:val="009F4557"/>
    <w:rsid w:val="009F5E5D"/>
    <w:rsid w:val="009F66CF"/>
    <w:rsid w:val="00A0128E"/>
    <w:rsid w:val="00A04B51"/>
    <w:rsid w:val="00A05D50"/>
    <w:rsid w:val="00A20A8C"/>
    <w:rsid w:val="00A2171F"/>
    <w:rsid w:val="00A218B5"/>
    <w:rsid w:val="00A22796"/>
    <w:rsid w:val="00A232C0"/>
    <w:rsid w:val="00A24B28"/>
    <w:rsid w:val="00A2611E"/>
    <w:rsid w:val="00A26631"/>
    <w:rsid w:val="00A27856"/>
    <w:rsid w:val="00A31833"/>
    <w:rsid w:val="00A31882"/>
    <w:rsid w:val="00A3671E"/>
    <w:rsid w:val="00A36B52"/>
    <w:rsid w:val="00A36B88"/>
    <w:rsid w:val="00A37C76"/>
    <w:rsid w:val="00A449DF"/>
    <w:rsid w:val="00A44E68"/>
    <w:rsid w:val="00A46CDB"/>
    <w:rsid w:val="00A47085"/>
    <w:rsid w:val="00A4791B"/>
    <w:rsid w:val="00A51BBD"/>
    <w:rsid w:val="00A53CFF"/>
    <w:rsid w:val="00A55D06"/>
    <w:rsid w:val="00A56A30"/>
    <w:rsid w:val="00A56CBC"/>
    <w:rsid w:val="00A57600"/>
    <w:rsid w:val="00A613B3"/>
    <w:rsid w:val="00A6221C"/>
    <w:rsid w:val="00A622BC"/>
    <w:rsid w:val="00A6352A"/>
    <w:rsid w:val="00A644FB"/>
    <w:rsid w:val="00A70257"/>
    <w:rsid w:val="00A704A1"/>
    <w:rsid w:val="00A747FD"/>
    <w:rsid w:val="00A748B2"/>
    <w:rsid w:val="00A74FFC"/>
    <w:rsid w:val="00A756F2"/>
    <w:rsid w:val="00A76070"/>
    <w:rsid w:val="00A82C89"/>
    <w:rsid w:val="00A83ED2"/>
    <w:rsid w:val="00A84EB1"/>
    <w:rsid w:val="00A85393"/>
    <w:rsid w:val="00A85ECC"/>
    <w:rsid w:val="00A90223"/>
    <w:rsid w:val="00A91DC1"/>
    <w:rsid w:val="00A9666F"/>
    <w:rsid w:val="00AA0543"/>
    <w:rsid w:val="00AA0ACE"/>
    <w:rsid w:val="00AA0EA8"/>
    <w:rsid w:val="00AB1CD5"/>
    <w:rsid w:val="00AB27A5"/>
    <w:rsid w:val="00AB61E2"/>
    <w:rsid w:val="00AC05B6"/>
    <w:rsid w:val="00AC211B"/>
    <w:rsid w:val="00AC2457"/>
    <w:rsid w:val="00AC3431"/>
    <w:rsid w:val="00AC3DF1"/>
    <w:rsid w:val="00AC4283"/>
    <w:rsid w:val="00AC75F0"/>
    <w:rsid w:val="00AC7661"/>
    <w:rsid w:val="00AC7F6D"/>
    <w:rsid w:val="00AD02CF"/>
    <w:rsid w:val="00AD0688"/>
    <w:rsid w:val="00AD0C05"/>
    <w:rsid w:val="00AD0E61"/>
    <w:rsid w:val="00AD320F"/>
    <w:rsid w:val="00AD480D"/>
    <w:rsid w:val="00AD5CB4"/>
    <w:rsid w:val="00AD7982"/>
    <w:rsid w:val="00AE33E0"/>
    <w:rsid w:val="00AF00F7"/>
    <w:rsid w:val="00AF1048"/>
    <w:rsid w:val="00B002E5"/>
    <w:rsid w:val="00B00D5E"/>
    <w:rsid w:val="00B03881"/>
    <w:rsid w:val="00B05123"/>
    <w:rsid w:val="00B06401"/>
    <w:rsid w:val="00B06DDD"/>
    <w:rsid w:val="00B10AD1"/>
    <w:rsid w:val="00B111CD"/>
    <w:rsid w:val="00B122E5"/>
    <w:rsid w:val="00B124C7"/>
    <w:rsid w:val="00B130D0"/>
    <w:rsid w:val="00B16563"/>
    <w:rsid w:val="00B172B2"/>
    <w:rsid w:val="00B17FBD"/>
    <w:rsid w:val="00B214A4"/>
    <w:rsid w:val="00B2180C"/>
    <w:rsid w:val="00B22510"/>
    <w:rsid w:val="00B2367C"/>
    <w:rsid w:val="00B24455"/>
    <w:rsid w:val="00B24A76"/>
    <w:rsid w:val="00B24F86"/>
    <w:rsid w:val="00B274EE"/>
    <w:rsid w:val="00B2757B"/>
    <w:rsid w:val="00B3390A"/>
    <w:rsid w:val="00B33F1A"/>
    <w:rsid w:val="00B34B8F"/>
    <w:rsid w:val="00B376DB"/>
    <w:rsid w:val="00B40131"/>
    <w:rsid w:val="00B411F4"/>
    <w:rsid w:val="00B42908"/>
    <w:rsid w:val="00B508C4"/>
    <w:rsid w:val="00B5123C"/>
    <w:rsid w:val="00B51318"/>
    <w:rsid w:val="00B5222D"/>
    <w:rsid w:val="00B52FC7"/>
    <w:rsid w:val="00B53B35"/>
    <w:rsid w:val="00B54D72"/>
    <w:rsid w:val="00B5525C"/>
    <w:rsid w:val="00B559D6"/>
    <w:rsid w:val="00B60E03"/>
    <w:rsid w:val="00B63134"/>
    <w:rsid w:val="00B64C16"/>
    <w:rsid w:val="00B654CA"/>
    <w:rsid w:val="00B718BD"/>
    <w:rsid w:val="00B7215A"/>
    <w:rsid w:val="00B72A84"/>
    <w:rsid w:val="00B73193"/>
    <w:rsid w:val="00B73DD1"/>
    <w:rsid w:val="00B764EF"/>
    <w:rsid w:val="00B770AC"/>
    <w:rsid w:val="00B77310"/>
    <w:rsid w:val="00B7731B"/>
    <w:rsid w:val="00B8043B"/>
    <w:rsid w:val="00B81FB1"/>
    <w:rsid w:val="00B820D7"/>
    <w:rsid w:val="00B82753"/>
    <w:rsid w:val="00B83EEE"/>
    <w:rsid w:val="00B85FDF"/>
    <w:rsid w:val="00B869E1"/>
    <w:rsid w:val="00B909BD"/>
    <w:rsid w:val="00B90DBA"/>
    <w:rsid w:val="00B94B50"/>
    <w:rsid w:val="00B954F0"/>
    <w:rsid w:val="00B9595B"/>
    <w:rsid w:val="00B96550"/>
    <w:rsid w:val="00B96BD2"/>
    <w:rsid w:val="00BA2B1F"/>
    <w:rsid w:val="00BA534A"/>
    <w:rsid w:val="00BB1638"/>
    <w:rsid w:val="00BB1F5C"/>
    <w:rsid w:val="00BB6A50"/>
    <w:rsid w:val="00BC41C6"/>
    <w:rsid w:val="00BC592D"/>
    <w:rsid w:val="00BC649B"/>
    <w:rsid w:val="00BC6990"/>
    <w:rsid w:val="00BD235C"/>
    <w:rsid w:val="00BD2EA3"/>
    <w:rsid w:val="00BD6594"/>
    <w:rsid w:val="00BD6765"/>
    <w:rsid w:val="00BE1DAA"/>
    <w:rsid w:val="00BE264F"/>
    <w:rsid w:val="00BE3928"/>
    <w:rsid w:val="00BE3D8F"/>
    <w:rsid w:val="00BE3DB0"/>
    <w:rsid w:val="00BE4651"/>
    <w:rsid w:val="00BE5E92"/>
    <w:rsid w:val="00BE63B2"/>
    <w:rsid w:val="00BF1342"/>
    <w:rsid w:val="00BF319A"/>
    <w:rsid w:val="00BF6140"/>
    <w:rsid w:val="00BF7DDE"/>
    <w:rsid w:val="00C0660D"/>
    <w:rsid w:val="00C06AFE"/>
    <w:rsid w:val="00C07DA2"/>
    <w:rsid w:val="00C13CD3"/>
    <w:rsid w:val="00C15682"/>
    <w:rsid w:val="00C162B9"/>
    <w:rsid w:val="00C16390"/>
    <w:rsid w:val="00C16638"/>
    <w:rsid w:val="00C174E4"/>
    <w:rsid w:val="00C205E1"/>
    <w:rsid w:val="00C22BF1"/>
    <w:rsid w:val="00C23C9D"/>
    <w:rsid w:val="00C24383"/>
    <w:rsid w:val="00C25E43"/>
    <w:rsid w:val="00C25E78"/>
    <w:rsid w:val="00C2731C"/>
    <w:rsid w:val="00C27424"/>
    <w:rsid w:val="00C314FE"/>
    <w:rsid w:val="00C31F95"/>
    <w:rsid w:val="00C328F7"/>
    <w:rsid w:val="00C32ED2"/>
    <w:rsid w:val="00C3784E"/>
    <w:rsid w:val="00C40ED4"/>
    <w:rsid w:val="00C414F9"/>
    <w:rsid w:val="00C43B9B"/>
    <w:rsid w:val="00C4508D"/>
    <w:rsid w:val="00C46819"/>
    <w:rsid w:val="00C473AB"/>
    <w:rsid w:val="00C506A5"/>
    <w:rsid w:val="00C51249"/>
    <w:rsid w:val="00C51309"/>
    <w:rsid w:val="00C51623"/>
    <w:rsid w:val="00C51AD1"/>
    <w:rsid w:val="00C52B2F"/>
    <w:rsid w:val="00C52EAC"/>
    <w:rsid w:val="00C54CF9"/>
    <w:rsid w:val="00C557B3"/>
    <w:rsid w:val="00C57A51"/>
    <w:rsid w:val="00C6068D"/>
    <w:rsid w:val="00C60A31"/>
    <w:rsid w:val="00C63213"/>
    <w:rsid w:val="00C64405"/>
    <w:rsid w:val="00C66CC6"/>
    <w:rsid w:val="00C67958"/>
    <w:rsid w:val="00C67F42"/>
    <w:rsid w:val="00C7144C"/>
    <w:rsid w:val="00C72AB0"/>
    <w:rsid w:val="00C74455"/>
    <w:rsid w:val="00C745B2"/>
    <w:rsid w:val="00C7580D"/>
    <w:rsid w:val="00C76CBA"/>
    <w:rsid w:val="00C82CE9"/>
    <w:rsid w:val="00C84B14"/>
    <w:rsid w:val="00C8613D"/>
    <w:rsid w:val="00C86E49"/>
    <w:rsid w:val="00C87F09"/>
    <w:rsid w:val="00C90679"/>
    <w:rsid w:val="00C91BF0"/>
    <w:rsid w:val="00C9300A"/>
    <w:rsid w:val="00C94E46"/>
    <w:rsid w:val="00C9706C"/>
    <w:rsid w:val="00C97B53"/>
    <w:rsid w:val="00CA1BB7"/>
    <w:rsid w:val="00CA5210"/>
    <w:rsid w:val="00CA6D2B"/>
    <w:rsid w:val="00CA6ED6"/>
    <w:rsid w:val="00CA78AC"/>
    <w:rsid w:val="00CB1680"/>
    <w:rsid w:val="00CB1819"/>
    <w:rsid w:val="00CB29EA"/>
    <w:rsid w:val="00CB32F3"/>
    <w:rsid w:val="00CB3BDE"/>
    <w:rsid w:val="00CB444B"/>
    <w:rsid w:val="00CC0BD5"/>
    <w:rsid w:val="00CC1293"/>
    <w:rsid w:val="00CC193E"/>
    <w:rsid w:val="00CC24CE"/>
    <w:rsid w:val="00CC3B59"/>
    <w:rsid w:val="00CC6C64"/>
    <w:rsid w:val="00CD0072"/>
    <w:rsid w:val="00CD0759"/>
    <w:rsid w:val="00CD09A1"/>
    <w:rsid w:val="00CD12C8"/>
    <w:rsid w:val="00CD3985"/>
    <w:rsid w:val="00CD62ED"/>
    <w:rsid w:val="00CE5CE9"/>
    <w:rsid w:val="00CF0C4A"/>
    <w:rsid w:val="00CF3A44"/>
    <w:rsid w:val="00CF44FA"/>
    <w:rsid w:val="00CF53E4"/>
    <w:rsid w:val="00D01BD3"/>
    <w:rsid w:val="00D01D6F"/>
    <w:rsid w:val="00D07846"/>
    <w:rsid w:val="00D07F58"/>
    <w:rsid w:val="00D12989"/>
    <w:rsid w:val="00D14F8B"/>
    <w:rsid w:val="00D15872"/>
    <w:rsid w:val="00D15FB7"/>
    <w:rsid w:val="00D20AFE"/>
    <w:rsid w:val="00D22856"/>
    <w:rsid w:val="00D25E9C"/>
    <w:rsid w:val="00D2654F"/>
    <w:rsid w:val="00D31640"/>
    <w:rsid w:val="00D345D9"/>
    <w:rsid w:val="00D40E1E"/>
    <w:rsid w:val="00D40E3F"/>
    <w:rsid w:val="00D459FE"/>
    <w:rsid w:val="00D47C4E"/>
    <w:rsid w:val="00D51729"/>
    <w:rsid w:val="00D529EC"/>
    <w:rsid w:val="00D5345B"/>
    <w:rsid w:val="00D53B7D"/>
    <w:rsid w:val="00D54194"/>
    <w:rsid w:val="00D57D43"/>
    <w:rsid w:val="00D61529"/>
    <w:rsid w:val="00D61D55"/>
    <w:rsid w:val="00D62660"/>
    <w:rsid w:val="00D63771"/>
    <w:rsid w:val="00D63DEB"/>
    <w:rsid w:val="00D70A34"/>
    <w:rsid w:val="00D74AC0"/>
    <w:rsid w:val="00D76362"/>
    <w:rsid w:val="00D764E6"/>
    <w:rsid w:val="00D81BDF"/>
    <w:rsid w:val="00D82827"/>
    <w:rsid w:val="00D85B19"/>
    <w:rsid w:val="00D85D51"/>
    <w:rsid w:val="00D862F9"/>
    <w:rsid w:val="00D8641D"/>
    <w:rsid w:val="00D86AD3"/>
    <w:rsid w:val="00D90C53"/>
    <w:rsid w:val="00D92F1D"/>
    <w:rsid w:val="00D96BC6"/>
    <w:rsid w:val="00D96E4B"/>
    <w:rsid w:val="00DA1030"/>
    <w:rsid w:val="00DA13CA"/>
    <w:rsid w:val="00DA558D"/>
    <w:rsid w:val="00DA6777"/>
    <w:rsid w:val="00DA7466"/>
    <w:rsid w:val="00DB334A"/>
    <w:rsid w:val="00DB34AD"/>
    <w:rsid w:val="00DB42FE"/>
    <w:rsid w:val="00DB58A1"/>
    <w:rsid w:val="00DB6E00"/>
    <w:rsid w:val="00DC06E7"/>
    <w:rsid w:val="00DC1DA8"/>
    <w:rsid w:val="00DC2C13"/>
    <w:rsid w:val="00DC3A6D"/>
    <w:rsid w:val="00DC4603"/>
    <w:rsid w:val="00DC575B"/>
    <w:rsid w:val="00DD07EB"/>
    <w:rsid w:val="00DD31DD"/>
    <w:rsid w:val="00DD5AAD"/>
    <w:rsid w:val="00DD7BC3"/>
    <w:rsid w:val="00DE0932"/>
    <w:rsid w:val="00DE2C93"/>
    <w:rsid w:val="00DE528A"/>
    <w:rsid w:val="00DF22CD"/>
    <w:rsid w:val="00DF2954"/>
    <w:rsid w:val="00DF4396"/>
    <w:rsid w:val="00DF5D22"/>
    <w:rsid w:val="00E02C79"/>
    <w:rsid w:val="00E03785"/>
    <w:rsid w:val="00E03BAF"/>
    <w:rsid w:val="00E05E4E"/>
    <w:rsid w:val="00E06354"/>
    <w:rsid w:val="00E10672"/>
    <w:rsid w:val="00E13B52"/>
    <w:rsid w:val="00E147E4"/>
    <w:rsid w:val="00E14BFC"/>
    <w:rsid w:val="00E14DFD"/>
    <w:rsid w:val="00E20EEF"/>
    <w:rsid w:val="00E21A95"/>
    <w:rsid w:val="00E2285C"/>
    <w:rsid w:val="00E25D15"/>
    <w:rsid w:val="00E26A25"/>
    <w:rsid w:val="00E30BD3"/>
    <w:rsid w:val="00E31324"/>
    <w:rsid w:val="00E327C1"/>
    <w:rsid w:val="00E334D2"/>
    <w:rsid w:val="00E33B19"/>
    <w:rsid w:val="00E34EFC"/>
    <w:rsid w:val="00E41523"/>
    <w:rsid w:val="00E43E4B"/>
    <w:rsid w:val="00E441BE"/>
    <w:rsid w:val="00E45F97"/>
    <w:rsid w:val="00E45FB0"/>
    <w:rsid w:val="00E514BE"/>
    <w:rsid w:val="00E51CBD"/>
    <w:rsid w:val="00E524C4"/>
    <w:rsid w:val="00E52774"/>
    <w:rsid w:val="00E5426D"/>
    <w:rsid w:val="00E550BB"/>
    <w:rsid w:val="00E552AE"/>
    <w:rsid w:val="00E57075"/>
    <w:rsid w:val="00E62538"/>
    <w:rsid w:val="00E62EA7"/>
    <w:rsid w:val="00E631AD"/>
    <w:rsid w:val="00E6488E"/>
    <w:rsid w:val="00E64BC4"/>
    <w:rsid w:val="00E655FB"/>
    <w:rsid w:val="00E658C2"/>
    <w:rsid w:val="00E66789"/>
    <w:rsid w:val="00E67B3B"/>
    <w:rsid w:val="00E67BC8"/>
    <w:rsid w:val="00E70337"/>
    <w:rsid w:val="00E706F2"/>
    <w:rsid w:val="00E7319F"/>
    <w:rsid w:val="00E744B6"/>
    <w:rsid w:val="00E74DF4"/>
    <w:rsid w:val="00E75564"/>
    <w:rsid w:val="00E7750D"/>
    <w:rsid w:val="00E82432"/>
    <w:rsid w:val="00E8329C"/>
    <w:rsid w:val="00E84586"/>
    <w:rsid w:val="00E85759"/>
    <w:rsid w:val="00E8773A"/>
    <w:rsid w:val="00E87759"/>
    <w:rsid w:val="00E917F8"/>
    <w:rsid w:val="00E936FC"/>
    <w:rsid w:val="00E95082"/>
    <w:rsid w:val="00EA0402"/>
    <w:rsid w:val="00EA1888"/>
    <w:rsid w:val="00EA46F0"/>
    <w:rsid w:val="00EA7328"/>
    <w:rsid w:val="00EB0381"/>
    <w:rsid w:val="00EB06EB"/>
    <w:rsid w:val="00EB1BA2"/>
    <w:rsid w:val="00EC0673"/>
    <w:rsid w:val="00EC228F"/>
    <w:rsid w:val="00EC5AD1"/>
    <w:rsid w:val="00EC7326"/>
    <w:rsid w:val="00EC77A0"/>
    <w:rsid w:val="00EC7D7A"/>
    <w:rsid w:val="00ED466A"/>
    <w:rsid w:val="00ED546B"/>
    <w:rsid w:val="00ED7F62"/>
    <w:rsid w:val="00EE07CB"/>
    <w:rsid w:val="00EE257A"/>
    <w:rsid w:val="00EE2D97"/>
    <w:rsid w:val="00EE4880"/>
    <w:rsid w:val="00EE77EF"/>
    <w:rsid w:val="00EF296C"/>
    <w:rsid w:val="00EF2BD2"/>
    <w:rsid w:val="00EF3559"/>
    <w:rsid w:val="00EF7607"/>
    <w:rsid w:val="00F00CBA"/>
    <w:rsid w:val="00F00E24"/>
    <w:rsid w:val="00F056EE"/>
    <w:rsid w:val="00F0575A"/>
    <w:rsid w:val="00F0721C"/>
    <w:rsid w:val="00F07E92"/>
    <w:rsid w:val="00F10C26"/>
    <w:rsid w:val="00F11EE8"/>
    <w:rsid w:val="00F13955"/>
    <w:rsid w:val="00F152B0"/>
    <w:rsid w:val="00F16D95"/>
    <w:rsid w:val="00F17FC9"/>
    <w:rsid w:val="00F211CF"/>
    <w:rsid w:val="00F21467"/>
    <w:rsid w:val="00F228BD"/>
    <w:rsid w:val="00F24C78"/>
    <w:rsid w:val="00F2544D"/>
    <w:rsid w:val="00F25644"/>
    <w:rsid w:val="00F32145"/>
    <w:rsid w:val="00F3763E"/>
    <w:rsid w:val="00F401B5"/>
    <w:rsid w:val="00F402FB"/>
    <w:rsid w:val="00F40A9F"/>
    <w:rsid w:val="00F4320D"/>
    <w:rsid w:val="00F437A9"/>
    <w:rsid w:val="00F44692"/>
    <w:rsid w:val="00F44CAF"/>
    <w:rsid w:val="00F4542B"/>
    <w:rsid w:val="00F50AB4"/>
    <w:rsid w:val="00F50D56"/>
    <w:rsid w:val="00F53FE3"/>
    <w:rsid w:val="00F601F3"/>
    <w:rsid w:val="00F63A82"/>
    <w:rsid w:val="00F64E33"/>
    <w:rsid w:val="00F655C9"/>
    <w:rsid w:val="00F66A88"/>
    <w:rsid w:val="00F67F26"/>
    <w:rsid w:val="00F70D45"/>
    <w:rsid w:val="00F71D67"/>
    <w:rsid w:val="00F7326B"/>
    <w:rsid w:val="00F75F71"/>
    <w:rsid w:val="00F762D6"/>
    <w:rsid w:val="00F77645"/>
    <w:rsid w:val="00F80A89"/>
    <w:rsid w:val="00F80BA9"/>
    <w:rsid w:val="00F8144A"/>
    <w:rsid w:val="00F82213"/>
    <w:rsid w:val="00F912D9"/>
    <w:rsid w:val="00F9201F"/>
    <w:rsid w:val="00F93B06"/>
    <w:rsid w:val="00F97211"/>
    <w:rsid w:val="00FA0A4B"/>
    <w:rsid w:val="00FA1F96"/>
    <w:rsid w:val="00FA2F54"/>
    <w:rsid w:val="00FA300C"/>
    <w:rsid w:val="00FB300A"/>
    <w:rsid w:val="00FB34C2"/>
    <w:rsid w:val="00FB7066"/>
    <w:rsid w:val="00FC019D"/>
    <w:rsid w:val="00FC320D"/>
    <w:rsid w:val="00FC567F"/>
    <w:rsid w:val="00FC60D3"/>
    <w:rsid w:val="00FC7338"/>
    <w:rsid w:val="00FD4162"/>
    <w:rsid w:val="00FD5090"/>
    <w:rsid w:val="00FD7EC5"/>
    <w:rsid w:val="00FE10C6"/>
    <w:rsid w:val="00FE1C05"/>
    <w:rsid w:val="00FE26F3"/>
    <w:rsid w:val="00FE4334"/>
    <w:rsid w:val="00FF3A30"/>
    <w:rsid w:val="00FF3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754D"/>
  <w15:chartTrackingRefBased/>
  <w15:docId w15:val="{C4083256-6868-470A-8CD8-D2717462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33"/>
  </w:style>
  <w:style w:type="paragraph" w:styleId="Heading1">
    <w:name w:val="heading 1"/>
    <w:basedOn w:val="Normal"/>
    <w:link w:val="Heading1Char"/>
    <w:uiPriority w:val="9"/>
    <w:qFormat/>
    <w:rsid w:val="00D76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1633"/>
    <w:rPr>
      <w:sz w:val="16"/>
      <w:szCs w:val="16"/>
    </w:rPr>
  </w:style>
  <w:style w:type="paragraph" w:styleId="CommentText">
    <w:name w:val="annotation text"/>
    <w:basedOn w:val="Normal"/>
    <w:link w:val="CommentTextChar"/>
    <w:uiPriority w:val="99"/>
    <w:unhideWhenUsed/>
    <w:rsid w:val="00701633"/>
    <w:pPr>
      <w:spacing w:line="240" w:lineRule="auto"/>
    </w:pPr>
    <w:rPr>
      <w:sz w:val="20"/>
      <w:szCs w:val="20"/>
    </w:rPr>
  </w:style>
  <w:style w:type="character" w:customStyle="1" w:styleId="CommentTextChar">
    <w:name w:val="Comment Text Char"/>
    <w:basedOn w:val="DefaultParagraphFont"/>
    <w:link w:val="CommentText"/>
    <w:uiPriority w:val="99"/>
    <w:rsid w:val="00701633"/>
    <w:rPr>
      <w:sz w:val="20"/>
      <w:szCs w:val="20"/>
    </w:rPr>
  </w:style>
  <w:style w:type="paragraph" w:customStyle="1" w:styleId="BodyA">
    <w:name w:val="Body A"/>
    <w:uiPriority w:val="99"/>
    <w:rsid w:val="00701633"/>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US"/>
    </w:rPr>
  </w:style>
  <w:style w:type="paragraph" w:styleId="FootnoteText">
    <w:name w:val="footnote text"/>
    <w:basedOn w:val="Normal"/>
    <w:link w:val="FootnoteTextChar"/>
    <w:uiPriority w:val="99"/>
    <w:semiHidden/>
    <w:unhideWhenUsed/>
    <w:rsid w:val="0070163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01633"/>
    <w:rPr>
      <w:rFonts w:eastAsiaTheme="minorHAnsi"/>
      <w:sz w:val="20"/>
      <w:szCs w:val="20"/>
      <w:lang w:eastAsia="en-US"/>
    </w:rPr>
  </w:style>
  <w:style w:type="character" w:styleId="FootnoteReference">
    <w:name w:val="footnote reference"/>
    <w:basedOn w:val="DefaultParagraphFont"/>
    <w:uiPriority w:val="99"/>
    <w:semiHidden/>
    <w:unhideWhenUsed/>
    <w:rsid w:val="00701633"/>
    <w:rPr>
      <w:vertAlign w:val="superscript"/>
    </w:rPr>
  </w:style>
  <w:style w:type="paragraph" w:styleId="ListParagraph">
    <w:name w:val="List Paragraph"/>
    <w:basedOn w:val="Normal"/>
    <w:uiPriority w:val="34"/>
    <w:qFormat/>
    <w:rsid w:val="00701633"/>
    <w:pPr>
      <w:ind w:left="720"/>
      <w:contextualSpacing/>
    </w:pPr>
  </w:style>
  <w:style w:type="character" w:styleId="Hyperlink">
    <w:name w:val="Hyperlink"/>
    <w:basedOn w:val="DefaultParagraphFont"/>
    <w:uiPriority w:val="99"/>
    <w:unhideWhenUsed/>
    <w:rsid w:val="00701633"/>
    <w:rPr>
      <w:color w:val="0563C1" w:themeColor="hyperlink"/>
      <w:u w:val="single"/>
    </w:rPr>
  </w:style>
  <w:style w:type="paragraph" w:styleId="Header">
    <w:name w:val="header"/>
    <w:basedOn w:val="Normal"/>
    <w:link w:val="HeaderChar"/>
    <w:uiPriority w:val="99"/>
    <w:unhideWhenUsed/>
    <w:rsid w:val="00701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33"/>
  </w:style>
  <w:style w:type="paragraph" w:styleId="Footer">
    <w:name w:val="footer"/>
    <w:basedOn w:val="Normal"/>
    <w:link w:val="FooterChar"/>
    <w:uiPriority w:val="99"/>
    <w:unhideWhenUsed/>
    <w:rsid w:val="00701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33"/>
  </w:style>
  <w:style w:type="paragraph" w:customStyle="1" w:styleId="EndNoteBibliographyTitle">
    <w:name w:val="EndNote Bibliography Title"/>
    <w:basedOn w:val="Normal"/>
    <w:link w:val="EndNoteBibliographyTitleChar"/>
    <w:rsid w:val="00BD659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6594"/>
    <w:rPr>
      <w:rFonts w:ascii="Calibri" w:hAnsi="Calibri" w:cs="Calibri"/>
      <w:noProof/>
    </w:rPr>
  </w:style>
  <w:style w:type="paragraph" w:customStyle="1" w:styleId="EndNoteBibliography">
    <w:name w:val="EndNote Bibliography"/>
    <w:basedOn w:val="Normal"/>
    <w:link w:val="EndNoteBibliographyChar"/>
    <w:rsid w:val="00BD65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6594"/>
    <w:rPr>
      <w:rFonts w:ascii="Calibri" w:hAnsi="Calibri" w:cs="Calibri"/>
      <w:noProof/>
    </w:rPr>
  </w:style>
  <w:style w:type="character" w:styleId="UnresolvedMention">
    <w:name w:val="Unresolved Mention"/>
    <w:basedOn w:val="DefaultParagraphFont"/>
    <w:uiPriority w:val="99"/>
    <w:semiHidden/>
    <w:unhideWhenUsed/>
    <w:rsid w:val="00BD6594"/>
    <w:rPr>
      <w:color w:val="605E5C"/>
      <w:shd w:val="clear" w:color="auto" w:fill="E1DFDD"/>
    </w:rPr>
  </w:style>
  <w:style w:type="character" w:styleId="FollowedHyperlink">
    <w:name w:val="FollowedHyperlink"/>
    <w:basedOn w:val="DefaultParagraphFont"/>
    <w:uiPriority w:val="99"/>
    <w:semiHidden/>
    <w:unhideWhenUsed/>
    <w:rsid w:val="004E3A13"/>
    <w:rPr>
      <w:color w:val="954F72" w:themeColor="followedHyperlink"/>
      <w:u w:val="single"/>
    </w:rPr>
  </w:style>
  <w:style w:type="character" w:styleId="PlaceholderText">
    <w:name w:val="Placeholder Text"/>
    <w:basedOn w:val="DefaultParagraphFont"/>
    <w:uiPriority w:val="99"/>
    <w:semiHidden/>
    <w:rsid w:val="00096178"/>
    <w:rPr>
      <w:color w:val="808080"/>
    </w:rPr>
  </w:style>
  <w:style w:type="paragraph" w:styleId="CommentSubject">
    <w:name w:val="annotation subject"/>
    <w:basedOn w:val="CommentText"/>
    <w:next w:val="CommentText"/>
    <w:link w:val="CommentSubjectChar"/>
    <w:uiPriority w:val="99"/>
    <w:semiHidden/>
    <w:unhideWhenUsed/>
    <w:rsid w:val="00864A7A"/>
    <w:rPr>
      <w:b/>
      <w:bCs/>
    </w:rPr>
  </w:style>
  <w:style w:type="character" w:customStyle="1" w:styleId="CommentSubjectChar">
    <w:name w:val="Comment Subject Char"/>
    <w:basedOn w:val="CommentTextChar"/>
    <w:link w:val="CommentSubject"/>
    <w:uiPriority w:val="99"/>
    <w:semiHidden/>
    <w:rsid w:val="00864A7A"/>
    <w:rPr>
      <w:b/>
      <w:bCs/>
      <w:sz w:val="20"/>
      <w:szCs w:val="20"/>
    </w:rPr>
  </w:style>
  <w:style w:type="character" w:customStyle="1" w:styleId="Heading1Char">
    <w:name w:val="Heading 1 Char"/>
    <w:basedOn w:val="DefaultParagraphFont"/>
    <w:link w:val="Heading1"/>
    <w:uiPriority w:val="9"/>
    <w:rsid w:val="00D764E6"/>
    <w:rPr>
      <w:rFonts w:ascii="Times New Roman" w:eastAsia="Times New Roman" w:hAnsi="Times New Roman" w:cs="Times New Roman"/>
      <w:b/>
      <w:bCs/>
      <w:kern w:val="36"/>
      <w:sz w:val="48"/>
      <w:szCs w:val="48"/>
      <w:lang w:eastAsia="en-US"/>
    </w:rPr>
  </w:style>
  <w:style w:type="paragraph" w:customStyle="1" w:styleId="msonormal0">
    <w:name w:val="msonormal"/>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64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4E6"/>
    <w:rPr>
      <w:rFonts w:ascii="Segoe UI" w:hAnsi="Segoe UI" w:cs="Segoe UI"/>
      <w:sz w:val="18"/>
      <w:szCs w:val="18"/>
    </w:rPr>
  </w:style>
  <w:style w:type="paragraph" w:styleId="Revision">
    <w:name w:val="Revision"/>
    <w:uiPriority w:val="99"/>
    <w:semiHidden/>
    <w:rsid w:val="00D764E6"/>
    <w:pPr>
      <w:spacing w:after="0" w:line="240" w:lineRule="auto"/>
    </w:pPr>
  </w:style>
  <w:style w:type="paragraph" w:customStyle="1" w:styleId="ql-indent-1">
    <w:name w:val="ql-indent-1"/>
    <w:basedOn w:val="Normal"/>
    <w:uiPriority w:val="99"/>
    <w:semiHidden/>
    <w:rsid w:val="00D76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uth">
    <w:name w:val="cit-auth"/>
    <w:basedOn w:val="DefaultParagraphFont"/>
    <w:rsid w:val="00D764E6"/>
  </w:style>
  <w:style w:type="character" w:customStyle="1" w:styleId="cit-name-surname">
    <w:name w:val="cit-name-surname"/>
    <w:basedOn w:val="DefaultParagraphFont"/>
    <w:rsid w:val="00D764E6"/>
  </w:style>
  <w:style w:type="character" w:customStyle="1" w:styleId="cit-name-given-names">
    <w:name w:val="cit-name-given-names"/>
    <w:basedOn w:val="DefaultParagraphFont"/>
    <w:rsid w:val="00D764E6"/>
  </w:style>
  <w:style w:type="character" w:customStyle="1" w:styleId="cit-etal">
    <w:name w:val="cit-etal"/>
    <w:basedOn w:val="DefaultParagraphFont"/>
    <w:rsid w:val="00D764E6"/>
  </w:style>
  <w:style w:type="character" w:customStyle="1" w:styleId="cit-article-title">
    <w:name w:val="cit-article-title"/>
    <w:basedOn w:val="DefaultParagraphFont"/>
    <w:rsid w:val="00D764E6"/>
  </w:style>
  <w:style w:type="character" w:customStyle="1" w:styleId="cit-pub-date">
    <w:name w:val="cit-pub-date"/>
    <w:basedOn w:val="DefaultParagraphFont"/>
    <w:rsid w:val="00D764E6"/>
  </w:style>
  <w:style w:type="character" w:customStyle="1" w:styleId="cit-vol">
    <w:name w:val="cit-vol"/>
    <w:basedOn w:val="DefaultParagraphFont"/>
    <w:rsid w:val="00D764E6"/>
  </w:style>
  <w:style w:type="character" w:customStyle="1" w:styleId="cit-fpage">
    <w:name w:val="cit-fpage"/>
    <w:basedOn w:val="DefaultParagraphFont"/>
    <w:rsid w:val="00D764E6"/>
  </w:style>
  <w:style w:type="character" w:customStyle="1" w:styleId="cit-lpage">
    <w:name w:val="cit-lpage"/>
    <w:basedOn w:val="DefaultParagraphFont"/>
    <w:rsid w:val="00D764E6"/>
  </w:style>
  <w:style w:type="character" w:customStyle="1" w:styleId="wi-fullname">
    <w:name w:val="wi-fullname"/>
    <w:basedOn w:val="DefaultParagraphFont"/>
    <w:rsid w:val="00D764E6"/>
  </w:style>
  <w:style w:type="character" w:customStyle="1" w:styleId="al-author-delim">
    <w:name w:val="al-author-delim"/>
    <w:basedOn w:val="DefaultParagraphFont"/>
    <w:rsid w:val="00D764E6"/>
  </w:style>
  <w:style w:type="character" w:customStyle="1" w:styleId="Subtitle1">
    <w:name w:val="Subtitle1"/>
    <w:basedOn w:val="DefaultParagraphFont"/>
    <w:rsid w:val="00D764E6"/>
  </w:style>
  <w:style w:type="table" w:styleId="TableGrid">
    <w:name w:val="Table Grid"/>
    <w:basedOn w:val="TableNormal"/>
    <w:uiPriority w:val="39"/>
    <w:rsid w:val="00D76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2333">
      <w:bodyDiv w:val="1"/>
      <w:marLeft w:val="0"/>
      <w:marRight w:val="0"/>
      <w:marTop w:val="0"/>
      <w:marBottom w:val="0"/>
      <w:divBdr>
        <w:top w:val="none" w:sz="0" w:space="0" w:color="auto"/>
        <w:left w:val="none" w:sz="0" w:space="0" w:color="auto"/>
        <w:bottom w:val="none" w:sz="0" w:space="0" w:color="auto"/>
        <w:right w:val="none" w:sz="0" w:space="0" w:color="auto"/>
      </w:divBdr>
    </w:div>
    <w:div w:id="460268554">
      <w:bodyDiv w:val="1"/>
      <w:marLeft w:val="0"/>
      <w:marRight w:val="0"/>
      <w:marTop w:val="0"/>
      <w:marBottom w:val="0"/>
      <w:divBdr>
        <w:top w:val="none" w:sz="0" w:space="0" w:color="auto"/>
        <w:left w:val="none" w:sz="0" w:space="0" w:color="auto"/>
        <w:bottom w:val="none" w:sz="0" w:space="0" w:color="auto"/>
        <w:right w:val="none" w:sz="0" w:space="0" w:color="auto"/>
      </w:divBdr>
    </w:div>
    <w:div w:id="611127448">
      <w:bodyDiv w:val="1"/>
      <w:marLeft w:val="0"/>
      <w:marRight w:val="0"/>
      <w:marTop w:val="0"/>
      <w:marBottom w:val="0"/>
      <w:divBdr>
        <w:top w:val="none" w:sz="0" w:space="0" w:color="auto"/>
        <w:left w:val="none" w:sz="0" w:space="0" w:color="auto"/>
        <w:bottom w:val="none" w:sz="0" w:space="0" w:color="auto"/>
        <w:right w:val="none" w:sz="0" w:space="0" w:color="auto"/>
      </w:divBdr>
    </w:div>
    <w:div w:id="1059086218">
      <w:bodyDiv w:val="1"/>
      <w:marLeft w:val="0"/>
      <w:marRight w:val="0"/>
      <w:marTop w:val="0"/>
      <w:marBottom w:val="0"/>
      <w:divBdr>
        <w:top w:val="none" w:sz="0" w:space="0" w:color="auto"/>
        <w:left w:val="none" w:sz="0" w:space="0" w:color="auto"/>
        <w:bottom w:val="none" w:sz="0" w:space="0" w:color="auto"/>
        <w:right w:val="none" w:sz="0" w:space="0" w:color="auto"/>
      </w:divBdr>
    </w:div>
    <w:div w:id="1521236592">
      <w:bodyDiv w:val="1"/>
      <w:marLeft w:val="0"/>
      <w:marRight w:val="0"/>
      <w:marTop w:val="0"/>
      <w:marBottom w:val="0"/>
      <w:divBdr>
        <w:top w:val="none" w:sz="0" w:space="0" w:color="auto"/>
        <w:left w:val="none" w:sz="0" w:space="0" w:color="auto"/>
        <w:bottom w:val="none" w:sz="0" w:space="0" w:color="auto"/>
        <w:right w:val="none" w:sz="0" w:space="0" w:color="auto"/>
      </w:divBdr>
    </w:div>
    <w:div w:id="1569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cdc-my.sharepoint.com/personal/wqm5_cdc_gov/Documents/+My_Large_Workspace/2022/01_research/1_Strongy_CostEffective/cost%20comparison_1117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cdc-my.sharepoint.com/personal/wqm5_cdc_gov/Documents/+My_Large_Workspace/2022/01_research/1_Strongy_CostEffective/cost%20comparison_1117202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cdc-my.sharepoint.com/personal/wqm5_cdc_gov/Documents/+My_Large_Workspace/2022/01_research/1_Strongy_CostEffective/cost%20comparison_1117202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cdc-my.sharepoint.com/personal/wqm5_cdc_gov/Documents/+My_Large_Workspace/2022/01_research/1_Strongy_CostEffective/cost%20comparison_1117202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87369510248669E-2"/>
          <c:y val="9.1596037470647165E-2"/>
          <c:w val="0.83882526097950261"/>
          <c:h val="0.81114272007271937"/>
        </c:manualLayout>
      </c:layout>
      <c:barChart>
        <c:barDir val="bar"/>
        <c:grouping val="clustered"/>
        <c:varyColors val="0"/>
        <c:ser>
          <c:idx val="1"/>
          <c:order val="0"/>
          <c:tx>
            <c:strRef>
              <c:f>sensitivityICER_graph_2to1!$C$3</c:f>
              <c:strCache>
                <c:ptCount val="1"/>
                <c:pt idx="0">
                  <c:v>Lowerbound input</c:v>
                </c:pt>
              </c:strCache>
            </c:strRef>
          </c:tx>
          <c:spPr>
            <a:solidFill>
              <a:schemeClr val="bg1">
                <a:lumMod val="95000"/>
              </a:schemeClr>
            </a:solidFill>
            <a:ln>
              <a:solidFill>
                <a:schemeClr val="tx1"/>
              </a:solid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sensitivityICER_graph_2to1!$A$11:$A$16</c:f>
              <c:strCache>
                <c:ptCount val="6"/>
                <c:pt idx="0">
                  <c:v>Ivermectin treatment rate [80%-90%]</c:v>
                </c:pt>
                <c:pt idx="1">
                  <c:v>Sensitivity of strongyloidiasis serologic test 
[87.73%-97.76%]</c:v>
                </c:pt>
                <c:pt idx="2">
                  <c:v>Costs of ivermectin treatment 
[$24.69-$52.67]</c:v>
                </c:pt>
                <c:pt idx="3">
                  <c:v>Specificity of strongyloidiasis serologic test 
[95.5%-99.3%]</c:v>
                </c:pt>
                <c:pt idx="4">
                  <c:v>Costs of the second outpatient visit 
[$19.95-$39]</c:v>
                </c:pt>
                <c:pt idx="5">
                  <c:v>% of those who require the second outpatient visit 
among those with the positive test results [15%-25%]</c:v>
                </c:pt>
              </c:strCache>
            </c:strRef>
          </c:cat>
          <c:val>
            <c:numRef>
              <c:f>sensitivityICER_graph_2to1!$C$11:$C$16</c:f>
              <c:numCache>
                <c:formatCode>"$"#,##0.00</c:formatCode>
                <c:ptCount val="6"/>
                <c:pt idx="0">
                  <c:v>748531.30350177421</c:v>
                </c:pt>
                <c:pt idx="1">
                  <c:v>645835.7493550576</c:v>
                </c:pt>
                <c:pt idx="2">
                  <c:v>495017.67495095183</c:v>
                </c:pt>
                <c:pt idx="3">
                  <c:v>593193.14680815197</c:v>
                </c:pt>
                <c:pt idx="4">
                  <c:v>558822.02606367285</c:v>
                </c:pt>
                <c:pt idx="5">
                  <c:v>563967.0138667752</c:v>
                </c:pt>
              </c:numCache>
            </c:numRef>
          </c:val>
          <c:extLst>
            <c:ext xmlns:c16="http://schemas.microsoft.com/office/drawing/2014/chart" uri="{C3380CC4-5D6E-409C-BE32-E72D297353CC}">
              <c16:uniqueId val="{00000000-D50D-4F3C-98D2-8981A3001785}"/>
            </c:ext>
          </c:extLst>
        </c:ser>
        <c:ser>
          <c:idx val="2"/>
          <c:order val="1"/>
          <c:tx>
            <c:strRef>
              <c:f>sensitivityICER_graph_2to1!$D$3</c:f>
              <c:strCache>
                <c:ptCount val="1"/>
                <c:pt idx="0">
                  <c:v>Upperbound input</c:v>
                </c:pt>
              </c:strCache>
            </c:strRef>
          </c:tx>
          <c:spPr>
            <a:solidFill>
              <a:schemeClr val="accent3"/>
            </a:solidFill>
            <a:ln>
              <a:solidFill>
                <a:schemeClr val="tx1"/>
              </a:solid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sensitivityICER_graph_2to1!$A$11:$A$16</c:f>
              <c:strCache>
                <c:ptCount val="6"/>
                <c:pt idx="0">
                  <c:v>Ivermectin treatment rate [80%-90%]</c:v>
                </c:pt>
                <c:pt idx="1">
                  <c:v>Sensitivity of strongyloidiasis serologic test 
[87.73%-97.76%]</c:v>
                </c:pt>
                <c:pt idx="2">
                  <c:v>Costs of ivermectin treatment 
[$24.69-$52.67]</c:v>
                </c:pt>
                <c:pt idx="3">
                  <c:v>Specificity of strongyloidiasis serologic test 
[95.5%-99.3%]</c:v>
                </c:pt>
                <c:pt idx="4">
                  <c:v>Costs of the second outpatient visit 
[$19.95-$39]</c:v>
                </c:pt>
                <c:pt idx="5">
                  <c:v>% of those who require the second outpatient visit 
among those with the positive test results [15%-25%]</c:v>
                </c:pt>
              </c:strCache>
            </c:strRef>
          </c:cat>
          <c:val>
            <c:numRef>
              <c:f>sensitivityICER_graph_2to1!$D$11:$D$16</c:f>
              <c:numCache>
                <c:formatCode>"$"#,##0.00</c:formatCode>
                <c:ptCount val="6"/>
                <c:pt idx="0">
                  <c:v>432394.27863918175</c:v>
                </c:pt>
                <c:pt idx="1">
                  <c:v>506858.89267731557</c:v>
                </c:pt>
                <c:pt idx="2">
                  <c:v>631469.57896118902</c:v>
                </c:pt>
                <c:pt idx="3">
                  <c:v>552606.09923696017</c:v>
                </c:pt>
                <c:pt idx="4">
                  <c:v>579434.48904734955</c:v>
                </c:pt>
                <c:pt idx="5">
                  <c:v>581832.23217833717</c:v>
                </c:pt>
              </c:numCache>
            </c:numRef>
          </c:val>
          <c:extLst>
            <c:ext xmlns:c16="http://schemas.microsoft.com/office/drawing/2014/chart" uri="{C3380CC4-5D6E-409C-BE32-E72D297353CC}">
              <c16:uniqueId val="{00000001-D50D-4F3C-98D2-8981A3001785}"/>
            </c:ext>
          </c:extLst>
        </c:ser>
        <c:dLbls>
          <c:showLegendKey val="0"/>
          <c:showVal val="0"/>
          <c:showCatName val="0"/>
          <c:showSerName val="0"/>
          <c:showPercent val="0"/>
          <c:showBubbleSize val="0"/>
        </c:dLbls>
        <c:gapWidth val="150"/>
        <c:overlap val="100"/>
        <c:axId val="270582784"/>
        <c:axId val="270576128"/>
      </c:barChart>
      <c:catAx>
        <c:axId val="270582784"/>
        <c:scaling>
          <c:orientation val="maxMin"/>
        </c:scaling>
        <c:delete val="0"/>
        <c:axPos val="l"/>
        <c:numFmt formatCode="General" sourceLinked="1"/>
        <c:majorTickMark val="none"/>
        <c:minorTickMark val="none"/>
        <c:tickLblPos val="none"/>
        <c:spPr>
          <a:noFill/>
          <a:ln w="9525" cap="flat" cmpd="sng" algn="ctr">
            <a:solidFill>
              <a:schemeClr val="tx1">
                <a:alpha val="91000"/>
              </a:schemeClr>
            </a:solidFill>
            <a:round/>
          </a:ln>
          <a:effectLst/>
        </c:spPr>
        <c:txPr>
          <a:bodyPr rot="0" spcFirstLastPara="1" vertOverflow="ellipsis" wrap="square" anchor="b" anchorCtr="0"/>
          <a:lstStyle/>
          <a:p>
            <a:pPr>
              <a:defRPr sz="900" b="0" i="0" u="none" strike="noStrike" kern="1200" baseline="0">
                <a:solidFill>
                  <a:sysClr val="windowText" lastClr="000000"/>
                </a:solidFill>
                <a:latin typeface="+mn-lt"/>
                <a:ea typeface="+mn-ea"/>
                <a:cs typeface="+mn-cs"/>
              </a:defRPr>
            </a:pPr>
            <a:endParaRPr lang="en-US"/>
          </a:p>
        </c:txPr>
        <c:crossAx val="270576128"/>
        <c:crossesAt val="572890"/>
        <c:auto val="1"/>
        <c:lblAlgn val="ctr"/>
        <c:lblOffset val="100"/>
        <c:noMultiLvlLbl val="0"/>
      </c:catAx>
      <c:valAx>
        <c:axId val="270576128"/>
        <c:scaling>
          <c:orientation val="minMax"/>
          <c:min val="350000"/>
        </c:scaling>
        <c:delete val="0"/>
        <c:axPos val="t"/>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82784"/>
        <c:crosses val="autoZero"/>
        <c:crossBetween val="between"/>
        <c:majorUnit val="15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nchor="t" anchorCtr="0"/>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983210625353967"/>
          <c:y val="7.9651006296118695E-2"/>
          <c:w val="0.60997825385635596"/>
          <c:h val="0.81352646956866248"/>
        </c:manualLayout>
      </c:layout>
      <c:barChart>
        <c:barDir val="bar"/>
        <c:grouping val="clustered"/>
        <c:varyColors val="0"/>
        <c:ser>
          <c:idx val="1"/>
          <c:order val="0"/>
          <c:tx>
            <c:strRef>
              <c:f>sensitivityICER_graph_2to1!$C$3</c:f>
              <c:strCache>
                <c:ptCount val="1"/>
                <c:pt idx="0">
                  <c:v>Lowerbound input</c:v>
                </c:pt>
              </c:strCache>
            </c:strRef>
          </c:tx>
          <c:spPr>
            <a:solidFill>
              <a:schemeClr val="bg1">
                <a:lumMod val="9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2CF-4377-9D87-485C5372794E}"/>
                </c:ext>
              </c:extLst>
            </c:dLbl>
            <c:dLbl>
              <c:idx val="7"/>
              <c:delete val="1"/>
              <c:extLst>
                <c:ext xmlns:c15="http://schemas.microsoft.com/office/drawing/2012/chart" uri="{CE6537A1-D6FC-4f65-9D91-7224C49458BB}"/>
                <c:ext xmlns:c16="http://schemas.microsoft.com/office/drawing/2014/chart" uri="{C3380CC4-5D6E-409C-BE32-E72D297353CC}">
                  <c16:uniqueId val="{00000001-42CF-4377-9D87-485C5372794E}"/>
                </c:ext>
              </c:extLst>
            </c:dLbl>
            <c:dLbl>
              <c:idx val="8"/>
              <c:delete val="1"/>
              <c:extLst>
                <c:ext xmlns:c15="http://schemas.microsoft.com/office/drawing/2012/chart" uri="{CE6537A1-D6FC-4f65-9D91-7224C49458BB}"/>
                <c:ext xmlns:c16="http://schemas.microsoft.com/office/drawing/2014/chart" uri="{C3380CC4-5D6E-409C-BE32-E72D297353CC}">
                  <c16:uniqueId val="{00000002-42CF-4377-9D87-485C5372794E}"/>
                </c:ext>
              </c:extLst>
            </c:dLbl>
            <c:dLbl>
              <c:idx val="9"/>
              <c:delete val="1"/>
              <c:extLst>
                <c:ext xmlns:c15="http://schemas.microsoft.com/office/drawing/2012/chart" uri="{CE6537A1-D6FC-4f65-9D91-7224C49458BB}"/>
                <c:ext xmlns:c16="http://schemas.microsoft.com/office/drawing/2014/chart" uri="{C3380CC4-5D6E-409C-BE32-E72D297353CC}">
                  <c16:uniqueId val="{00000003-42CF-4377-9D87-485C5372794E}"/>
                </c:ext>
              </c:extLst>
            </c:dLbl>
            <c:dLbl>
              <c:idx val="10"/>
              <c:delete val="1"/>
              <c:extLst>
                <c:ext xmlns:c15="http://schemas.microsoft.com/office/drawing/2012/chart" uri="{CE6537A1-D6FC-4f65-9D91-7224C49458BB}"/>
                <c:ext xmlns:c16="http://schemas.microsoft.com/office/drawing/2014/chart" uri="{C3380CC4-5D6E-409C-BE32-E72D297353CC}">
                  <c16:uniqueId val="{00000004-42CF-4377-9D87-485C5372794E}"/>
                </c:ext>
              </c:extLst>
            </c:dLbl>
            <c:dLbl>
              <c:idx val="11"/>
              <c:delete val="1"/>
              <c:extLst>
                <c:ext xmlns:c15="http://schemas.microsoft.com/office/drawing/2012/chart" uri="{CE6537A1-D6FC-4f65-9D91-7224C49458BB}"/>
                <c:ext xmlns:c16="http://schemas.microsoft.com/office/drawing/2014/chart" uri="{C3380CC4-5D6E-409C-BE32-E72D297353CC}">
                  <c16:uniqueId val="{00000005-42CF-4377-9D87-485C5372794E}"/>
                </c:ext>
              </c:extLst>
            </c:dLbl>
            <c:dLbl>
              <c:idx val="12"/>
              <c:delete val="1"/>
              <c:extLst>
                <c:ext xmlns:c15="http://schemas.microsoft.com/office/drawing/2012/chart" uri="{CE6537A1-D6FC-4f65-9D91-7224C49458BB}"/>
                <c:ext xmlns:c16="http://schemas.microsoft.com/office/drawing/2014/chart" uri="{C3380CC4-5D6E-409C-BE32-E72D297353CC}">
                  <c16:uniqueId val="{00000006-42CF-4377-9D87-485C5372794E}"/>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sensitivityICER_graph_2to1!$A$4:$A$16</c:f>
              <c:strCache>
                <c:ptCount val="13"/>
                <c:pt idx="0">
                  <c:v>Hospitalization rate [0.01%-2%]</c:v>
                </c:pt>
                <c:pt idx="1">
                  <c:v>Prevalence of strongyloidiasis [4.1%-32%]</c:v>
                </c:pt>
                <c:pt idx="2">
                  <c:v>Costs of inpatient visit [$20,569-$288,388]</c:v>
                </c:pt>
                <c:pt idx="3">
                  <c:v>Additional costs of an initial outpatient visit 
[$0-$40.25]</c:v>
                </c:pt>
                <c:pt idx="4">
                  <c:v>Case fatality rate among hospitalized
patients [8.5%-64.25%]</c:v>
                </c:pt>
                <c:pt idx="5">
                  <c:v>Costs for serologic test [$10.89-$35]</c:v>
                </c:pt>
                <c:pt idx="6">
                  <c:v>Drug efficacy of ivermectin  [72%-98%]</c:v>
                </c:pt>
                <c:pt idx="7">
                  <c:v>Ivermectin treatment rate [80%-90%]</c:v>
                </c:pt>
                <c:pt idx="8">
                  <c:v>Sensitivity of strongyloidiasis serologic test 
[87.73%-97.76%]</c:v>
                </c:pt>
                <c:pt idx="9">
                  <c:v>Costs of ivermectin treatment 
[$24.69-$52.67]</c:v>
                </c:pt>
                <c:pt idx="10">
                  <c:v>Specificity of strongyloidiasis serologic test 
[95.5%-99.3%]</c:v>
                </c:pt>
                <c:pt idx="11">
                  <c:v>Costs of the second outpatient visit 
[$19.95-$39]</c:v>
                </c:pt>
                <c:pt idx="12">
                  <c:v>% of those who require the second outpatient visit 
among those with the positive test results [15%-25%]</c:v>
                </c:pt>
              </c:strCache>
            </c:strRef>
          </c:cat>
          <c:val>
            <c:numRef>
              <c:f>sensitivityICER_graph_2to1!$C$4:$C$16</c:f>
              <c:numCache>
                <c:formatCode>"$"#,##0.00</c:formatCode>
                <c:ptCount val="13"/>
                <c:pt idx="0">
                  <c:v>25561984.537933853</c:v>
                </c:pt>
                <c:pt idx="1">
                  <c:v>5089560.7255364424</c:v>
                </c:pt>
                <c:pt idx="2">
                  <c:v>1480175.0721243524</c:v>
                </c:pt>
                <c:pt idx="3">
                  <c:v>-25188.608997806572</c:v>
                </c:pt>
                <c:pt idx="4">
                  <c:v>1125579.2593501986</c:v>
                </c:pt>
                <c:pt idx="5">
                  <c:v>127323.89016738594</c:v>
                </c:pt>
                <c:pt idx="6">
                  <c:v>840123.41248839151</c:v>
                </c:pt>
                <c:pt idx="7">
                  <c:v>748531.30350177421</c:v>
                </c:pt>
                <c:pt idx="8">
                  <c:v>645835.7493550576</c:v>
                </c:pt>
                <c:pt idx="9">
                  <c:v>495017.67495095183</c:v>
                </c:pt>
                <c:pt idx="10">
                  <c:v>593193.14680815197</c:v>
                </c:pt>
                <c:pt idx="11">
                  <c:v>558822.02606367285</c:v>
                </c:pt>
                <c:pt idx="12">
                  <c:v>563967.0138667752</c:v>
                </c:pt>
              </c:numCache>
            </c:numRef>
          </c:val>
          <c:extLst>
            <c:ext xmlns:c16="http://schemas.microsoft.com/office/drawing/2014/chart" uri="{C3380CC4-5D6E-409C-BE32-E72D297353CC}">
              <c16:uniqueId val="{00000007-42CF-4377-9D87-485C5372794E}"/>
            </c:ext>
          </c:extLst>
        </c:ser>
        <c:ser>
          <c:idx val="2"/>
          <c:order val="1"/>
          <c:tx>
            <c:strRef>
              <c:f>sensitivityICER_graph_2to1!$D$3</c:f>
              <c:strCache>
                <c:ptCount val="1"/>
                <c:pt idx="0">
                  <c:v>Upperbound input</c:v>
                </c:pt>
              </c:strCache>
            </c:strRef>
          </c:tx>
          <c:spPr>
            <a:solidFill>
              <a:schemeClr val="accent3"/>
            </a:solidFill>
            <a:ln>
              <a:solidFill>
                <a:schemeClr val="tx1"/>
              </a:solid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8-42CF-4377-9D87-485C5372794E}"/>
                </c:ext>
              </c:extLst>
            </c:dLbl>
            <c:dLbl>
              <c:idx val="8"/>
              <c:delete val="1"/>
              <c:extLst>
                <c:ext xmlns:c15="http://schemas.microsoft.com/office/drawing/2012/chart" uri="{CE6537A1-D6FC-4f65-9D91-7224C49458BB}"/>
                <c:ext xmlns:c16="http://schemas.microsoft.com/office/drawing/2014/chart" uri="{C3380CC4-5D6E-409C-BE32-E72D297353CC}">
                  <c16:uniqueId val="{00000009-42CF-4377-9D87-485C5372794E}"/>
                </c:ext>
              </c:extLst>
            </c:dLbl>
            <c:dLbl>
              <c:idx val="9"/>
              <c:delete val="1"/>
              <c:extLst>
                <c:ext xmlns:c15="http://schemas.microsoft.com/office/drawing/2012/chart" uri="{CE6537A1-D6FC-4f65-9D91-7224C49458BB}"/>
                <c:ext xmlns:c16="http://schemas.microsoft.com/office/drawing/2014/chart" uri="{C3380CC4-5D6E-409C-BE32-E72D297353CC}">
                  <c16:uniqueId val="{0000000A-42CF-4377-9D87-485C5372794E}"/>
                </c:ext>
              </c:extLst>
            </c:dLbl>
            <c:dLbl>
              <c:idx val="10"/>
              <c:delete val="1"/>
              <c:extLst>
                <c:ext xmlns:c15="http://schemas.microsoft.com/office/drawing/2012/chart" uri="{CE6537A1-D6FC-4f65-9D91-7224C49458BB}"/>
                <c:ext xmlns:c16="http://schemas.microsoft.com/office/drawing/2014/chart" uri="{C3380CC4-5D6E-409C-BE32-E72D297353CC}">
                  <c16:uniqueId val="{0000000B-42CF-4377-9D87-485C5372794E}"/>
                </c:ext>
              </c:extLst>
            </c:dLbl>
            <c:dLbl>
              <c:idx val="11"/>
              <c:delete val="1"/>
              <c:extLst>
                <c:ext xmlns:c15="http://schemas.microsoft.com/office/drawing/2012/chart" uri="{CE6537A1-D6FC-4f65-9D91-7224C49458BB}"/>
                <c:ext xmlns:c16="http://schemas.microsoft.com/office/drawing/2014/chart" uri="{C3380CC4-5D6E-409C-BE32-E72D297353CC}">
                  <c16:uniqueId val="{0000000C-42CF-4377-9D87-485C5372794E}"/>
                </c:ext>
              </c:extLst>
            </c:dLbl>
            <c:dLbl>
              <c:idx val="12"/>
              <c:delete val="1"/>
              <c:extLst>
                <c:ext xmlns:c15="http://schemas.microsoft.com/office/drawing/2012/chart" uri="{CE6537A1-D6FC-4f65-9D91-7224C49458BB}"/>
                <c:ext xmlns:c16="http://schemas.microsoft.com/office/drawing/2014/chart" uri="{C3380CC4-5D6E-409C-BE32-E72D297353CC}">
                  <c16:uniqueId val="{0000000D-42CF-4377-9D87-485C5372794E}"/>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sensitivityICER_graph_2to1!$A$4:$A$16</c:f>
              <c:strCache>
                <c:ptCount val="13"/>
                <c:pt idx="0">
                  <c:v>Hospitalization rate [0.01%-2%]</c:v>
                </c:pt>
                <c:pt idx="1">
                  <c:v>Prevalence of strongyloidiasis [4.1%-32%]</c:v>
                </c:pt>
                <c:pt idx="2">
                  <c:v>Costs of inpatient visit [$20,569-$288,388]</c:v>
                </c:pt>
                <c:pt idx="3">
                  <c:v>Additional costs of an initial outpatient visit 
[$0-$40.25]</c:v>
                </c:pt>
                <c:pt idx="4">
                  <c:v>Case fatality rate among hospitalized
patients [8.5%-64.25%]</c:v>
                </c:pt>
                <c:pt idx="5">
                  <c:v>Costs for serologic test [$10.89-$35]</c:v>
                </c:pt>
                <c:pt idx="6">
                  <c:v>Drug efficacy of ivermectin  [72%-98%]</c:v>
                </c:pt>
                <c:pt idx="7">
                  <c:v>Ivermectin treatment rate [80%-90%]</c:v>
                </c:pt>
                <c:pt idx="8">
                  <c:v>Sensitivity of strongyloidiasis serologic test 
[87.73%-97.76%]</c:v>
                </c:pt>
                <c:pt idx="9">
                  <c:v>Costs of ivermectin treatment 
[$24.69-$52.67]</c:v>
                </c:pt>
                <c:pt idx="10">
                  <c:v>Specificity of strongyloidiasis serologic test 
[95.5%-99.3%]</c:v>
                </c:pt>
                <c:pt idx="11">
                  <c:v>Costs of the second outpatient visit 
[$19.95-$39]</c:v>
                </c:pt>
                <c:pt idx="12">
                  <c:v>% of those who require the second outpatient visit 
among those with the positive test results [15%-25%]</c:v>
                </c:pt>
              </c:strCache>
            </c:strRef>
          </c:cat>
          <c:val>
            <c:numRef>
              <c:f>sensitivityICER_graph_2to1!$D$4:$D$16</c:f>
              <c:numCache>
                <c:formatCode>"$"#,##0.00</c:formatCode>
                <c:ptCount val="13"/>
                <c:pt idx="0">
                  <c:v>-897480.9755139238</c:v>
                </c:pt>
                <c:pt idx="1">
                  <c:v>-71558.626618807684</c:v>
                </c:pt>
                <c:pt idx="2">
                  <c:v>-123501.57458223411</c:v>
                </c:pt>
                <c:pt idx="3">
                  <c:v>1178463.9579431729</c:v>
                </c:pt>
                <c:pt idx="4">
                  <c:v>148909.31835761387</c:v>
                </c:pt>
                <c:pt idx="5">
                  <c:v>848319.25386793318</c:v>
                </c:pt>
                <c:pt idx="6">
                  <c:v>343850.66062326886</c:v>
                </c:pt>
                <c:pt idx="7">
                  <c:v>432394.27863918175</c:v>
                </c:pt>
                <c:pt idx="8">
                  <c:v>506858.89267731557</c:v>
                </c:pt>
                <c:pt idx="9">
                  <c:v>631469.57896118902</c:v>
                </c:pt>
                <c:pt idx="10">
                  <c:v>552606.09923696017</c:v>
                </c:pt>
                <c:pt idx="11">
                  <c:v>579434.48904734955</c:v>
                </c:pt>
                <c:pt idx="12">
                  <c:v>581832.23217833717</c:v>
                </c:pt>
              </c:numCache>
            </c:numRef>
          </c:val>
          <c:extLst>
            <c:ext xmlns:c16="http://schemas.microsoft.com/office/drawing/2014/chart" uri="{C3380CC4-5D6E-409C-BE32-E72D297353CC}">
              <c16:uniqueId val="{0000000E-42CF-4377-9D87-485C5372794E}"/>
            </c:ext>
          </c:extLst>
        </c:ser>
        <c:dLbls>
          <c:showLegendKey val="0"/>
          <c:showVal val="0"/>
          <c:showCatName val="0"/>
          <c:showSerName val="0"/>
          <c:showPercent val="0"/>
          <c:showBubbleSize val="0"/>
        </c:dLbls>
        <c:gapWidth val="150"/>
        <c:overlap val="100"/>
        <c:axId val="270582784"/>
        <c:axId val="270576128"/>
      </c:barChart>
      <c:catAx>
        <c:axId val="270582784"/>
        <c:scaling>
          <c:orientation val="maxMin"/>
        </c:scaling>
        <c:delete val="0"/>
        <c:axPos val="l"/>
        <c:numFmt formatCode="General" sourceLinked="1"/>
        <c:majorTickMark val="none"/>
        <c:minorTickMark val="none"/>
        <c:tickLblPos val="low"/>
        <c:spPr>
          <a:noFill/>
          <a:ln w="9525" cap="flat" cmpd="sng" algn="ctr">
            <a:solidFill>
              <a:schemeClr val="tx1">
                <a:alpha val="91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76128"/>
        <c:crossesAt val="572890"/>
        <c:auto val="1"/>
        <c:lblAlgn val="ctr"/>
        <c:lblOffset val="100"/>
        <c:noMultiLvlLbl val="0"/>
      </c:catAx>
      <c:valAx>
        <c:axId val="270576128"/>
        <c:scaling>
          <c:orientation val="minMax"/>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Incremental cost effectiveness</a:t>
                </a:r>
                <a:r>
                  <a:rPr lang="en-US" baseline="0"/>
                  <a:t> ratio (ICER, 2019 US $/death averted)</a:t>
                </a:r>
                <a:endParaRPr lang="en-US"/>
              </a:p>
            </c:rich>
          </c:tx>
          <c:layout>
            <c:manualLayout>
              <c:xMode val="edge"/>
              <c:yMode val="edge"/>
              <c:x val="0.47691607042270401"/>
              <c:y val="0.9440853927912475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high"/>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82784"/>
        <c:crosses val="autoZero"/>
        <c:crossBetween val="between"/>
      </c:valAx>
      <c:spPr>
        <a:noFill/>
        <a:ln>
          <a:solidFill>
            <a:schemeClr val="tx1"/>
          </a:solidFill>
        </a:ln>
        <a:effectLst/>
      </c:spPr>
    </c:plotArea>
    <c:legend>
      <c:legendPos val="b"/>
      <c:layout>
        <c:manualLayout>
          <c:xMode val="edge"/>
          <c:yMode val="edge"/>
          <c:x val="8.730461774469972E-2"/>
          <c:y val="0.95272394168550711"/>
          <c:w val="0.28554301283418354"/>
          <c:h val="3.86695512062920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19521834712656"/>
          <c:y val="0.12500130966317599"/>
          <c:w val="0.5947632694323105"/>
          <c:h val="0.73552166838873656"/>
        </c:manualLayout>
      </c:layout>
      <c:barChart>
        <c:barDir val="bar"/>
        <c:grouping val="clustered"/>
        <c:varyColors val="0"/>
        <c:ser>
          <c:idx val="1"/>
          <c:order val="0"/>
          <c:tx>
            <c:strRef>
              <c:f>sensitivityICER_graph_3to1!$C$3</c:f>
              <c:strCache>
                <c:ptCount val="1"/>
                <c:pt idx="0">
                  <c:v>Lowerbound input</c:v>
                </c:pt>
              </c:strCache>
            </c:strRef>
          </c:tx>
          <c:spPr>
            <a:solidFill>
              <a:schemeClr val="bg1">
                <a:lumMod val="9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571-4E39-9798-FA289E5E8DC9}"/>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sensitivityICER_graph_3to1!$A$4:$A$11</c:f>
              <c:strCache>
                <c:ptCount val="8"/>
                <c:pt idx="0">
                  <c:v>Hospitalization rate [0.0029%-2%]</c:v>
                </c:pt>
                <c:pt idx="1">
                  <c:v>Prevalence  [4.1%-32%]</c:v>
                </c:pt>
                <c:pt idx="2">
                  <c:v>Costs of inpatient visit [$2,0569-$288,388]</c:v>
                </c:pt>
                <c:pt idx="3">
                  <c:v>Additional costs of an initial outpatient visit [$0-$40.25]</c:v>
                </c:pt>
                <c:pt idx="4">
                  <c:v>Case fatality rate  [8.5%-64.25%]</c:v>
                </c:pt>
                <c:pt idx="5">
                  <c:v>Costs of ivermectin [$24.69-$52.67]</c:v>
                </c:pt>
                <c:pt idx="6">
                  <c:v>Drug efficacy of ivermectin [72%-98%]</c:v>
                </c:pt>
                <c:pt idx="7">
                  <c:v>Ivermectin treatment rate [80%-90%]</c:v>
                </c:pt>
              </c:strCache>
            </c:strRef>
          </c:cat>
          <c:val>
            <c:numRef>
              <c:f>sensitivityICER_graph_3to1!$C$4:$C$11</c:f>
              <c:numCache>
                <c:formatCode>"$"#,##0.00</c:formatCode>
                <c:ptCount val="8"/>
                <c:pt idx="0">
                  <c:v>25562000</c:v>
                </c:pt>
                <c:pt idx="1">
                  <c:v>5561548.5502431383</c:v>
                </c:pt>
                <c:pt idx="2">
                  <c:v>1439096.2557029792</c:v>
                </c:pt>
                <c:pt idx="3">
                  <c:v>-20274.440376814047</c:v>
                </c:pt>
                <c:pt idx="4">
                  <c:v>1044871.4670870299</c:v>
                </c:pt>
                <c:pt idx="5">
                  <c:v>135057.55736044538</c:v>
                </c:pt>
                <c:pt idx="6">
                  <c:v>792198.12666345574</c:v>
                </c:pt>
                <c:pt idx="7">
                  <c:v>600832.71247343253</c:v>
                </c:pt>
              </c:numCache>
            </c:numRef>
          </c:val>
          <c:extLst>
            <c:ext xmlns:c16="http://schemas.microsoft.com/office/drawing/2014/chart" uri="{C3380CC4-5D6E-409C-BE32-E72D297353CC}">
              <c16:uniqueId val="{00000001-5571-4E39-9798-FA289E5E8DC9}"/>
            </c:ext>
          </c:extLst>
        </c:ser>
        <c:ser>
          <c:idx val="2"/>
          <c:order val="1"/>
          <c:tx>
            <c:strRef>
              <c:f>sensitivityICER_graph_3to1!$D$3</c:f>
              <c:strCache>
                <c:ptCount val="1"/>
                <c:pt idx="0">
                  <c:v>Upperbound input</c:v>
                </c:pt>
              </c:strCache>
            </c:strRef>
          </c:tx>
          <c:spPr>
            <a:solidFill>
              <a:schemeClr val="accent3"/>
            </a:solidFill>
            <a:ln>
              <a:solidFill>
                <a:schemeClr val="tx1"/>
              </a:solid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sensitivityICER_graph_3to1!$A$4:$A$11</c:f>
              <c:strCache>
                <c:ptCount val="8"/>
                <c:pt idx="0">
                  <c:v>Hospitalization rate [0.0029%-2%]</c:v>
                </c:pt>
                <c:pt idx="1">
                  <c:v>Prevalence  [4.1%-32%]</c:v>
                </c:pt>
                <c:pt idx="2">
                  <c:v>Costs of inpatient visit [$2,0569-$288,388]</c:v>
                </c:pt>
                <c:pt idx="3">
                  <c:v>Additional costs of an initial outpatient visit [$0-$40.25]</c:v>
                </c:pt>
                <c:pt idx="4">
                  <c:v>Case fatality rate  [8.5%-64.25%]</c:v>
                </c:pt>
                <c:pt idx="5">
                  <c:v>Costs of ivermectin [$24.69-$52.67]</c:v>
                </c:pt>
                <c:pt idx="6">
                  <c:v>Drug efficacy of ivermectin [72%-98%]</c:v>
                </c:pt>
                <c:pt idx="7">
                  <c:v>Ivermectin treatment rate [80%-90%]</c:v>
                </c:pt>
              </c:strCache>
            </c:strRef>
          </c:cat>
          <c:val>
            <c:numRef>
              <c:f>sensitivityICER_graph_3to1!$D$4:$D$11</c:f>
              <c:numCache>
                <c:formatCode>"$"#,##0.00</c:formatCode>
                <c:ptCount val="8"/>
                <c:pt idx="0">
                  <c:v>-900887.56297845638</c:v>
                </c:pt>
                <c:pt idx="1">
                  <c:v>-185844.18182045725</c:v>
                </c:pt>
                <c:pt idx="2">
                  <c:v>-164580.3910036076</c:v>
                </c:pt>
                <c:pt idx="3">
                  <c:v>1090817.2441664047</c:v>
                </c:pt>
                <c:pt idx="4">
                  <c:v>138232.02288310902</c:v>
                </c:pt>
                <c:pt idx="5">
                  <c:v>830200.68283044128</c:v>
                </c:pt>
                <c:pt idx="6">
                  <c:v>308640.2465478059</c:v>
                </c:pt>
                <c:pt idx="7">
                  <c:v>476611.28190338297</c:v>
                </c:pt>
              </c:numCache>
            </c:numRef>
          </c:val>
          <c:extLst>
            <c:ext xmlns:c16="http://schemas.microsoft.com/office/drawing/2014/chart" uri="{C3380CC4-5D6E-409C-BE32-E72D297353CC}">
              <c16:uniqueId val="{00000002-5571-4E39-9798-FA289E5E8DC9}"/>
            </c:ext>
          </c:extLst>
        </c:ser>
        <c:dLbls>
          <c:dLblPos val="outEnd"/>
          <c:showLegendKey val="0"/>
          <c:showVal val="1"/>
          <c:showCatName val="0"/>
          <c:showSerName val="0"/>
          <c:showPercent val="0"/>
          <c:showBubbleSize val="0"/>
        </c:dLbls>
        <c:gapWidth val="150"/>
        <c:overlap val="100"/>
        <c:axId val="270582784"/>
        <c:axId val="270576128"/>
      </c:barChart>
      <c:catAx>
        <c:axId val="270582784"/>
        <c:scaling>
          <c:orientation val="maxMin"/>
        </c:scaling>
        <c:delete val="0"/>
        <c:axPos val="l"/>
        <c:numFmt formatCode="General" sourceLinked="1"/>
        <c:majorTickMark val="none"/>
        <c:minorTickMark val="none"/>
        <c:tickLblPos val="low"/>
        <c:spPr>
          <a:noFill/>
          <a:ln w="9525" cap="flat" cmpd="sng" algn="ctr">
            <a:solidFill>
              <a:schemeClr val="tx1">
                <a:alpha val="91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76128"/>
        <c:crossesAt val="531821"/>
        <c:auto val="1"/>
        <c:lblAlgn val="ctr"/>
        <c:lblOffset val="100"/>
        <c:noMultiLvlLbl val="0"/>
      </c:catAx>
      <c:valAx>
        <c:axId val="270576128"/>
        <c:scaling>
          <c:orientation val="minMax"/>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Incremental cost effectiveness</a:t>
                </a:r>
                <a:r>
                  <a:rPr lang="en-US" baseline="0"/>
                  <a:t> ratio (ICER, </a:t>
                </a:r>
                <a:r>
                  <a:rPr lang="en-US" sz="1000" b="0" i="0" u="none" strike="noStrike" baseline="0">
                    <a:effectLst/>
                  </a:rPr>
                  <a:t>2019 US $/</a:t>
                </a:r>
                <a:r>
                  <a:rPr lang="en-US" baseline="0"/>
                  <a:t>death averted)</a:t>
                </a:r>
                <a:endParaRPr lang="en-US"/>
              </a:p>
            </c:rich>
          </c:tx>
          <c:layout>
            <c:manualLayout>
              <c:xMode val="edge"/>
              <c:yMode val="edge"/>
              <c:x val="0.47848096726425099"/>
              <c:y val="0.9221945107540290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high"/>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82784"/>
        <c:crosses val="autoZero"/>
        <c:crossBetween val="between"/>
      </c:valAx>
      <c:spPr>
        <a:noFill/>
        <a:ln>
          <a:solidFill>
            <a:schemeClr val="tx1"/>
          </a:solidFill>
        </a:ln>
        <a:effectLst/>
      </c:spPr>
    </c:plotArea>
    <c:legend>
      <c:legendPos val="b"/>
      <c:layout>
        <c:manualLayout>
          <c:xMode val="edge"/>
          <c:yMode val="edge"/>
          <c:x val="9.0436896798558486E-2"/>
          <c:y val="0.92337588187806385"/>
          <c:w val="0.28554301283418354"/>
          <c:h val="3.86695512062920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66307267342234"/>
          <c:y val="0.14513892324713776"/>
          <c:w val="0.60722130833365739"/>
          <c:h val="0.71030277803471764"/>
        </c:manualLayout>
      </c:layout>
      <c:barChart>
        <c:barDir val="bar"/>
        <c:grouping val="clustered"/>
        <c:varyColors val="0"/>
        <c:ser>
          <c:idx val="1"/>
          <c:order val="0"/>
          <c:tx>
            <c:strRef>
              <c:f>sensitivityICER_graph_3to2!$C$3</c:f>
              <c:strCache>
                <c:ptCount val="1"/>
                <c:pt idx="0">
                  <c:v>Lowerbound input</c:v>
                </c:pt>
              </c:strCache>
            </c:strRef>
          </c:tx>
          <c:spPr>
            <a:solidFill>
              <a:schemeClr val="bg1">
                <a:lumMod val="9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715-450A-94CA-F200DFEA57B2}"/>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sensitivityICER_graph_3to2!$A$4:$A$15</c:f>
              <c:strCache>
                <c:ptCount val="12"/>
                <c:pt idx="0">
                  <c:v>Hospitalization rate [0.0029%-2%]</c:v>
                </c:pt>
                <c:pt idx="1">
                  <c:v>Prevalence [4.1%-32%]</c:v>
                </c:pt>
                <c:pt idx="2">
                  <c:v>Costs for serologic test [$10.89-$35]</c:v>
                </c:pt>
                <c:pt idx="3">
                  <c:v>Costs of ivermectin [$24.69-$52.67]</c:v>
                </c:pt>
                <c:pt idx="4">
                  <c:v>Ivermectin treatment rate [80%-90%]</c:v>
                </c:pt>
                <c:pt idx="5">
                  <c:v>Costs of inpatient visit [$2,0569-$288,388]</c:v>
                </c:pt>
                <c:pt idx="6">
                  <c:v>Sensitivity of serologic test [87.73%-97.76%]</c:v>
                </c:pt>
                <c:pt idx="7">
                  <c:v>Specificity of  serologic test [95.5%-99.3%]</c:v>
                </c:pt>
                <c:pt idx="8">
                  <c:v>Drug efficacy of ivermectin [72%-98%]</c:v>
                </c:pt>
                <c:pt idx="9">
                  <c:v>The second outpatient visit costs [$19.95-$39]</c:v>
                </c:pt>
                <c:pt idx="10">
                  <c:v>%of those who require the second outpatient visit [15%-25%]</c:v>
                </c:pt>
                <c:pt idx="11">
                  <c:v>Case fatality rate [8.5%-64.25%]</c:v>
                </c:pt>
              </c:strCache>
            </c:strRef>
          </c:cat>
          <c:val>
            <c:numRef>
              <c:f>sensitivityICER_graph_3to2!$C$4:$C$15</c:f>
              <c:numCache>
                <c:formatCode>"$"#,##0.00</c:formatCode>
                <c:ptCount val="12"/>
                <c:pt idx="0">
                  <c:v>22000000</c:v>
                </c:pt>
                <c:pt idx="1">
                  <c:v>11227243.751631316</c:v>
                </c:pt>
                <c:pt idx="2">
                  <c:v>5387361.8151842514</c:v>
                </c:pt>
                <c:pt idx="3">
                  <c:v>-4185868.1194639597</c:v>
                </c:pt>
                <c:pt idx="4">
                  <c:v>-1172126.5772308903</c:v>
                </c:pt>
                <c:pt idx="5">
                  <c:v>945990.20318581618</c:v>
                </c:pt>
                <c:pt idx="6">
                  <c:v>-283381.38800333615</c:v>
                </c:pt>
                <c:pt idx="7">
                  <c:v>-204886.69983644161</c:v>
                </c:pt>
                <c:pt idx="8">
                  <c:v>216907.7320600987</c:v>
                </c:pt>
                <c:pt idx="9">
                  <c:v>207700.83669448993</c:v>
                </c:pt>
                <c:pt idx="10">
                  <c:v>145940.91158338834</c:v>
                </c:pt>
                <c:pt idx="11">
                  <c:v>76063.105082720751</c:v>
                </c:pt>
              </c:numCache>
            </c:numRef>
          </c:val>
          <c:extLst>
            <c:ext xmlns:c16="http://schemas.microsoft.com/office/drawing/2014/chart" uri="{C3380CC4-5D6E-409C-BE32-E72D297353CC}">
              <c16:uniqueId val="{00000001-1715-450A-94CA-F200DFEA57B2}"/>
            </c:ext>
          </c:extLst>
        </c:ser>
        <c:ser>
          <c:idx val="2"/>
          <c:order val="1"/>
          <c:tx>
            <c:strRef>
              <c:f>sensitivityICER_graph_3to2!$D$3</c:f>
              <c:strCache>
                <c:ptCount val="1"/>
                <c:pt idx="0">
                  <c:v>Upperbound input</c:v>
                </c:pt>
              </c:strCache>
            </c:strRef>
          </c:tx>
          <c:spPr>
            <a:solidFill>
              <a:schemeClr val="accent3"/>
            </a:solidFill>
            <a:ln>
              <a:solidFill>
                <a:schemeClr val="tx1"/>
              </a:solid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sensitivityICER_graph_3to2!$A$4:$A$15</c:f>
              <c:strCache>
                <c:ptCount val="12"/>
                <c:pt idx="0">
                  <c:v>Hospitalization rate [0.0029%-2%]</c:v>
                </c:pt>
                <c:pt idx="1">
                  <c:v>Prevalence [4.1%-32%]</c:v>
                </c:pt>
                <c:pt idx="2">
                  <c:v>Costs for serologic test [$10.89-$35]</c:v>
                </c:pt>
                <c:pt idx="3">
                  <c:v>Costs of ivermectin [$24.69-$52.67]</c:v>
                </c:pt>
                <c:pt idx="4">
                  <c:v>Ivermectin treatment rate [80%-90%]</c:v>
                </c:pt>
                <c:pt idx="5">
                  <c:v>Costs of inpatient visit [$2,0569-$288,388]</c:v>
                </c:pt>
                <c:pt idx="6">
                  <c:v>Sensitivity of serologic test [87.73%-97.76%]</c:v>
                </c:pt>
                <c:pt idx="7">
                  <c:v>Specificity of  serologic test [95.5%-99.3%]</c:v>
                </c:pt>
                <c:pt idx="8">
                  <c:v>Drug efficacy of ivermectin [72%-98%]</c:v>
                </c:pt>
                <c:pt idx="9">
                  <c:v>The second outpatient visit costs [$19.95-$39]</c:v>
                </c:pt>
                <c:pt idx="10">
                  <c:v>%of those who require the second outpatient visit [15%-25%]</c:v>
                </c:pt>
                <c:pt idx="11">
                  <c:v>Case fatality rate [8.5%-64.25%]</c:v>
                </c:pt>
              </c:strCache>
            </c:strRef>
          </c:cat>
          <c:val>
            <c:numRef>
              <c:f>sensitivityICER_graph_3to2!$D$4:$D$15</c:f>
              <c:numCache>
                <c:formatCode>"$"#,##0.00</c:formatCode>
                <c:ptCount val="12"/>
                <c:pt idx="0">
                  <c:v>-941779.90223086474</c:v>
                </c:pt>
                <c:pt idx="1">
                  <c:v>-1557716.6916597683</c:v>
                </c:pt>
                <c:pt idx="2">
                  <c:v>-3267395.2749584727</c:v>
                </c:pt>
                <c:pt idx="3">
                  <c:v>3215749.2131517255</c:v>
                </c:pt>
                <c:pt idx="4">
                  <c:v>1007387.8191359445</c:v>
                </c:pt>
                <c:pt idx="5">
                  <c:v>-657686.44352077122</c:v>
                </c:pt>
                <c:pt idx="6">
                  <c:v>1309492.7809045592</c:v>
                </c:pt>
                <c:pt idx="7">
                  <c:v>282316.20800448331</c:v>
                </c:pt>
                <c:pt idx="8">
                  <c:v>-114022.08418119064</c:v>
                </c:pt>
                <c:pt idx="9">
                  <c:v>-39729.131839084934</c:v>
                </c:pt>
                <c:pt idx="10">
                  <c:v>-68511.403415349254</c:v>
                </c:pt>
                <c:pt idx="11">
                  <c:v>10062.823240515583</c:v>
                </c:pt>
              </c:numCache>
            </c:numRef>
          </c:val>
          <c:extLst>
            <c:ext xmlns:c16="http://schemas.microsoft.com/office/drawing/2014/chart" uri="{C3380CC4-5D6E-409C-BE32-E72D297353CC}">
              <c16:uniqueId val="{00000002-1715-450A-94CA-F200DFEA57B2}"/>
            </c:ext>
          </c:extLst>
        </c:ser>
        <c:dLbls>
          <c:dLblPos val="outEnd"/>
          <c:showLegendKey val="0"/>
          <c:showVal val="1"/>
          <c:showCatName val="0"/>
          <c:showSerName val="0"/>
          <c:showPercent val="0"/>
          <c:showBubbleSize val="0"/>
        </c:dLbls>
        <c:gapWidth val="150"/>
        <c:overlap val="100"/>
        <c:axId val="270582784"/>
        <c:axId val="270576128"/>
      </c:barChart>
      <c:catAx>
        <c:axId val="270582784"/>
        <c:scaling>
          <c:orientation val="maxMin"/>
        </c:scaling>
        <c:delete val="0"/>
        <c:axPos val="l"/>
        <c:numFmt formatCode="General" sourceLinked="1"/>
        <c:majorTickMark val="none"/>
        <c:minorTickMark val="none"/>
        <c:tickLblPos val="low"/>
        <c:spPr>
          <a:noFill/>
          <a:ln w="9525" cap="flat" cmpd="sng" algn="ctr">
            <a:solidFill>
              <a:schemeClr val="tx1">
                <a:alpha val="91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76128"/>
        <c:crossesAt val="38714.75"/>
        <c:auto val="1"/>
        <c:lblAlgn val="ctr"/>
        <c:lblOffset val="100"/>
        <c:noMultiLvlLbl val="0"/>
      </c:catAx>
      <c:valAx>
        <c:axId val="270576128"/>
        <c:scaling>
          <c:orientation val="minMax"/>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Incremental cost effectiveness</a:t>
                </a:r>
                <a:r>
                  <a:rPr lang="en-US" baseline="0"/>
                  <a:t> ratio (ICER, 2019 US $/death averted)</a:t>
                </a:r>
                <a:endParaRPr lang="en-US"/>
              </a:p>
            </c:rich>
          </c:tx>
          <c:layout>
            <c:manualLayout>
              <c:xMode val="edge"/>
              <c:yMode val="edge"/>
              <c:x val="0.47691602822607421"/>
              <c:y val="0.914382530282464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high"/>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0582784"/>
        <c:crosses val="autoZero"/>
        <c:crossBetween val="between"/>
      </c:valAx>
      <c:spPr>
        <a:noFill/>
        <a:ln>
          <a:solidFill>
            <a:schemeClr val="tx1"/>
          </a:solidFill>
        </a:ln>
        <a:effectLst/>
      </c:spPr>
    </c:plotArea>
    <c:legend>
      <c:legendPos val="b"/>
      <c:layout>
        <c:manualLayout>
          <c:xMode val="edge"/>
          <c:yMode val="edge"/>
          <c:x val="8.7304642733708387E-2"/>
          <c:y val="0.91642036283744877"/>
          <c:w val="0.28554301283418354"/>
          <c:h val="3.86695512062920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0.79587</cdr:x>
      <cdr:y>0.11318</cdr:y>
    </cdr:from>
    <cdr:to>
      <cdr:x>0.86604</cdr:x>
      <cdr:y>0.14985</cdr:y>
    </cdr:to>
    <cdr:sp macro="" textlink="">
      <cdr:nvSpPr>
        <cdr:cNvPr id="2" name="TextBox 1">
          <a:extLst xmlns:a="http://schemas.openxmlformats.org/drawingml/2006/main">
            <a:ext uri="{FF2B5EF4-FFF2-40B4-BE49-F238E27FC236}">
              <a16:creationId xmlns:a16="http://schemas.microsoft.com/office/drawing/2014/main" id="{CD29F627-A7E8-4540-8058-05910F187BF3}"/>
            </a:ext>
          </a:extLst>
        </cdr:cNvPr>
        <cdr:cNvSpPr txBox="1"/>
      </cdr:nvSpPr>
      <cdr:spPr>
        <a:xfrm xmlns:a="http://schemas.openxmlformats.org/drawingml/2006/main">
          <a:off x="6590501" y="631385"/>
          <a:ext cx="581068" cy="2045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$573</a:t>
          </a:r>
        </a:p>
      </cdr:txBody>
    </cdr:sp>
  </cdr:relSizeAnchor>
</c:userShapes>
</file>

<file path=word/drawings/drawing2.xml><?xml version="1.0" encoding="utf-8"?>
<c:userShapes xmlns:c="http://schemas.openxmlformats.org/drawingml/2006/chart">
  <cdr:relSizeAnchor xmlns:cdr="http://schemas.openxmlformats.org/drawingml/2006/chartDrawing">
    <cdr:from>
      <cdr:x>0.40769</cdr:x>
      <cdr:y>0</cdr:y>
    </cdr:from>
    <cdr:to>
      <cdr:x>0.56802</cdr:x>
      <cdr:y>0.11792</cdr:y>
    </cdr:to>
    <cdr:sp macro="" textlink="">
      <cdr:nvSpPr>
        <cdr:cNvPr id="2" name="TextBox 1">
          <a:extLst xmlns:a="http://schemas.openxmlformats.org/drawingml/2006/main">
            <a:ext uri="{FF2B5EF4-FFF2-40B4-BE49-F238E27FC236}">
              <a16:creationId xmlns:a16="http://schemas.microsoft.com/office/drawing/2014/main" id="{CD29F627-A7E8-4540-8058-05910F187BF3}"/>
            </a:ext>
          </a:extLst>
        </cdr:cNvPr>
        <cdr:cNvSpPr txBox="1"/>
      </cdr:nvSpPr>
      <cdr:spPr>
        <a:xfrm xmlns:a="http://schemas.openxmlformats.org/drawingml/2006/main">
          <a:off x="3401748" y="-1397000"/>
          <a:ext cx="1337777" cy="4537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Baseline=$572,900 per death averted</a:t>
          </a:r>
        </a:p>
      </cdr:txBody>
    </cdr:sp>
  </cdr:relSizeAnchor>
  <cdr:relSizeAnchor xmlns:cdr="http://schemas.openxmlformats.org/drawingml/2006/chartDrawing">
    <cdr:from>
      <cdr:x>0.61001</cdr:x>
      <cdr:y>0.07635</cdr:y>
    </cdr:from>
    <cdr:to>
      <cdr:x>0.61111</cdr:x>
      <cdr:y>0.89274</cdr:y>
    </cdr:to>
    <cdr:cxnSp macro="">
      <cdr:nvCxnSpPr>
        <cdr:cNvPr id="4" name="Straight Connector 3">
          <a:extLst xmlns:a="http://schemas.openxmlformats.org/drawingml/2006/main">
            <a:ext uri="{FF2B5EF4-FFF2-40B4-BE49-F238E27FC236}">
              <a16:creationId xmlns:a16="http://schemas.microsoft.com/office/drawing/2014/main" id="{BC8EC356-DC90-42A5-8375-DABEE2CFA688}"/>
            </a:ext>
          </a:extLst>
        </cdr:cNvPr>
        <cdr:cNvCxnSpPr/>
      </cdr:nvCxnSpPr>
      <cdr:spPr>
        <a:xfrm xmlns:a="http://schemas.openxmlformats.org/drawingml/2006/main">
          <a:off x="5089862" y="293802"/>
          <a:ext cx="9188" cy="3141548"/>
        </a:xfrm>
        <a:prstGeom xmlns:a="http://schemas.openxmlformats.org/drawingml/2006/main" prst="line">
          <a:avLst/>
        </a:prstGeom>
        <a:ln xmlns:a="http://schemas.openxmlformats.org/drawingml/2006/main" w="12700">
          <a:solidFill>
            <a:srgbClr val="FF000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0.56469</cdr:x>
      <cdr:y>0</cdr:y>
    </cdr:from>
    <cdr:to>
      <cdr:x>0.69849</cdr:x>
      <cdr:y>0.10066</cdr:y>
    </cdr:to>
    <cdr:sp macro="" textlink="">
      <cdr:nvSpPr>
        <cdr:cNvPr id="6" name="TextBox 5">
          <a:extLst xmlns:a="http://schemas.openxmlformats.org/drawingml/2006/main">
            <a:ext uri="{FF2B5EF4-FFF2-40B4-BE49-F238E27FC236}">
              <a16:creationId xmlns:a16="http://schemas.microsoft.com/office/drawing/2014/main" id="{09E9FCDF-C47D-41B7-ACEA-D9E34D853274}"/>
            </a:ext>
          </a:extLst>
        </cdr:cNvPr>
        <cdr:cNvSpPr txBox="1"/>
      </cdr:nvSpPr>
      <cdr:spPr>
        <a:xfrm xmlns:a="http://schemas.openxmlformats.org/drawingml/2006/main">
          <a:off x="4711699" y="0"/>
          <a:ext cx="1116431" cy="387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VSL=$10,600,000 per death averted</a:t>
          </a:r>
        </a:p>
      </cdr:txBody>
    </cdr:sp>
  </cdr:relSizeAnchor>
  <cdr:relSizeAnchor xmlns:cdr="http://schemas.openxmlformats.org/drawingml/2006/chartDrawing">
    <cdr:from>
      <cdr:x>0.41302</cdr:x>
      <cdr:y>0.52852</cdr:y>
    </cdr:from>
    <cdr:to>
      <cdr:x>0.47489</cdr:x>
      <cdr:y>0.88284</cdr:y>
    </cdr:to>
    <cdr:sp macro="" textlink="">
      <cdr:nvSpPr>
        <cdr:cNvPr id="5" name="Rectangle 4">
          <a:extLst xmlns:a="http://schemas.openxmlformats.org/drawingml/2006/main">
            <a:ext uri="{FF2B5EF4-FFF2-40B4-BE49-F238E27FC236}">
              <a16:creationId xmlns:a16="http://schemas.microsoft.com/office/drawing/2014/main" id="{BEAE8A27-2A7D-40B4-9DB2-D5A337F3BBCB}"/>
            </a:ext>
          </a:extLst>
        </cdr:cNvPr>
        <cdr:cNvSpPr/>
      </cdr:nvSpPr>
      <cdr:spPr>
        <a:xfrm xmlns:a="http://schemas.openxmlformats.org/drawingml/2006/main">
          <a:off x="3446180" y="2033808"/>
          <a:ext cx="516220" cy="1363442"/>
        </a:xfrm>
        <a:prstGeom xmlns:a="http://schemas.openxmlformats.org/drawingml/2006/main" prst="rect">
          <a:avLst/>
        </a:prstGeom>
        <a:solidFill xmlns:a="http://schemas.openxmlformats.org/drawingml/2006/main">
          <a:schemeClr val="bg2">
            <a:alpha val="30000"/>
          </a:schemeClr>
        </a:solidFill>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0.88112</cdr:x>
      <cdr:y>0.0817</cdr:y>
    </cdr:from>
    <cdr:to>
      <cdr:x>0.97518</cdr:x>
      <cdr:y>0.14289</cdr:y>
    </cdr:to>
    <cdr:sp macro="" textlink="">
      <cdr:nvSpPr>
        <cdr:cNvPr id="3" name="Text Box 2"/>
        <cdr:cNvSpPr txBox="1"/>
      </cdr:nvSpPr>
      <cdr:spPr>
        <a:xfrm xmlns:a="http://schemas.openxmlformats.org/drawingml/2006/main">
          <a:off x="7352006" y="314389"/>
          <a:ext cx="784827" cy="235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90,667,583</a:t>
          </a:r>
        </a:p>
      </cdr:txBody>
    </cdr:sp>
  </cdr:relSizeAnchor>
  <cdr:relSizeAnchor xmlns:cdr="http://schemas.openxmlformats.org/drawingml/2006/chartDrawing">
    <cdr:from>
      <cdr:x>0.74562</cdr:x>
      <cdr:y>0.90131</cdr:y>
    </cdr:from>
    <cdr:to>
      <cdr:x>0.99064</cdr:x>
      <cdr:y>0.94789</cdr:y>
    </cdr:to>
    <cdr:sp macro="" textlink="">
      <cdr:nvSpPr>
        <cdr:cNvPr id="7" name="Text Box 6"/>
        <cdr:cNvSpPr txBox="1"/>
      </cdr:nvSpPr>
      <cdr:spPr>
        <a:xfrm xmlns:a="http://schemas.openxmlformats.org/drawingml/2006/main">
          <a:off x="6221338" y="3468348"/>
          <a:ext cx="2044423" cy="179244"/>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900"/>
            <a:t>                        </a:t>
          </a:r>
          <a:r>
            <a:rPr lang="en-US" sz="900" baseline="0"/>
            <a:t>  </a:t>
          </a:r>
          <a:r>
            <a:rPr lang="en-US" sz="900"/>
            <a:t>90,000,000</a:t>
          </a:r>
        </a:p>
      </cdr:txBody>
    </cdr:sp>
  </cdr:relSizeAnchor>
  <cdr:relSizeAnchor xmlns:cdr="http://schemas.openxmlformats.org/drawingml/2006/chartDrawing">
    <cdr:from>
      <cdr:x>0.77319</cdr:x>
      <cdr:y>0.0857</cdr:y>
    </cdr:from>
    <cdr:to>
      <cdr:x>0.78674</cdr:x>
      <cdr:y>0.14164</cdr:y>
    </cdr:to>
    <cdr:grpSp>
      <cdr:nvGrpSpPr>
        <cdr:cNvPr id="21" name="Group 20"/>
        <cdr:cNvGrpSpPr/>
      </cdr:nvGrpSpPr>
      <cdr:grpSpPr>
        <a:xfrm xmlns:a="http://schemas.openxmlformats.org/drawingml/2006/main">
          <a:off x="6451420" y="329782"/>
          <a:ext cx="113060" cy="215263"/>
          <a:chOff x="5701085" y="1137037"/>
          <a:chExt cx="1216550" cy="938254"/>
        </a:xfrm>
      </cdr:grpSpPr>
      <cdr:sp macro="" textlink="">
        <cdr:nvSpPr>
          <cdr:cNvPr id="9" name="Parallelogram 8"/>
          <cdr:cNvSpPr/>
        </cdr:nvSpPr>
        <cdr:spPr>
          <a:xfrm xmlns:a="http://schemas.openxmlformats.org/drawingml/2006/main">
            <a:off x="5701085" y="1137037"/>
            <a:ext cx="1216550" cy="938254"/>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cxnSp macro="">
        <cdr:nvCxnSpPr>
          <cdr:cNvPr id="13" name="Straight Connector 12"/>
          <cdr:cNvCxnSpPr/>
        </cdr:nvCxnSpPr>
        <cdr:spPr>
          <a:xfrm xmlns:a="http://schemas.openxmlformats.org/drawingml/2006/main" flipH="1">
            <a:off x="6353092" y="1144988"/>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20" name="Straight Connector 19"/>
          <cdr:cNvCxnSpPr/>
        </cdr:nvCxnSpPr>
        <cdr:spPr>
          <a:xfrm xmlns:a="http://schemas.openxmlformats.org/drawingml/2006/main" flipH="1">
            <a:off x="5724939" y="1137037"/>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0.78215</cdr:x>
      <cdr:y>0.75621</cdr:y>
    </cdr:from>
    <cdr:to>
      <cdr:x>0.79571</cdr:x>
      <cdr:y>0.81216</cdr:y>
    </cdr:to>
    <cdr:grpSp>
      <cdr:nvGrpSpPr>
        <cdr:cNvPr id="22" name="Group 21"/>
        <cdr:cNvGrpSpPr/>
      </cdr:nvGrpSpPr>
      <cdr:grpSpPr>
        <a:xfrm xmlns:a="http://schemas.openxmlformats.org/drawingml/2006/main">
          <a:off x="6526167" y="2909982"/>
          <a:ext cx="113143" cy="215301"/>
          <a:chOff x="5701085" y="1137037"/>
          <a:chExt cx="1216550" cy="938254"/>
        </a:xfrm>
      </cdr:grpSpPr>
      <cdr:sp macro="" textlink="">
        <cdr:nvSpPr>
          <cdr:cNvPr id="23" name="Parallelogram 22"/>
          <cdr:cNvSpPr/>
        </cdr:nvSpPr>
        <cdr:spPr>
          <a:xfrm xmlns:a="http://schemas.openxmlformats.org/drawingml/2006/main">
            <a:off x="5701085" y="1137037"/>
            <a:ext cx="1216550" cy="938254"/>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cxnSp macro="">
        <cdr:nvCxnSpPr>
          <cdr:cNvPr id="24" name="Straight Connector 23"/>
          <cdr:cNvCxnSpPr/>
        </cdr:nvCxnSpPr>
        <cdr:spPr>
          <a:xfrm xmlns:a="http://schemas.openxmlformats.org/drawingml/2006/main" flipH="1">
            <a:off x="6353092" y="1144988"/>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25" name="Straight Connector 24"/>
          <cdr:cNvCxnSpPr/>
        </cdr:nvCxnSpPr>
        <cdr:spPr>
          <a:xfrm xmlns:a="http://schemas.openxmlformats.org/drawingml/2006/main" flipH="1">
            <a:off x="5724939" y="1137037"/>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0.01082</cdr:x>
      <cdr:y>0.08642</cdr:y>
    </cdr:from>
    <cdr:to>
      <cdr:x>0.34918</cdr:x>
      <cdr:y>0.90099</cdr:y>
    </cdr:to>
    <cdr:sp macro="" textlink="">
      <cdr:nvSpPr>
        <cdr:cNvPr id="16" name="TextBox 12">
          <a:extLst xmlns:a="http://schemas.openxmlformats.org/drawingml/2006/main">
            <a:ext uri="{FF2B5EF4-FFF2-40B4-BE49-F238E27FC236}">
              <a16:creationId xmlns:a16="http://schemas.microsoft.com/office/drawing/2014/main" id="{E5DCD45B-7D25-4995-935B-D0F877A456EF}"/>
            </a:ext>
          </a:extLst>
        </cdr:cNvPr>
        <cdr:cNvSpPr txBox="1"/>
      </cdr:nvSpPr>
      <cdr:spPr>
        <a:xfrm xmlns:a="http://schemas.openxmlformats.org/drawingml/2006/main">
          <a:off x="90281" y="332548"/>
          <a:ext cx="2823242" cy="313455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US" sz="900"/>
            <a:t>Hospitalization rate [0.0029%-2%]</a:t>
          </a:r>
        </a:p>
        <a:p xmlns:a="http://schemas.openxmlformats.org/drawingml/2006/main">
          <a:pPr algn="r"/>
          <a:endParaRPr lang="en-US" sz="600"/>
        </a:p>
        <a:p xmlns:a="http://schemas.openxmlformats.org/drawingml/2006/main">
          <a:pPr algn="r"/>
          <a:r>
            <a:rPr lang="en-US" sz="900"/>
            <a:t>Pre-intervention</a:t>
          </a:r>
          <a:r>
            <a:rPr lang="en-US" sz="900" baseline="0"/>
            <a:t> p</a:t>
          </a:r>
          <a:r>
            <a:rPr lang="en-US" sz="900"/>
            <a:t>revalence [4.1%-32%]</a:t>
          </a:r>
        </a:p>
        <a:p xmlns:a="http://schemas.openxmlformats.org/drawingml/2006/main">
          <a:pPr algn="r"/>
          <a:endParaRPr lang="en-US" sz="700"/>
        </a:p>
        <a:p xmlns:a="http://schemas.openxmlformats.org/drawingml/2006/main">
          <a:pPr algn="r"/>
          <a:r>
            <a:rPr lang="en-US" sz="900"/>
            <a:t>Costs of inpatient visit [$20,569-$288,388]</a:t>
          </a:r>
        </a:p>
        <a:p xmlns:a="http://schemas.openxmlformats.org/drawingml/2006/main">
          <a:pPr algn="r"/>
          <a:endParaRPr lang="en-US" sz="600"/>
        </a:p>
        <a:p xmlns:a="http://schemas.openxmlformats.org/drawingml/2006/main">
          <a:pPr algn="r"/>
          <a:r>
            <a:rPr lang="en-US" sz="900"/>
            <a:t>Additional costs of an initial outpatient visit [$0-$40.25]</a:t>
          </a:r>
        </a:p>
        <a:p xmlns:a="http://schemas.openxmlformats.org/drawingml/2006/main">
          <a:pPr algn="r"/>
          <a:endParaRPr lang="en-US" sz="600"/>
        </a:p>
        <a:p xmlns:a="http://schemas.openxmlformats.org/drawingml/2006/main">
          <a:pPr algn="r"/>
          <a:r>
            <a:rPr lang="en-US" sz="900"/>
            <a:t>Case fatality rate</a:t>
          </a:r>
          <a:r>
            <a:rPr lang="en-US" sz="900" baseline="0"/>
            <a:t> </a:t>
          </a:r>
          <a:r>
            <a:rPr lang="en-US" sz="900"/>
            <a:t>[8.5%-64.25%]</a:t>
          </a:r>
        </a:p>
        <a:p xmlns:a="http://schemas.openxmlformats.org/drawingml/2006/main">
          <a:pPr algn="r"/>
          <a:endParaRPr lang="en-US" sz="800"/>
        </a:p>
        <a:p xmlns:a="http://schemas.openxmlformats.org/drawingml/2006/main">
          <a:pPr algn="r"/>
          <a:r>
            <a:rPr lang="en-US" sz="900"/>
            <a:t>Costs for serologic test [$10.89-$35]</a:t>
          </a:r>
        </a:p>
        <a:p xmlns:a="http://schemas.openxmlformats.org/drawingml/2006/main">
          <a:pPr algn="r"/>
          <a:endParaRPr lang="en-US" sz="600"/>
        </a:p>
        <a:p xmlns:a="http://schemas.openxmlformats.org/drawingml/2006/main">
          <a:pPr algn="r"/>
          <a:r>
            <a:rPr lang="en-US" sz="900"/>
            <a:t>Drug efficacy of ivermectin  [72%-98%]</a:t>
          </a:r>
        </a:p>
        <a:p xmlns:a="http://schemas.openxmlformats.org/drawingml/2006/main">
          <a:pPr algn="r"/>
          <a:endParaRPr lang="en-US" sz="600"/>
        </a:p>
        <a:p xmlns:a="http://schemas.openxmlformats.org/drawingml/2006/main">
          <a:pPr algn="r"/>
          <a:r>
            <a:rPr lang="en-US" sz="900"/>
            <a:t>Ivermectin treatment rate [80%-90%]</a:t>
          </a:r>
        </a:p>
        <a:p xmlns:a="http://schemas.openxmlformats.org/drawingml/2006/main">
          <a:pPr algn="r"/>
          <a:endParaRPr lang="en-US" sz="700"/>
        </a:p>
        <a:p xmlns:a="http://schemas.openxmlformats.org/drawingml/2006/main">
          <a:pPr algn="r"/>
          <a:r>
            <a:rPr lang="en-US" sz="900"/>
            <a:t>Sensitivity of serologic test [87.73%-97.76%]</a:t>
          </a:r>
        </a:p>
        <a:p xmlns:a="http://schemas.openxmlformats.org/drawingml/2006/main">
          <a:pPr algn="r"/>
          <a:endParaRPr lang="en-US" sz="700"/>
        </a:p>
        <a:p xmlns:a="http://schemas.openxmlformats.org/drawingml/2006/main">
          <a:pPr algn="r"/>
          <a:r>
            <a:rPr lang="en-US" sz="900"/>
            <a:t>Costs of ivermectin  [$24.69-$52.67]</a:t>
          </a:r>
        </a:p>
        <a:p xmlns:a="http://schemas.openxmlformats.org/drawingml/2006/main">
          <a:pPr algn="r"/>
          <a:endParaRPr lang="en-US" sz="600"/>
        </a:p>
        <a:p xmlns:a="http://schemas.openxmlformats.org/drawingml/2006/main">
          <a:pPr algn="r"/>
          <a:r>
            <a:rPr lang="en-US" sz="900"/>
            <a:t>Specificity of serologic test [95.5%-99.3%]</a:t>
          </a:r>
        </a:p>
        <a:p xmlns:a="http://schemas.openxmlformats.org/drawingml/2006/main">
          <a:pPr algn="r"/>
          <a:endParaRPr lang="en-US" sz="600"/>
        </a:p>
        <a:p xmlns:a="http://schemas.openxmlformats.org/drawingml/2006/main">
          <a:pPr algn="r"/>
          <a:r>
            <a:rPr lang="en-US" sz="900"/>
            <a:t>The second outpatient visit costs [$19.95-$39]</a:t>
          </a:r>
        </a:p>
        <a:p xmlns:a="http://schemas.openxmlformats.org/drawingml/2006/main">
          <a:pPr algn="r"/>
          <a:endParaRPr lang="en-US" sz="600"/>
        </a:p>
        <a:p xmlns:a="http://schemas.openxmlformats.org/drawingml/2006/main">
          <a:pPr algn="r"/>
          <a:r>
            <a:rPr lang="en-US" sz="900"/>
            <a:t>% of those requiring the second visit [15%-25%]</a:t>
          </a:r>
        </a:p>
      </cdr:txBody>
    </cdr:sp>
  </cdr:relSizeAnchor>
  <cdr:relSizeAnchor xmlns:cdr="http://schemas.openxmlformats.org/drawingml/2006/chartDrawing">
    <cdr:from>
      <cdr:x>0.43379</cdr:x>
      <cdr:y>0.07776</cdr:y>
    </cdr:from>
    <cdr:to>
      <cdr:x>0.43754</cdr:x>
      <cdr:y>0.88944</cdr:y>
    </cdr:to>
    <cdr:cxnSp macro="">
      <cdr:nvCxnSpPr>
        <cdr:cNvPr id="18" name="Straight Connector 17"/>
        <cdr:cNvCxnSpPr/>
      </cdr:nvCxnSpPr>
      <cdr:spPr>
        <a:xfrm xmlns:a="http://schemas.openxmlformats.org/drawingml/2006/main" flipH="1">
          <a:off x="3619500" y="299228"/>
          <a:ext cx="31290" cy="3123422"/>
        </a:xfrm>
        <a:prstGeom xmlns:a="http://schemas.openxmlformats.org/drawingml/2006/main" prst="line">
          <a:avLst/>
        </a:prstGeom>
        <a:ln xmlns:a="http://schemas.openxmlformats.org/drawingml/2006/main" w="12700">
          <a:solidFill>
            <a:srgbClr val="00B05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0.34687</cdr:x>
      <cdr:y>0.10629</cdr:y>
    </cdr:from>
    <cdr:to>
      <cdr:x>0.43387</cdr:x>
      <cdr:y>0.14831</cdr:y>
    </cdr:to>
    <cdr:sp macro="" textlink="">
      <cdr:nvSpPr>
        <cdr:cNvPr id="19" name="Text Box 18"/>
        <cdr:cNvSpPr txBox="1"/>
      </cdr:nvSpPr>
      <cdr:spPr>
        <a:xfrm xmlns:a="http://schemas.openxmlformats.org/drawingml/2006/main">
          <a:off x="2847974" y="477865"/>
          <a:ext cx="714376" cy="188885"/>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800" baseline="0"/>
            <a:t>(</a:t>
          </a:r>
          <a:r>
            <a:rPr lang="en-US" sz="800"/>
            <a:t>Dominant)</a:t>
          </a:r>
        </a:p>
      </cdr:txBody>
    </cdr:sp>
  </cdr:relSizeAnchor>
  <cdr:relSizeAnchor xmlns:cdr="http://schemas.openxmlformats.org/drawingml/2006/chartDrawing">
    <cdr:from>
      <cdr:x>0.35963</cdr:x>
      <cdr:y>0.16773</cdr:y>
    </cdr:from>
    <cdr:to>
      <cdr:x>0.44664</cdr:x>
      <cdr:y>0.20975</cdr:y>
    </cdr:to>
    <cdr:sp macro="" textlink="">
      <cdr:nvSpPr>
        <cdr:cNvPr id="26" name="Text Box 25"/>
        <cdr:cNvSpPr txBox="1"/>
      </cdr:nvSpPr>
      <cdr:spPr>
        <a:xfrm xmlns:a="http://schemas.openxmlformats.org/drawingml/2006/main">
          <a:off x="2952749" y="754090"/>
          <a:ext cx="714376" cy="188885"/>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800" baseline="0"/>
            <a:t>(</a:t>
          </a:r>
          <a:r>
            <a:rPr lang="en-US" sz="800"/>
            <a:t>Dominant)</a:t>
          </a:r>
        </a:p>
      </cdr:txBody>
    </cdr:sp>
  </cdr:relSizeAnchor>
  <cdr:relSizeAnchor xmlns:cdr="http://schemas.openxmlformats.org/drawingml/2006/chartDrawing">
    <cdr:from>
      <cdr:x>0.35731</cdr:x>
      <cdr:y>0.22917</cdr:y>
    </cdr:from>
    <cdr:to>
      <cdr:x>0.44432</cdr:x>
      <cdr:y>0.27119</cdr:y>
    </cdr:to>
    <cdr:sp macro="" textlink="">
      <cdr:nvSpPr>
        <cdr:cNvPr id="27" name="Text Box 26"/>
        <cdr:cNvSpPr txBox="1"/>
      </cdr:nvSpPr>
      <cdr:spPr>
        <a:xfrm xmlns:a="http://schemas.openxmlformats.org/drawingml/2006/main">
          <a:off x="2933699" y="1030315"/>
          <a:ext cx="714376" cy="188885"/>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800" baseline="0"/>
            <a:t>(</a:t>
          </a:r>
          <a:r>
            <a:rPr lang="en-US" sz="800"/>
            <a:t>Dominant)</a:t>
          </a:r>
        </a:p>
      </cdr:txBody>
    </cdr:sp>
  </cdr:relSizeAnchor>
  <cdr:relSizeAnchor xmlns:cdr="http://schemas.openxmlformats.org/drawingml/2006/chartDrawing">
    <cdr:from>
      <cdr:x>0.36007</cdr:x>
      <cdr:y>0.29793</cdr:y>
    </cdr:from>
    <cdr:to>
      <cdr:x>0.44708</cdr:x>
      <cdr:y>0.33994</cdr:y>
    </cdr:to>
    <cdr:sp macro="" textlink="">
      <cdr:nvSpPr>
        <cdr:cNvPr id="28" name="Text Box 27"/>
        <cdr:cNvSpPr txBox="1"/>
      </cdr:nvSpPr>
      <cdr:spPr>
        <a:xfrm xmlns:a="http://schemas.openxmlformats.org/drawingml/2006/main">
          <a:off x="3004354" y="1146469"/>
          <a:ext cx="726002" cy="161659"/>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800" baseline="0"/>
            <a:t>(</a:t>
          </a:r>
          <a:r>
            <a:rPr lang="en-US" sz="800"/>
            <a:t>Dominant)</a:t>
          </a:r>
        </a:p>
      </cdr:txBody>
    </cdr:sp>
  </cdr:relSizeAnchor>
  <cdr:relSizeAnchor xmlns:cdr="http://schemas.openxmlformats.org/drawingml/2006/chartDrawing">
    <cdr:from>
      <cdr:x>0.77319</cdr:x>
      <cdr:y>0.86623</cdr:y>
    </cdr:from>
    <cdr:to>
      <cdr:x>0.78674</cdr:x>
      <cdr:y>0.92217</cdr:y>
    </cdr:to>
    <cdr:grpSp>
      <cdr:nvGrpSpPr>
        <cdr:cNvPr id="29" name="Group 28"/>
        <cdr:cNvGrpSpPr/>
      </cdr:nvGrpSpPr>
      <cdr:grpSpPr>
        <a:xfrm xmlns:a="http://schemas.openxmlformats.org/drawingml/2006/main">
          <a:off x="6451420" y="3333332"/>
          <a:ext cx="113060" cy="215263"/>
          <a:chOff x="5701085" y="1137037"/>
          <a:chExt cx="1216550" cy="938254"/>
        </a:xfrm>
      </cdr:grpSpPr>
      <cdr:sp macro="" textlink="">
        <cdr:nvSpPr>
          <cdr:cNvPr id="30" name="Parallelogram 29"/>
          <cdr:cNvSpPr/>
        </cdr:nvSpPr>
        <cdr:spPr>
          <a:xfrm xmlns:a="http://schemas.openxmlformats.org/drawingml/2006/main">
            <a:off x="5701085" y="1137037"/>
            <a:ext cx="1216550" cy="938254"/>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cxnSp macro="">
        <cdr:nvCxnSpPr>
          <cdr:cNvPr id="31" name="Straight Connector 30"/>
          <cdr:cNvCxnSpPr/>
        </cdr:nvCxnSpPr>
        <cdr:spPr>
          <a:xfrm xmlns:a="http://schemas.openxmlformats.org/drawingml/2006/main" flipH="1">
            <a:off x="6353092" y="1144988"/>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32" name="Straight Connector 31"/>
          <cdr:cNvCxnSpPr/>
        </cdr:nvCxnSpPr>
        <cdr:spPr>
          <a:xfrm xmlns:a="http://schemas.openxmlformats.org/drawingml/2006/main" flipH="1">
            <a:off x="5724939" y="1137037"/>
            <a:ext cx="540689" cy="9064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0.37128</cdr:x>
      <cdr:y>0.02037</cdr:y>
    </cdr:from>
    <cdr:to>
      <cdr:x>0.53594</cdr:x>
      <cdr:y>0.13705</cdr:y>
    </cdr:to>
    <cdr:sp macro="" textlink="">
      <cdr:nvSpPr>
        <cdr:cNvPr id="2" name="TextBox 1">
          <a:extLst xmlns:a="http://schemas.openxmlformats.org/drawingml/2006/main">
            <a:ext uri="{FF2B5EF4-FFF2-40B4-BE49-F238E27FC236}">
              <a16:creationId xmlns:a16="http://schemas.microsoft.com/office/drawing/2014/main" id="{CD29F627-A7E8-4540-8058-05910F187BF3}"/>
            </a:ext>
          </a:extLst>
        </cdr:cNvPr>
        <cdr:cNvSpPr txBox="1"/>
      </cdr:nvSpPr>
      <cdr:spPr>
        <a:xfrm xmlns:a="http://schemas.openxmlformats.org/drawingml/2006/main">
          <a:off x="3020121" y="95250"/>
          <a:ext cx="1339403" cy="5457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Baseline=$531,821 per death averted</a:t>
          </a:r>
        </a:p>
      </cdr:txBody>
    </cdr:sp>
  </cdr:relSizeAnchor>
  <cdr:relSizeAnchor xmlns:cdr="http://schemas.openxmlformats.org/drawingml/2006/chartDrawing">
    <cdr:from>
      <cdr:x>0.59745</cdr:x>
      <cdr:y>0.12501</cdr:y>
    </cdr:from>
    <cdr:to>
      <cdr:x>0.59745</cdr:x>
      <cdr:y>0.85736</cdr:y>
    </cdr:to>
    <cdr:cxnSp macro="">
      <cdr:nvCxnSpPr>
        <cdr:cNvPr id="4" name="Straight Connector 3">
          <a:extLst xmlns:a="http://schemas.openxmlformats.org/drawingml/2006/main">
            <a:ext uri="{FF2B5EF4-FFF2-40B4-BE49-F238E27FC236}">
              <a16:creationId xmlns:a16="http://schemas.microsoft.com/office/drawing/2014/main" id="{BC8EC356-DC90-42A5-8375-DABEE2CFA688}"/>
            </a:ext>
          </a:extLst>
        </cdr:cNvPr>
        <cdr:cNvCxnSpPr/>
      </cdr:nvCxnSpPr>
      <cdr:spPr>
        <a:xfrm xmlns:a="http://schemas.openxmlformats.org/drawingml/2006/main">
          <a:off x="4840914" y="534254"/>
          <a:ext cx="0" cy="3129696"/>
        </a:xfrm>
        <a:prstGeom xmlns:a="http://schemas.openxmlformats.org/drawingml/2006/main" prst="line">
          <a:avLst/>
        </a:prstGeom>
        <a:ln xmlns:a="http://schemas.openxmlformats.org/drawingml/2006/main" w="12700">
          <a:solidFill>
            <a:srgbClr val="FF000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0.54392</cdr:x>
      <cdr:y>0.02036</cdr:y>
    </cdr:from>
    <cdr:to>
      <cdr:x>0.69529</cdr:x>
      <cdr:y>0.13218</cdr:y>
    </cdr:to>
    <cdr:sp macro="" textlink="">
      <cdr:nvSpPr>
        <cdr:cNvPr id="6" name="TextBox 5">
          <a:extLst xmlns:a="http://schemas.openxmlformats.org/drawingml/2006/main">
            <a:ext uri="{FF2B5EF4-FFF2-40B4-BE49-F238E27FC236}">
              <a16:creationId xmlns:a16="http://schemas.microsoft.com/office/drawing/2014/main" id="{09E9FCDF-C47D-41B7-ACEA-D9E34D853274}"/>
            </a:ext>
          </a:extLst>
        </cdr:cNvPr>
        <cdr:cNvSpPr txBox="1"/>
      </cdr:nvSpPr>
      <cdr:spPr>
        <a:xfrm xmlns:a="http://schemas.openxmlformats.org/drawingml/2006/main">
          <a:off x="4398543" y="85725"/>
          <a:ext cx="1224088" cy="470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VSL=$10,600,000 per death averted</a:t>
          </a:r>
        </a:p>
      </cdr:txBody>
    </cdr:sp>
  </cdr:relSizeAnchor>
  <cdr:relSizeAnchor xmlns:cdr="http://schemas.openxmlformats.org/drawingml/2006/chartDrawing">
    <cdr:from>
      <cdr:x>0.74892</cdr:x>
      <cdr:y>0.12713</cdr:y>
    </cdr:from>
    <cdr:to>
      <cdr:x>0.79298</cdr:x>
      <cdr:y>0.19884</cdr:y>
    </cdr:to>
    <cdr:grpSp>
      <cdr:nvGrpSpPr>
        <cdr:cNvPr id="5" name="Group 4"/>
        <cdr:cNvGrpSpPr/>
      </cdr:nvGrpSpPr>
      <cdr:grpSpPr>
        <a:xfrm xmlns:a="http://schemas.openxmlformats.org/drawingml/2006/main">
          <a:off x="6056337" y="535241"/>
          <a:ext cx="356301" cy="301903"/>
          <a:chOff x="-207836" y="-8907858"/>
          <a:chExt cx="13295070" cy="3256310"/>
        </a:xfrm>
      </cdr:grpSpPr>
      <cdr:sp macro="" textlink="">
        <cdr:nvSpPr>
          <cdr:cNvPr id="7" name="Parallelogram 6"/>
          <cdr:cNvSpPr/>
        </cdr:nvSpPr>
        <cdr:spPr>
          <a:xfrm xmlns:a="http://schemas.openxmlformats.org/drawingml/2006/main">
            <a:off x="-207836" y="-8907858"/>
            <a:ext cx="13295070" cy="3256310"/>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cxnSp macro="">
        <cdr:nvCxnSpPr>
          <cdr:cNvPr id="8" name="Straight Connector 7"/>
          <cdr:cNvCxnSpPr/>
        </cdr:nvCxnSpPr>
        <cdr:spPr>
          <a:xfrm xmlns:a="http://schemas.openxmlformats.org/drawingml/2006/main" flipH="1">
            <a:off x="5273757" y="-8294134"/>
            <a:ext cx="6386852" cy="262568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9" name="Straight Connector 8"/>
          <cdr:cNvCxnSpPr>
            <a:stCxn xmlns:a="http://schemas.openxmlformats.org/drawingml/2006/main" id="7" idx="0"/>
          </cdr:cNvCxnSpPr>
        </cdr:nvCxnSpPr>
        <cdr:spPr>
          <a:xfrm xmlns:a="http://schemas.openxmlformats.org/drawingml/2006/main" flipH="1">
            <a:off x="52847" y="-8304820"/>
            <a:ext cx="6386852" cy="254289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0.85394</cdr:x>
      <cdr:y>0.14079</cdr:y>
    </cdr:from>
    <cdr:to>
      <cdr:x>0.94527</cdr:x>
      <cdr:y>0.1918</cdr:y>
    </cdr:to>
    <cdr:sp macro="" textlink="">
      <cdr:nvSpPr>
        <cdr:cNvPr id="15" name="Text Box 1"/>
        <cdr:cNvSpPr txBox="1"/>
      </cdr:nvSpPr>
      <cdr:spPr>
        <a:xfrm xmlns:a="http://schemas.openxmlformats.org/drawingml/2006/main">
          <a:off x="6946261" y="658428"/>
          <a:ext cx="742910" cy="2385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88,318,213</a:t>
          </a:r>
        </a:p>
      </cdr:txBody>
    </cdr:sp>
  </cdr:relSizeAnchor>
  <cdr:relSizeAnchor xmlns:cdr="http://schemas.openxmlformats.org/drawingml/2006/chartDrawing">
    <cdr:from>
      <cdr:x>0.71953</cdr:x>
      <cdr:y>0.87162</cdr:y>
    </cdr:from>
    <cdr:to>
      <cdr:x>0.98171</cdr:x>
      <cdr:y>0.90611</cdr:y>
    </cdr:to>
    <cdr:sp macro="" textlink="">
      <cdr:nvSpPr>
        <cdr:cNvPr id="16" name="Text Box 1"/>
        <cdr:cNvSpPr txBox="1"/>
      </cdr:nvSpPr>
      <cdr:spPr>
        <a:xfrm xmlns:a="http://schemas.openxmlformats.org/drawingml/2006/main">
          <a:off x="5830058" y="3724899"/>
          <a:ext cx="2124340" cy="147395"/>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                     </a:t>
          </a:r>
          <a:r>
            <a:rPr lang="en-US" sz="900" baseline="0"/>
            <a:t>  </a:t>
          </a:r>
          <a:r>
            <a:rPr lang="en-US" sz="900"/>
            <a:t>88,000,000</a:t>
          </a:r>
        </a:p>
      </cdr:txBody>
    </cdr:sp>
  </cdr:relSizeAnchor>
  <cdr:relSizeAnchor xmlns:cdr="http://schemas.openxmlformats.org/drawingml/2006/chartDrawing">
    <cdr:from>
      <cdr:x>0.74292</cdr:x>
      <cdr:y>0.81724</cdr:y>
    </cdr:from>
    <cdr:to>
      <cdr:x>0.78699</cdr:x>
      <cdr:y>0.88895</cdr:y>
    </cdr:to>
    <cdr:grpSp>
      <cdr:nvGrpSpPr>
        <cdr:cNvPr id="11" name="Group 10"/>
        <cdr:cNvGrpSpPr/>
      </cdr:nvGrpSpPr>
      <cdr:grpSpPr>
        <a:xfrm xmlns:a="http://schemas.openxmlformats.org/drawingml/2006/main">
          <a:off x="6005413" y="3336850"/>
          <a:ext cx="356242" cy="292795"/>
          <a:chOff x="-207836" y="-8907858"/>
          <a:chExt cx="13295070" cy="3256310"/>
        </a:xfrm>
      </cdr:grpSpPr>
      <cdr:sp macro="" textlink="">
        <cdr:nvSpPr>
          <cdr:cNvPr id="12" name="Parallelogram 11"/>
          <cdr:cNvSpPr/>
        </cdr:nvSpPr>
        <cdr:spPr>
          <a:xfrm xmlns:a="http://schemas.openxmlformats.org/drawingml/2006/main">
            <a:off x="-207836" y="-8907858"/>
            <a:ext cx="13295070" cy="3256310"/>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cxnSp macro="">
        <cdr:nvCxnSpPr>
          <cdr:cNvPr id="13" name="Straight Connector 12"/>
          <cdr:cNvCxnSpPr/>
        </cdr:nvCxnSpPr>
        <cdr:spPr>
          <a:xfrm xmlns:a="http://schemas.openxmlformats.org/drawingml/2006/main" flipH="1">
            <a:off x="5273757" y="-8294134"/>
            <a:ext cx="6386852" cy="262568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4" name="Straight Connector 13"/>
          <cdr:cNvCxnSpPr>
            <a:stCxn xmlns:a="http://schemas.openxmlformats.org/drawingml/2006/main" id="12" idx="0"/>
          </cdr:cNvCxnSpPr>
        </cdr:nvCxnSpPr>
        <cdr:spPr>
          <a:xfrm xmlns:a="http://schemas.openxmlformats.org/drawingml/2006/main" flipH="1">
            <a:off x="52847" y="-8304820"/>
            <a:ext cx="6386852" cy="254289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0.07464</cdr:x>
      <cdr:y>0.21951</cdr:y>
    </cdr:from>
    <cdr:to>
      <cdr:x>0.33216</cdr:x>
      <cdr:y>0.29542</cdr:y>
    </cdr:to>
    <cdr:sp macro="" textlink="">
      <cdr:nvSpPr>
        <cdr:cNvPr id="17" name="Text Box 1"/>
        <cdr:cNvSpPr txBox="1"/>
      </cdr:nvSpPr>
      <cdr:spPr>
        <a:xfrm xmlns:a="http://schemas.openxmlformats.org/drawingml/2006/main">
          <a:off x="603625" y="924142"/>
          <a:ext cx="2082425" cy="319585"/>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Pre-intervention prevalence [4.1%-32%]</a:t>
          </a:r>
        </a:p>
      </cdr:txBody>
    </cdr:sp>
  </cdr:relSizeAnchor>
  <cdr:relSizeAnchor xmlns:cdr="http://schemas.openxmlformats.org/drawingml/2006/chartDrawing">
    <cdr:from>
      <cdr:x>0.41857</cdr:x>
      <cdr:y>0.1267</cdr:y>
    </cdr:from>
    <cdr:to>
      <cdr:x>0.41857</cdr:x>
      <cdr:y>0.85587</cdr:y>
    </cdr:to>
    <cdr:cxnSp macro="">
      <cdr:nvCxnSpPr>
        <cdr:cNvPr id="18" name="Straight Connector 17"/>
        <cdr:cNvCxnSpPr/>
      </cdr:nvCxnSpPr>
      <cdr:spPr>
        <a:xfrm xmlns:a="http://schemas.openxmlformats.org/drawingml/2006/main">
          <a:off x="3391505" y="541459"/>
          <a:ext cx="0" cy="3116141"/>
        </a:xfrm>
        <a:prstGeom xmlns:a="http://schemas.openxmlformats.org/drawingml/2006/main" prst="line">
          <a:avLst/>
        </a:prstGeom>
        <a:ln xmlns:a="http://schemas.openxmlformats.org/drawingml/2006/main" w="12700">
          <a:solidFill>
            <a:srgbClr val="00B05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0.32651</cdr:x>
      <cdr:y>0.16668</cdr:y>
    </cdr:from>
    <cdr:to>
      <cdr:x>0.42272</cdr:x>
      <cdr:y>0.20978</cdr:y>
    </cdr:to>
    <cdr:sp macro="" textlink="">
      <cdr:nvSpPr>
        <cdr:cNvPr id="19" name="Text Box 1"/>
        <cdr:cNvSpPr txBox="1"/>
      </cdr:nvSpPr>
      <cdr:spPr>
        <a:xfrm xmlns:a="http://schemas.openxmlformats.org/drawingml/2006/main">
          <a:off x="2655953" y="779534"/>
          <a:ext cx="782572" cy="20154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0.33078</cdr:x>
      <cdr:y>0.25911</cdr:y>
    </cdr:from>
    <cdr:to>
      <cdr:x>0.42699</cdr:x>
      <cdr:y>0.3022</cdr:y>
    </cdr:to>
    <cdr:sp macro="" textlink="">
      <cdr:nvSpPr>
        <cdr:cNvPr id="20" name="Text Box 1"/>
        <cdr:cNvSpPr txBox="1"/>
      </cdr:nvSpPr>
      <cdr:spPr>
        <a:xfrm xmlns:a="http://schemas.openxmlformats.org/drawingml/2006/main">
          <a:off x="2680181" y="1107299"/>
          <a:ext cx="779551" cy="184148"/>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0.33548</cdr:x>
      <cdr:y>0.35449</cdr:y>
    </cdr:from>
    <cdr:to>
      <cdr:x>0.43169</cdr:x>
      <cdr:y>0.39758</cdr:y>
    </cdr:to>
    <cdr:sp macro="" textlink="">
      <cdr:nvSpPr>
        <cdr:cNvPr id="21" name="Text Box 1"/>
        <cdr:cNvSpPr txBox="1"/>
      </cdr:nvSpPr>
      <cdr:spPr>
        <a:xfrm xmlns:a="http://schemas.openxmlformats.org/drawingml/2006/main">
          <a:off x="2718281" y="1514941"/>
          <a:ext cx="779551" cy="184147"/>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0.33547</cdr:x>
      <cdr:y>0.44914</cdr:y>
    </cdr:from>
    <cdr:to>
      <cdr:x>0.43168</cdr:x>
      <cdr:y>0.49224</cdr:y>
    </cdr:to>
    <cdr:sp macro="" textlink="">
      <cdr:nvSpPr>
        <cdr:cNvPr id="22" name="Text Box 1"/>
        <cdr:cNvSpPr txBox="1"/>
      </cdr:nvSpPr>
      <cdr:spPr>
        <a:xfrm xmlns:a="http://schemas.openxmlformats.org/drawingml/2006/main">
          <a:off x="2718200" y="1919405"/>
          <a:ext cx="779551" cy="184190"/>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userShapes>
</file>

<file path=word/drawings/drawing4.xml><?xml version="1.0" encoding="utf-8"?>
<c:userShapes xmlns:c="http://schemas.openxmlformats.org/drawingml/2006/chart">
  <cdr:relSizeAnchor xmlns:cdr="http://schemas.openxmlformats.org/drawingml/2006/chartDrawing">
    <cdr:from>
      <cdr:x>0.46994</cdr:x>
      <cdr:y>0.02492</cdr:y>
    </cdr:from>
    <cdr:to>
      <cdr:x>0.63581</cdr:x>
      <cdr:y>0.1388</cdr:y>
    </cdr:to>
    <cdr:sp macro="" textlink="">
      <cdr:nvSpPr>
        <cdr:cNvPr id="2" name="TextBox 1">
          <a:extLst xmlns:a="http://schemas.openxmlformats.org/drawingml/2006/main">
            <a:ext uri="{FF2B5EF4-FFF2-40B4-BE49-F238E27FC236}">
              <a16:creationId xmlns:a16="http://schemas.microsoft.com/office/drawing/2014/main" id="{CD29F627-A7E8-4540-8058-05910F187BF3}"/>
            </a:ext>
          </a:extLst>
        </cdr:cNvPr>
        <cdr:cNvSpPr txBox="1"/>
      </cdr:nvSpPr>
      <cdr:spPr>
        <a:xfrm xmlns:a="http://schemas.openxmlformats.org/drawingml/2006/main">
          <a:off x="3804742" y="101601"/>
          <a:ext cx="1342925" cy="4642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Baseline=$38,715 per death averted</a:t>
          </a:r>
        </a:p>
      </cdr:txBody>
    </cdr:sp>
  </cdr:relSizeAnchor>
  <cdr:relSizeAnchor xmlns:cdr="http://schemas.openxmlformats.org/drawingml/2006/chartDrawing">
    <cdr:from>
      <cdr:x>0.71617</cdr:x>
      <cdr:y>0.14585</cdr:y>
    </cdr:from>
    <cdr:to>
      <cdr:x>0.71617</cdr:x>
      <cdr:y>0.85047</cdr:y>
    </cdr:to>
    <cdr:cxnSp macro="">
      <cdr:nvCxnSpPr>
        <cdr:cNvPr id="4" name="Straight Connector 3">
          <a:extLst xmlns:a="http://schemas.openxmlformats.org/drawingml/2006/main">
            <a:ext uri="{FF2B5EF4-FFF2-40B4-BE49-F238E27FC236}">
              <a16:creationId xmlns:a16="http://schemas.microsoft.com/office/drawing/2014/main" id="{BC8EC356-DC90-42A5-8375-DABEE2CFA688}"/>
            </a:ext>
          </a:extLst>
        </cdr:cNvPr>
        <cdr:cNvCxnSpPr/>
      </cdr:nvCxnSpPr>
      <cdr:spPr>
        <a:xfrm xmlns:a="http://schemas.openxmlformats.org/drawingml/2006/main">
          <a:off x="5798291" y="594587"/>
          <a:ext cx="0" cy="2872513"/>
        </a:xfrm>
        <a:prstGeom xmlns:a="http://schemas.openxmlformats.org/drawingml/2006/main" prst="line">
          <a:avLst/>
        </a:prstGeom>
        <a:ln xmlns:a="http://schemas.openxmlformats.org/drawingml/2006/main" w="12700">
          <a:solidFill>
            <a:srgbClr val="FF000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0.6587</cdr:x>
      <cdr:y>0.02993</cdr:y>
    </cdr:from>
    <cdr:to>
      <cdr:x>0.8149</cdr:x>
      <cdr:y>0.13839</cdr:y>
    </cdr:to>
    <cdr:sp macro="" textlink="">
      <cdr:nvSpPr>
        <cdr:cNvPr id="6" name="TextBox 5">
          <a:extLst xmlns:a="http://schemas.openxmlformats.org/drawingml/2006/main">
            <a:ext uri="{FF2B5EF4-FFF2-40B4-BE49-F238E27FC236}">
              <a16:creationId xmlns:a16="http://schemas.microsoft.com/office/drawing/2014/main" id="{09E9FCDF-C47D-41B7-ACEA-D9E34D853274}"/>
            </a:ext>
          </a:extLst>
        </cdr:cNvPr>
        <cdr:cNvSpPr txBox="1"/>
      </cdr:nvSpPr>
      <cdr:spPr>
        <a:xfrm xmlns:a="http://schemas.openxmlformats.org/drawingml/2006/main">
          <a:off x="5345548" y="127733"/>
          <a:ext cx="1267610" cy="4628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VSL=$10,600,000 per death averted</a:t>
          </a:r>
        </a:p>
      </cdr:txBody>
    </cdr:sp>
  </cdr:relSizeAnchor>
  <cdr:relSizeAnchor xmlns:cdr="http://schemas.openxmlformats.org/drawingml/2006/chartDrawing">
    <cdr:from>
      <cdr:x>0.82825</cdr:x>
      <cdr:y>0.15244</cdr:y>
    </cdr:from>
    <cdr:to>
      <cdr:x>0.87039</cdr:x>
      <cdr:y>0.20716</cdr:y>
    </cdr:to>
    <cdr:grpSp>
      <cdr:nvGrpSpPr>
        <cdr:cNvPr id="5" name="Group 4"/>
        <cdr:cNvGrpSpPr/>
      </cdr:nvGrpSpPr>
      <cdr:grpSpPr>
        <a:xfrm xmlns:a="http://schemas.openxmlformats.org/drawingml/2006/main">
          <a:off x="6705752" y="621442"/>
          <a:ext cx="341176" cy="223078"/>
          <a:chOff x="-236757862" y="-118600142"/>
          <a:chExt cx="487384843" cy="26671314"/>
        </a:xfrm>
      </cdr:grpSpPr>
      <cdr:sp macro="" textlink="">
        <cdr:nvSpPr>
          <cdr:cNvPr id="7" name="Parallelogram 6"/>
          <cdr:cNvSpPr/>
        </cdr:nvSpPr>
        <cdr:spPr>
          <a:xfrm xmlns:a="http://schemas.openxmlformats.org/drawingml/2006/main">
            <a:off x="-236757862" y="-118600076"/>
            <a:ext cx="487384843" cy="26671248"/>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cxnSp macro="">
        <cdr:nvCxnSpPr>
          <cdr:cNvPr id="8" name="Straight Connector 7"/>
          <cdr:cNvCxnSpPr>
            <a:endCxn xmlns:a="http://schemas.openxmlformats.org/drawingml/2006/main" id="7" idx="4"/>
          </cdr:cNvCxnSpPr>
        </cdr:nvCxnSpPr>
        <cdr:spPr>
          <a:xfrm xmlns:a="http://schemas.openxmlformats.org/drawingml/2006/main" flipH="1">
            <a:off x="6935046" y="-118600142"/>
            <a:ext cx="243691935" cy="26671314"/>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9" name="Straight Connector 8"/>
          <cdr:cNvCxnSpPr>
            <a:stCxn xmlns:a="http://schemas.openxmlformats.org/drawingml/2006/main" id="7" idx="0"/>
          </cdr:cNvCxnSpPr>
        </cdr:nvCxnSpPr>
        <cdr:spPr>
          <a:xfrm xmlns:a="http://schemas.openxmlformats.org/drawingml/2006/main" flipH="1">
            <a:off x="-227201468" y="-118600076"/>
            <a:ext cx="234136514" cy="2576709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0.87351</cdr:x>
      <cdr:y>0.18371</cdr:y>
    </cdr:from>
    <cdr:to>
      <cdr:x>0.98197</cdr:x>
      <cdr:y>0.241</cdr:y>
    </cdr:to>
    <cdr:sp macro="" textlink="">
      <cdr:nvSpPr>
        <cdr:cNvPr id="19" name="Text Box 1"/>
        <cdr:cNvSpPr txBox="1"/>
      </cdr:nvSpPr>
      <cdr:spPr>
        <a:xfrm xmlns:a="http://schemas.openxmlformats.org/drawingml/2006/main">
          <a:off x="6922383" y="907564"/>
          <a:ext cx="859542" cy="2830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60,116,599</a:t>
          </a:r>
        </a:p>
      </cdr:txBody>
    </cdr:sp>
  </cdr:relSizeAnchor>
  <cdr:relSizeAnchor xmlns:cdr="http://schemas.openxmlformats.org/drawingml/2006/chartDrawing">
    <cdr:from>
      <cdr:x>0.7512</cdr:x>
      <cdr:y>0.86393</cdr:y>
    </cdr:from>
    <cdr:to>
      <cdr:x>0.99639</cdr:x>
      <cdr:y>0.90424</cdr:y>
    </cdr:to>
    <cdr:sp macro="" textlink="">
      <cdr:nvSpPr>
        <cdr:cNvPr id="20" name="Text Box 1"/>
        <cdr:cNvSpPr txBox="1"/>
      </cdr:nvSpPr>
      <cdr:spPr>
        <a:xfrm xmlns:a="http://schemas.openxmlformats.org/drawingml/2006/main">
          <a:off x="5953125" y="4268073"/>
          <a:ext cx="1943099" cy="199152"/>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                           </a:t>
          </a:r>
          <a:r>
            <a:rPr lang="en-US" sz="900" baseline="0"/>
            <a:t>  </a:t>
          </a:r>
          <a:r>
            <a:rPr lang="en-US" sz="900"/>
            <a:t>60,000,000</a:t>
          </a:r>
        </a:p>
      </cdr:txBody>
    </cdr:sp>
  </cdr:relSizeAnchor>
  <cdr:relSizeAnchor xmlns:cdr="http://schemas.openxmlformats.org/drawingml/2006/chartDrawing">
    <cdr:from>
      <cdr:x>0.11126</cdr:x>
      <cdr:y>0.20381</cdr:y>
    </cdr:from>
    <cdr:to>
      <cdr:x>0.36784</cdr:x>
      <cdr:y>0.28021</cdr:y>
    </cdr:to>
    <cdr:sp macro="" textlink="">
      <cdr:nvSpPr>
        <cdr:cNvPr id="21" name="Text Box 1"/>
        <cdr:cNvSpPr txBox="1"/>
      </cdr:nvSpPr>
      <cdr:spPr>
        <a:xfrm xmlns:a="http://schemas.openxmlformats.org/drawingml/2006/main">
          <a:off x="900790" y="830872"/>
          <a:ext cx="2077360" cy="311460"/>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Pre-intervention prevalence [4.1%-32%]</a:t>
          </a:r>
        </a:p>
      </cdr:txBody>
    </cdr:sp>
  </cdr:relSizeAnchor>
  <cdr:relSizeAnchor xmlns:cdr="http://schemas.openxmlformats.org/drawingml/2006/chartDrawing">
    <cdr:from>
      <cdr:x>0.78209</cdr:x>
      <cdr:y>0.82467</cdr:y>
    </cdr:from>
    <cdr:to>
      <cdr:x>0.82423</cdr:x>
      <cdr:y>0.8794</cdr:y>
    </cdr:to>
    <cdr:grpSp>
      <cdr:nvGrpSpPr>
        <cdr:cNvPr id="15" name="Group 14"/>
        <cdr:cNvGrpSpPr/>
      </cdr:nvGrpSpPr>
      <cdr:grpSpPr>
        <a:xfrm xmlns:a="http://schemas.openxmlformats.org/drawingml/2006/main">
          <a:off x="6332028" y="3361942"/>
          <a:ext cx="341176" cy="223118"/>
          <a:chOff x="-236757862" y="-118600142"/>
          <a:chExt cx="487384843" cy="26671314"/>
        </a:xfrm>
      </cdr:grpSpPr>
      <cdr:sp macro="" textlink="">
        <cdr:nvSpPr>
          <cdr:cNvPr id="16" name="Parallelogram 15"/>
          <cdr:cNvSpPr/>
        </cdr:nvSpPr>
        <cdr:spPr>
          <a:xfrm xmlns:a="http://schemas.openxmlformats.org/drawingml/2006/main">
            <a:off x="-236757862" y="-118600076"/>
            <a:ext cx="487384843" cy="26671248"/>
          </a:xfrm>
          <a:prstGeom xmlns:a="http://schemas.openxmlformats.org/drawingml/2006/main" prst="parallelogram">
            <a:avLst>
              <a:gd name="adj" fmla="val 61364"/>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cxnSp macro="">
        <cdr:nvCxnSpPr>
          <cdr:cNvPr id="17" name="Straight Connector 16"/>
          <cdr:cNvCxnSpPr>
            <a:endCxn xmlns:a="http://schemas.openxmlformats.org/drawingml/2006/main" id="16" idx="4"/>
          </cdr:cNvCxnSpPr>
        </cdr:nvCxnSpPr>
        <cdr:spPr>
          <a:xfrm xmlns:a="http://schemas.openxmlformats.org/drawingml/2006/main" flipH="1">
            <a:off x="6935046" y="-118600142"/>
            <a:ext cx="243691935" cy="26671314"/>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8" name="Straight Connector 17"/>
          <cdr:cNvCxnSpPr>
            <a:stCxn xmlns:a="http://schemas.openxmlformats.org/drawingml/2006/main" id="16" idx="0"/>
          </cdr:cNvCxnSpPr>
        </cdr:nvCxnSpPr>
        <cdr:spPr>
          <a:xfrm xmlns:a="http://schemas.openxmlformats.org/drawingml/2006/main" flipH="1">
            <a:off x="-227201468" y="-118600076"/>
            <a:ext cx="234136514" cy="2576709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0.53282</cdr:x>
      <cdr:y>0.13882</cdr:y>
    </cdr:from>
    <cdr:to>
      <cdr:x>0.53282</cdr:x>
      <cdr:y>0.85433</cdr:y>
    </cdr:to>
    <cdr:cxnSp macro="">
      <cdr:nvCxnSpPr>
        <cdr:cNvPr id="22" name="Straight Connector 21"/>
        <cdr:cNvCxnSpPr/>
      </cdr:nvCxnSpPr>
      <cdr:spPr>
        <a:xfrm xmlns:a="http://schemas.openxmlformats.org/drawingml/2006/main" flipH="1">
          <a:off x="4324002" y="592354"/>
          <a:ext cx="0" cy="3053225"/>
        </a:xfrm>
        <a:prstGeom xmlns:a="http://schemas.openxmlformats.org/drawingml/2006/main" prst="line">
          <a:avLst/>
        </a:prstGeom>
        <a:ln xmlns:a="http://schemas.openxmlformats.org/drawingml/2006/main" w="12700">
          <a:solidFill>
            <a:srgbClr val="00B050"/>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0.43878</cdr:x>
      <cdr:y>0.17162</cdr:y>
    </cdr:from>
    <cdr:to>
      <cdr:x>0.53679</cdr:x>
      <cdr:y>0.2247</cdr:y>
    </cdr:to>
    <cdr:sp macro="" textlink="">
      <cdr:nvSpPr>
        <cdr:cNvPr id="24" name="Text Box 1"/>
        <cdr:cNvSpPr txBox="1"/>
      </cdr:nvSpPr>
      <cdr:spPr>
        <a:xfrm xmlns:a="http://schemas.openxmlformats.org/drawingml/2006/main">
          <a:off x="3464669" y="807543"/>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0.43033</cdr:x>
      <cdr:y>0.23033</cdr:y>
    </cdr:from>
    <cdr:to>
      <cdr:x>0.52835</cdr:x>
      <cdr:y>0.2834</cdr:y>
    </cdr:to>
    <cdr:sp macro="" textlink="">
      <cdr:nvSpPr>
        <cdr:cNvPr id="25" name="Text Box 1"/>
        <cdr:cNvSpPr txBox="1"/>
      </cdr:nvSpPr>
      <cdr:spPr>
        <a:xfrm xmlns:a="http://schemas.openxmlformats.org/drawingml/2006/main">
          <a:off x="3397994" y="1083768"/>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0.40138</cdr:x>
      <cdr:y>0.29308</cdr:y>
    </cdr:from>
    <cdr:to>
      <cdr:x>0.4994</cdr:x>
      <cdr:y>0.34615</cdr:y>
    </cdr:to>
    <cdr:sp macro="" textlink="">
      <cdr:nvSpPr>
        <cdr:cNvPr id="26" name="Text Box 1"/>
        <cdr:cNvSpPr txBox="1"/>
      </cdr:nvSpPr>
      <cdr:spPr>
        <a:xfrm xmlns:a="http://schemas.openxmlformats.org/drawingml/2006/main">
          <a:off x="3169394" y="1379043"/>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0.38691</cdr:x>
      <cdr:y>0.35178</cdr:y>
    </cdr:from>
    <cdr:to>
      <cdr:x>0.48492</cdr:x>
      <cdr:y>0.40486</cdr:y>
    </cdr:to>
    <cdr:sp macro="" textlink="">
      <cdr:nvSpPr>
        <cdr:cNvPr id="27" name="Text Box 1"/>
        <cdr:cNvSpPr txBox="1"/>
      </cdr:nvSpPr>
      <cdr:spPr>
        <a:xfrm xmlns:a="http://schemas.openxmlformats.org/drawingml/2006/main">
          <a:off x="3055094" y="1655268"/>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0.4436</cdr:x>
      <cdr:y>0.41049</cdr:y>
    </cdr:from>
    <cdr:to>
      <cdr:x>0.54162</cdr:x>
      <cdr:y>0.46356</cdr:y>
    </cdr:to>
    <cdr:sp macro="" textlink="">
      <cdr:nvSpPr>
        <cdr:cNvPr id="28" name="Text Box 1"/>
        <cdr:cNvSpPr txBox="1"/>
      </cdr:nvSpPr>
      <cdr:spPr>
        <a:xfrm xmlns:a="http://schemas.openxmlformats.org/drawingml/2006/main">
          <a:off x="3502769" y="1931493"/>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0.43802</cdr:x>
      <cdr:y>0.46738</cdr:y>
    </cdr:from>
    <cdr:to>
      <cdr:x>0.53604</cdr:x>
      <cdr:y>0.52045</cdr:y>
    </cdr:to>
    <cdr:sp macro="" textlink="">
      <cdr:nvSpPr>
        <cdr:cNvPr id="29" name="Text Box 1"/>
        <cdr:cNvSpPr txBox="1"/>
      </cdr:nvSpPr>
      <cdr:spPr>
        <a:xfrm xmlns:a="http://schemas.openxmlformats.org/drawingml/2006/main">
          <a:off x="3554704" y="1994390"/>
          <a:ext cx="795429" cy="226477"/>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0.44031</cdr:x>
      <cdr:y>0.52811</cdr:y>
    </cdr:from>
    <cdr:to>
      <cdr:x>0.53832</cdr:x>
      <cdr:y>0.58118</cdr:y>
    </cdr:to>
    <cdr:sp macro="" textlink="">
      <cdr:nvSpPr>
        <cdr:cNvPr id="30" name="Text Box 1"/>
        <cdr:cNvSpPr txBox="1"/>
      </cdr:nvSpPr>
      <cdr:spPr>
        <a:xfrm xmlns:a="http://schemas.openxmlformats.org/drawingml/2006/main">
          <a:off x="3573226" y="2253532"/>
          <a:ext cx="795428" cy="226476"/>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0.445</cdr:x>
      <cdr:y>0.58863</cdr:y>
    </cdr:from>
    <cdr:to>
      <cdr:x>0.54302</cdr:x>
      <cdr:y>0.6417</cdr:y>
    </cdr:to>
    <cdr:sp macro="" textlink="">
      <cdr:nvSpPr>
        <cdr:cNvPr id="31" name="Text Box 1"/>
        <cdr:cNvSpPr txBox="1"/>
      </cdr:nvSpPr>
      <cdr:spPr>
        <a:xfrm xmlns:a="http://schemas.openxmlformats.org/drawingml/2006/main">
          <a:off x="3611326" y="2511786"/>
          <a:ext cx="795428" cy="226477"/>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0.445</cdr:x>
      <cdr:y>0.64754</cdr:y>
    </cdr:from>
    <cdr:to>
      <cdr:x>0.54302</cdr:x>
      <cdr:y>0.70061</cdr:y>
    </cdr:to>
    <cdr:sp macro="" textlink="">
      <cdr:nvSpPr>
        <cdr:cNvPr id="32" name="Text Box 1"/>
        <cdr:cNvSpPr txBox="1"/>
      </cdr:nvSpPr>
      <cdr:spPr>
        <a:xfrm xmlns:a="http://schemas.openxmlformats.org/drawingml/2006/main">
          <a:off x="3611326" y="2763177"/>
          <a:ext cx="795428" cy="226477"/>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0.44983</cdr:x>
      <cdr:y>0.70848</cdr:y>
    </cdr:from>
    <cdr:to>
      <cdr:x>0.54784</cdr:x>
      <cdr:y>0.76155</cdr:y>
    </cdr:to>
    <cdr:sp macro="" textlink="">
      <cdr:nvSpPr>
        <cdr:cNvPr id="33" name="Text Box 1"/>
        <cdr:cNvSpPr txBox="1"/>
      </cdr:nvSpPr>
      <cdr:spPr>
        <a:xfrm xmlns:a="http://schemas.openxmlformats.org/drawingml/2006/main">
          <a:off x="3650483" y="3023206"/>
          <a:ext cx="795429" cy="226476"/>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dr:relSizeAnchor xmlns:cdr="http://schemas.openxmlformats.org/drawingml/2006/chartDrawing">
    <cdr:from>
      <cdr:x>0.45566</cdr:x>
      <cdr:y>0.76474</cdr:y>
    </cdr:from>
    <cdr:to>
      <cdr:x>0.55368</cdr:x>
      <cdr:y>0.81781</cdr:y>
    </cdr:to>
    <cdr:sp macro="" textlink="">
      <cdr:nvSpPr>
        <cdr:cNvPr id="34" name="Text Box 1"/>
        <cdr:cNvSpPr txBox="1"/>
      </cdr:nvSpPr>
      <cdr:spPr>
        <a:xfrm xmlns:a="http://schemas.openxmlformats.org/drawingml/2006/main">
          <a:off x="3598019" y="3598368"/>
          <a:ext cx="773956" cy="24973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(Dominant)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F41E-AC5E-49C9-A990-8EB7C8B8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Links>
    <vt:vector size="12" baseType="variant">
      <vt:variant>
        <vt:i4>6422575</vt:i4>
      </vt:variant>
      <vt:variant>
        <vt:i4>24</vt:i4>
      </vt:variant>
      <vt:variant>
        <vt:i4>0</vt:i4>
      </vt:variant>
      <vt:variant>
        <vt:i4>5</vt:i4>
      </vt:variant>
      <vt:variant>
        <vt:lpwstr>https://wwwn.cdc.gov/nchs/nhanes/continuousnhanes/default.aspx?cycle=2017-2020</vt:lpwstr>
      </vt:variant>
      <vt:variant>
        <vt:lpwstr/>
      </vt:variant>
      <vt:variant>
        <vt:i4>4587613</vt:i4>
      </vt:variant>
      <vt:variant>
        <vt:i4>21</vt:i4>
      </vt:variant>
      <vt:variant>
        <vt:i4>0</vt:i4>
      </vt:variant>
      <vt:variant>
        <vt:i4>5</vt:i4>
      </vt:variant>
      <vt:variant>
        <vt:lpwstr>https://meps.ahrq.gov/about_meps/Price_Index.shtml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Heesoo (CDC/DDID/NCEZID/DGMQ)</dc:creator>
  <cp:keywords/>
  <dc:description/>
  <cp:lastModifiedBy>Joo, Heesoo (CDC/DDID/NCEZID/DGMQ)</cp:lastModifiedBy>
  <cp:revision>8</cp:revision>
  <dcterms:created xsi:type="dcterms:W3CDTF">2023-04-10T21:27:00Z</dcterms:created>
  <dcterms:modified xsi:type="dcterms:W3CDTF">2023-04-28T16:28:00Z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2022-09-30T18:53:43Z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df0c20ee-d553-4e1b-9420-bf8c759268b5</vt:lpwstr>
  </property>
  <property fmtid="{D5CDD505-2E9C-101B-9397-08002B2CF9AE}" pid="8" name="MSIP_Label_7b94a7b8-f06c-4dfe-bdcc-9b548fd58c31_ContentBits">
    <vt:lpwstr>0</vt:lpwstr>
  </property>
</Properties>
</file>