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462" w14:textId="5A6D56D0" w:rsidR="0007316D" w:rsidRDefault="007751EF" w:rsidP="002A7B07">
      <w:pPr>
        <w:pStyle w:val="Heading2"/>
      </w:pPr>
      <w:r>
        <w:t>Appendix 1</w:t>
      </w:r>
      <w:r w:rsidR="007D39B0">
        <w:t>.</w:t>
      </w:r>
    </w:p>
    <w:p w14:paraId="5C52B4C5" w14:textId="710A701E" w:rsidR="00063982" w:rsidRPr="001F2D10" w:rsidRDefault="00063982" w:rsidP="00F665C7">
      <w:pPr>
        <w:spacing w:line="276" w:lineRule="auto"/>
        <w:rPr>
          <w:b/>
          <w:bCs/>
        </w:rPr>
      </w:pPr>
      <w:r w:rsidRPr="001F2D10">
        <w:rPr>
          <w:b/>
          <w:bCs/>
        </w:rPr>
        <w:t>Data Source</w:t>
      </w:r>
    </w:p>
    <w:p w14:paraId="79F6134F" w14:textId="196CEA70" w:rsidR="00063982" w:rsidRDefault="00737051" w:rsidP="00F665C7">
      <w:pPr>
        <w:spacing w:line="276" w:lineRule="auto"/>
      </w:pPr>
      <w:r>
        <w:t xml:space="preserve">Data extraction was performed using the online analytic tool, </w:t>
      </w:r>
      <w:proofErr w:type="spellStart"/>
      <w:r>
        <w:t>Merative</w:t>
      </w:r>
      <w:proofErr w:type="spellEnd"/>
      <w:r w:rsidRPr="00063982">
        <w:t>®</w:t>
      </w:r>
      <w:r>
        <w:t xml:space="preserve"> </w:t>
      </w:r>
      <w:r w:rsidRPr="00063982">
        <w:t xml:space="preserve">MarketScan® </w:t>
      </w:r>
      <w:r>
        <w:t xml:space="preserve">Treatment Pathways. </w:t>
      </w:r>
      <w:r w:rsidR="00063982" w:rsidRPr="00063982">
        <w:t xml:space="preserve">We used de-identified patient data from the </w:t>
      </w:r>
      <w:proofErr w:type="spellStart"/>
      <w:r w:rsidR="00A70503">
        <w:t>Merative</w:t>
      </w:r>
      <w:proofErr w:type="spellEnd"/>
      <w:r w:rsidR="00A70503" w:rsidRPr="00063982">
        <w:t>®</w:t>
      </w:r>
      <w:r w:rsidR="00A70503">
        <w:t xml:space="preserve"> </w:t>
      </w:r>
      <w:r w:rsidR="00063982" w:rsidRPr="00063982">
        <w:t xml:space="preserve">MarketScan® Commercial </w:t>
      </w:r>
      <w:r w:rsidR="003C3E8A">
        <w:t>Database</w:t>
      </w:r>
      <w:r w:rsidR="00063982" w:rsidRPr="00063982">
        <w:t xml:space="preserve"> </w:t>
      </w:r>
      <w:r w:rsidR="00BE058C">
        <w:t xml:space="preserve">for those with private insurance </w:t>
      </w:r>
      <w:r w:rsidR="005E0C1D">
        <w:t>(n=</w:t>
      </w:r>
      <w:r w:rsidR="004E548F">
        <w:t xml:space="preserve">46,774,103) </w:t>
      </w:r>
      <w:r w:rsidR="00063982" w:rsidRPr="00063982">
        <w:t xml:space="preserve">and </w:t>
      </w:r>
      <w:proofErr w:type="spellStart"/>
      <w:r w:rsidR="00A70503">
        <w:t>Merative</w:t>
      </w:r>
      <w:proofErr w:type="spellEnd"/>
      <w:r w:rsidR="00A70503" w:rsidRPr="00063982">
        <w:t>®</w:t>
      </w:r>
      <w:r w:rsidR="00A70503">
        <w:t xml:space="preserve"> </w:t>
      </w:r>
      <w:r w:rsidR="00063982" w:rsidRPr="00063982">
        <w:t xml:space="preserve">MarketScan® </w:t>
      </w:r>
      <w:r w:rsidR="00063982">
        <w:t xml:space="preserve">Multi-state </w:t>
      </w:r>
      <w:r w:rsidR="007E3006">
        <w:t xml:space="preserve">Medicaid </w:t>
      </w:r>
      <w:r w:rsidR="00063982">
        <w:t xml:space="preserve">Database </w:t>
      </w:r>
      <w:r w:rsidR="00BE058C">
        <w:t>for those with Medicaid coverage</w:t>
      </w:r>
      <w:r w:rsidR="00CD564B">
        <w:t xml:space="preserve"> (</w:t>
      </w:r>
      <w:r w:rsidR="004A21E4">
        <w:t>n=</w:t>
      </w:r>
      <w:r w:rsidR="00CD564B">
        <w:t>14,188,317)</w:t>
      </w:r>
      <w:r w:rsidR="006A426A">
        <w:t>,</w:t>
      </w:r>
      <w:r w:rsidR="00BE058C">
        <w:t xml:space="preserve"> </w:t>
      </w:r>
      <w:r w:rsidR="00063982" w:rsidRPr="00063982">
        <w:t xml:space="preserve">from </w:t>
      </w:r>
      <w:r w:rsidR="001F2D10">
        <w:t>October</w:t>
      </w:r>
      <w:r w:rsidR="0092167C">
        <w:t xml:space="preserve"> 1</w:t>
      </w:r>
      <w:r w:rsidR="00411832">
        <w:t>,</w:t>
      </w:r>
      <w:r w:rsidR="001F2D10">
        <w:t xml:space="preserve"> </w:t>
      </w:r>
      <w:proofErr w:type="gramStart"/>
      <w:r w:rsidR="00063982" w:rsidRPr="00063982">
        <w:t>201</w:t>
      </w:r>
      <w:r w:rsidR="00063982">
        <w:t>5</w:t>
      </w:r>
      <w:proofErr w:type="gramEnd"/>
      <w:r w:rsidR="00063982">
        <w:t xml:space="preserve"> to </w:t>
      </w:r>
      <w:r w:rsidR="001F2D10">
        <w:t>December</w:t>
      </w:r>
      <w:r w:rsidR="00411832">
        <w:t xml:space="preserve"> 31,</w:t>
      </w:r>
      <w:r w:rsidR="001F2D10">
        <w:t xml:space="preserve"> </w:t>
      </w:r>
      <w:r w:rsidR="00063982">
        <w:t>2019</w:t>
      </w:r>
      <w:r w:rsidR="00063982" w:rsidRPr="00063982">
        <w:t>.</w:t>
      </w:r>
      <w:r w:rsidR="00063982">
        <w:t xml:space="preserve"> </w:t>
      </w:r>
      <w:r w:rsidR="00063982" w:rsidRPr="00063982">
        <w:t xml:space="preserve">The </w:t>
      </w:r>
      <w:r w:rsidR="00DA7414">
        <w:t>Commercial D</w:t>
      </w:r>
      <w:r w:rsidR="00063982" w:rsidRPr="00063982">
        <w:t>atabase contains enrollment</w:t>
      </w:r>
      <w:r w:rsidR="0082280E">
        <w:t>,</w:t>
      </w:r>
      <w:r w:rsidR="00063982" w:rsidRPr="00063982">
        <w:t xml:space="preserve"> demographic, </w:t>
      </w:r>
      <w:r w:rsidR="00D13524">
        <w:t>and</w:t>
      </w:r>
      <w:r w:rsidR="00063982" w:rsidRPr="00063982">
        <w:t xml:space="preserve"> service-level claims data from inpatient and outpatient medical services, and outpatient prescription drug</w:t>
      </w:r>
      <w:r w:rsidR="00BC2043">
        <w:t xml:space="preserve"> claim</w:t>
      </w:r>
      <w:r w:rsidR="00063982" w:rsidRPr="00063982">
        <w:t xml:space="preserve">s data for </w:t>
      </w:r>
      <w:r w:rsidR="00063982">
        <w:t xml:space="preserve">individuals </w:t>
      </w:r>
      <w:r w:rsidR="00063982" w:rsidRPr="00063982">
        <w:t>insured by private health insurance</w:t>
      </w:r>
      <w:r w:rsidR="00063982">
        <w:t xml:space="preserve">, primarily sponsored by employers, </w:t>
      </w:r>
      <w:r w:rsidR="00063982" w:rsidRPr="00063982">
        <w:t xml:space="preserve">in the </w:t>
      </w:r>
      <w:r w:rsidR="00984A4C">
        <w:t>United States</w:t>
      </w:r>
      <w:r w:rsidR="00063982">
        <w:t>.</w:t>
      </w:r>
      <w:r w:rsidR="00063982">
        <w:fldChar w:fldCharType="begin"/>
      </w:r>
      <w:r w:rsidR="00063982">
        <w:instrText xml:space="preserve"> ADDIN EN.CITE &lt;EndNote&gt;&lt;Cite&gt;&lt;Year&gt;2021&lt;/Year&gt;&lt;RecNum&gt;68&lt;/RecNum&gt;&lt;DisplayText&gt;&lt;style face="superscript"&gt;1&lt;/style&gt;&lt;/DisplayText&gt;&lt;record&gt;&lt;rec-number&gt;68&lt;/rec-number&gt;&lt;foreign-keys&gt;&lt;key app="EN" db-id="rrvxx5xepft2a4edp9dvrv5ltvwzxz5xtape" timestamp="1656353135"&gt;68&lt;/key&gt;&lt;/foreign-keys&gt;&lt;ref-type name="Web Page"&gt;12&lt;/ref-type&gt;&lt;contributors&gt;&lt;/contributors&gt;&lt;titles&gt;&lt;title&gt;IBM MarketScan Research Databases for life sciences researchers &lt;/title&gt;&lt;/titles&gt;&lt;volume&gt;2021&lt;/volume&gt;&lt;number&gt;November 22,&lt;/number&gt;&lt;dates&gt;&lt;year&gt;2021&lt;/year&gt;&lt;/dates&gt;&lt;publisher&gt;IBM Watson Health &lt;/publisher&gt;&lt;urls&gt;&lt;related-urls&gt;&lt;url&gt;https://www.ibm.com/downloads/cas/OWZWJ0QO&lt;/url&gt;&lt;/related-urls&gt;&lt;/urls&gt;&lt;/record&gt;&lt;/Cite&gt;&lt;/EndNote&gt;</w:instrText>
      </w:r>
      <w:r w:rsidR="00063982">
        <w:fldChar w:fldCharType="separate"/>
      </w:r>
      <w:r w:rsidR="00063982" w:rsidRPr="00063982">
        <w:rPr>
          <w:noProof/>
          <w:vertAlign w:val="superscript"/>
        </w:rPr>
        <w:t>1</w:t>
      </w:r>
      <w:r w:rsidR="00063982">
        <w:fldChar w:fldCharType="end"/>
      </w:r>
      <w:r w:rsidR="00063982">
        <w:t xml:space="preserve"> </w:t>
      </w:r>
      <w:r w:rsidR="001F2D10" w:rsidRPr="00D06307">
        <w:t xml:space="preserve">The Multi-State Medicaid Database </w:t>
      </w:r>
      <w:r w:rsidR="001F2D10">
        <w:t xml:space="preserve">also </w:t>
      </w:r>
      <w:r w:rsidR="001F2D10" w:rsidRPr="00D06307">
        <w:t xml:space="preserve">contains </w:t>
      </w:r>
      <w:r w:rsidR="001F2D10">
        <w:t xml:space="preserve">enrollment and </w:t>
      </w:r>
      <w:r w:rsidR="001F2D10" w:rsidRPr="00D06307">
        <w:t>demographic data</w:t>
      </w:r>
      <w:r w:rsidR="001F2D10">
        <w:t>, as well as medical and</w:t>
      </w:r>
      <w:r w:rsidR="00BC2043">
        <w:t xml:space="preserve"> prescription</w:t>
      </w:r>
      <w:r w:rsidR="001F2D10">
        <w:t xml:space="preserve"> drug </w:t>
      </w:r>
      <w:r w:rsidR="00BC2043">
        <w:t xml:space="preserve">claims </w:t>
      </w:r>
      <w:r w:rsidR="001F2D10">
        <w:t>data</w:t>
      </w:r>
      <w:r w:rsidR="001F2D10" w:rsidRPr="00D06307">
        <w:t xml:space="preserve"> for </w:t>
      </w:r>
      <w:r w:rsidR="001F2D10">
        <w:t xml:space="preserve">individuals </w:t>
      </w:r>
      <w:r w:rsidR="001F2D10" w:rsidRPr="00D06307">
        <w:t>covered by the Children Health Insurance Program (CHIP) or Medicaid program</w:t>
      </w:r>
      <w:r w:rsidR="00DE51B7">
        <w:t>s</w:t>
      </w:r>
      <w:r w:rsidR="001F2D10" w:rsidRPr="00D06307">
        <w:t xml:space="preserve"> </w:t>
      </w:r>
      <w:r w:rsidR="004C33FD">
        <w:t>from between 9 and 12</w:t>
      </w:r>
      <w:r w:rsidR="001F2D10" w:rsidRPr="00D06307">
        <w:t xml:space="preserve"> geographically dispersed states</w:t>
      </w:r>
      <w:r w:rsidR="00E83B94">
        <w:t xml:space="preserve"> depending on the year examined</w:t>
      </w:r>
      <w:r w:rsidR="001F2D10">
        <w:t>.</w:t>
      </w:r>
      <w:r w:rsidR="001F2D10">
        <w:fldChar w:fldCharType="begin"/>
      </w:r>
      <w:r w:rsidR="001F2D10">
        <w:instrText xml:space="preserve"> ADDIN EN.CITE &lt;EndNote&gt;&lt;Cite&gt;&lt;Year&gt;2021&lt;/Year&gt;&lt;RecNum&gt;68&lt;/RecNum&gt;&lt;DisplayText&gt;&lt;style face="superscript"&gt;1&lt;/style&gt;&lt;/DisplayText&gt;&lt;record&gt;&lt;rec-number&gt;68&lt;/rec-number&gt;&lt;foreign-keys&gt;&lt;key app="EN" db-id="rrvxx5xepft2a4edp9dvrv5ltvwzxz5xtape" timestamp="1656353135"&gt;68&lt;/key&gt;&lt;/foreign-keys&gt;&lt;ref-type name="Web Page"&gt;12&lt;/ref-type&gt;&lt;contributors&gt;&lt;/contributors&gt;&lt;titles&gt;&lt;title&gt;IBM MarketScan Research Databases for life sciences researchers &lt;/title&gt;&lt;/titles&gt;&lt;volume&gt;2021&lt;/volume&gt;&lt;number&gt;November 22,&lt;/number&gt;&lt;dates&gt;&lt;year&gt;2021&lt;/year&gt;&lt;/dates&gt;&lt;publisher&gt;IBM Watson Health &lt;/publisher&gt;&lt;urls&gt;&lt;related-urls&gt;&lt;url&gt;https://www.ibm.com/downloads/cas/OWZWJ0QO&lt;/url&gt;&lt;/related-urls&gt;&lt;/urls&gt;&lt;/record&gt;&lt;/Cite&gt;&lt;/EndNote&gt;</w:instrText>
      </w:r>
      <w:r w:rsidR="001F2D10">
        <w:fldChar w:fldCharType="separate"/>
      </w:r>
      <w:r w:rsidR="001F2D10" w:rsidRPr="001F2D10">
        <w:rPr>
          <w:noProof/>
          <w:vertAlign w:val="superscript"/>
        </w:rPr>
        <w:t>1</w:t>
      </w:r>
      <w:r w:rsidR="001F2D10">
        <w:fldChar w:fldCharType="end"/>
      </w:r>
      <w:r w:rsidR="000D2973">
        <w:t xml:space="preserve"> </w:t>
      </w:r>
    </w:p>
    <w:p w14:paraId="5E4E36BA" w14:textId="5191F637" w:rsidR="00063982" w:rsidRPr="001F2D10" w:rsidRDefault="00063982" w:rsidP="00F665C7">
      <w:pPr>
        <w:spacing w:line="276" w:lineRule="auto"/>
        <w:rPr>
          <w:b/>
          <w:bCs/>
        </w:rPr>
      </w:pPr>
      <w:r w:rsidRPr="001F2D10">
        <w:rPr>
          <w:b/>
          <w:bCs/>
        </w:rPr>
        <w:t>Study Population</w:t>
      </w:r>
    </w:p>
    <w:p w14:paraId="362B7B65" w14:textId="77777777" w:rsidR="00C13F88" w:rsidRDefault="0083100A" w:rsidP="00E144DC">
      <w:pPr>
        <w:spacing w:after="120" w:line="276" w:lineRule="auto"/>
      </w:pPr>
      <w:r>
        <w:t>The study sample consisted of individuals with</w:t>
      </w:r>
      <w:r w:rsidR="00DE4E78">
        <w:t xml:space="preserve"> a first diagnosis of </w:t>
      </w:r>
      <w:r>
        <w:t>malaria</w:t>
      </w:r>
      <w:r w:rsidR="006A7A09">
        <w:t xml:space="preserve"> </w:t>
      </w:r>
      <w:r w:rsidR="00E83B94">
        <w:t xml:space="preserve">between </w:t>
      </w:r>
      <w:r w:rsidR="006A7A09">
        <w:t>October 1</w:t>
      </w:r>
      <w:r w:rsidR="006E1D85">
        <w:t>,</w:t>
      </w:r>
      <w:r w:rsidR="006A7A09">
        <w:t xml:space="preserve"> </w:t>
      </w:r>
      <w:proofErr w:type="gramStart"/>
      <w:r w:rsidR="006A7A09">
        <w:t>2015</w:t>
      </w:r>
      <w:proofErr w:type="gramEnd"/>
      <w:r w:rsidR="006A7A09">
        <w:t xml:space="preserve"> </w:t>
      </w:r>
      <w:r w:rsidR="00E83B94">
        <w:t xml:space="preserve">and </w:t>
      </w:r>
      <w:r w:rsidR="006A7A09">
        <w:t>December 31, 2019</w:t>
      </w:r>
      <w:r w:rsidR="00C3124C">
        <w:t>,</w:t>
      </w:r>
      <w:r w:rsidR="00AB2437" w:rsidRPr="00AB2437">
        <w:t xml:space="preserve"> </w:t>
      </w:r>
      <w:r w:rsidR="00AB2437">
        <w:t xml:space="preserve">using </w:t>
      </w:r>
      <w:r w:rsidR="00C20381" w:rsidDel="000A06D8">
        <w:t xml:space="preserve">the </w:t>
      </w:r>
      <w:r w:rsidR="00AB2437">
        <w:t>International Classification of Disease</w:t>
      </w:r>
      <w:r w:rsidR="00C20381">
        <w:t>s</w:t>
      </w:r>
      <w:r w:rsidR="00AB2437">
        <w:t xml:space="preserve">, </w:t>
      </w:r>
      <w:r w:rsidR="009D368E">
        <w:t>Tenth</w:t>
      </w:r>
      <w:r w:rsidR="00AB2437">
        <w:t xml:space="preserve"> revision, Clinical Modification (ICD-10-CM)</w:t>
      </w:r>
      <w:r w:rsidR="00EC6B73">
        <w:t xml:space="preserve"> diagnosis codes. </w:t>
      </w:r>
      <w:r w:rsidR="00AB2437">
        <w:t xml:space="preserve">Malaria diagnosis codes of ICD-10-CM used are: B50.0, B50.8, and B50.9 for falciparum malaria; B51.0, B51.8, and B51.9 for vivax malaria; B52.0, B52.8, and B52.9 for </w:t>
      </w:r>
      <w:proofErr w:type="spellStart"/>
      <w:r w:rsidR="00AB2437">
        <w:t>malariae</w:t>
      </w:r>
      <w:proofErr w:type="spellEnd"/>
      <w:r w:rsidR="00AB2437">
        <w:t xml:space="preserve"> malaria; B53.0 for </w:t>
      </w:r>
      <w:proofErr w:type="spellStart"/>
      <w:r w:rsidR="00AB2437">
        <w:t>ovale</w:t>
      </w:r>
      <w:proofErr w:type="spellEnd"/>
      <w:r w:rsidR="00AB2437">
        <w:t xml:space="preserve"> malaria; B53.1 for </w:t>
      </w:r>
      <w:proofErr w:type="spellStart"/>
      <w:r w:rsidR="00AB2437">
        <w:t>knowlesi</w:t>
      </w:r>
      <w:proofErr w:type="spellEnd"/>
      <w:r w:rsidR="00AB2437">
        <w:t xml:space="preserve"> malaria; B53.8 for other malaria; and B54 for unspecified malaria.</w:t>
      </w:r>
      <w:r w:rsidR="00517ACB">
        <w:t xml:space="preserve"> </w:t>
      </w:r>
    </w:p>
    <w:p w14:paraId="27709423" w14:textId="77777777" w:rsidR="00E144DC" w:rsidRDefault="008F0679" w:rsidP="00E144DC">
      <w:pPr>
        <w:spacing w:after="120" w:line="276" w:lineRule="auto"/>
      </w:pPr>
      <w:r>
        <w:t xml:space="preserve">The </w:t>
      </w:r>
      <w:r w:rsidR="003C74AC">
        <w:t xml:space="preserve">selection </w:t>
      </w:r>
      <w:r w:rsidR="00517ACB">
        <w:t xml:space="preserve">process was conducted </w:t>
      </w:r>
      <w:r w:rsidR="003C74AC">
        <w:t>separately</w:t>
      </w:r>
      <w:r>
        <w:t xml:space="preserve"> for </w:t>
      </w:r>
      <w:r w:rsidR="003D72C2">
        <w:t xml:space="preserve">hospitalized and non-hospitalized </w:t>
      </w:r>
      <w:r w:rsidR="002669CB">
        <w:t>patients.</w:t>
      </w:r>
      <w:r w:rsidR="00875F79">
        <w:t xml:space="preserve"> </w:t>
      </w:r>
      <w:r w:rsidR="00C211D7">
        <w:t xml:space="preserve">These sample selection procedures also were performed separately for each database (Commercial and Medicaid). The flow charts of sample selection are provided in </w:t>
      </w:r>
      <w:proofErr w:type="spellStart"/>
      <w:r w:rsidR="00C211D7">
        <w:t>eAppendix</w:t>
      </w:r>
      <w:proofErr w:type="spellEnd"/>
      <w:r w:rsidR="00C211D7">
        <w:t xml:space="preserve"> 2 for those with private insurance and </w:t>
      </w:r>
      <w:proofErr w:type="spellStart"/>
      <w:r w:rsidR="00C211D7">
        <w:t>eAppendix</w:t>
      </w:r>
      <w:proofErr w:type="spellEnd"/>
      <w:r w:rsidR="00C211D7">
        <w:t xml:space="preserve"> 3 for those with Medicaid.</w:t>
      </w:r>
      <w:r w:rsidR="00AC0200">
        <w:t xml:space="preserve"> </w:t>
      </w:r>
    </w:p>
    <w:p w14:paraId="3FE1D45C" w14:textId="7B6919EE" w:rsidR="00DA7499" w:rsidRDefault="00FD51C2" w:rsidP="002A7B07">
      <w:pPr>
        <w:spacing w:after="120" w:line="276" w:lineRule="auto"/>
      </w:pPr>
      <w:r>
        <w:t xml:space="preserve">For </w:t>
      </w:r>
      <w:r w:rsidR="00323CEE">
        <w:t xml:space="preserve">malaria </w:t>
      </w:r>
      <w:r>
        <w:t>patients</w:t>
      </w:r>
      <w:r w:rsidR="00323CEE">
        <w:t xml:space="preserve"> </w:t>
      </w:r>
      <w:r w:rsidR="007D72D7">
        <w:t xml:space="preserve">who were </w:t>
      </w:r>
      <w:r w:rsidR="00323CEE">
        <w:t>hospitalized</w:t>
      </w:r>
      <w:r>
        <w:t xml:space="preserve">, </w:t>
      </w:r>
      <w:r w:rsidR="00875F79">
        <w:t xml:space="preserve">we </w:t>
      </w:r>
      <w:r w:rsidR="00323CEE">
        <w:t xml:space="preserve">first </w:t>
      </w:r>
      <w:r w:rsidR="00875F79">
        <w:t xml:space="preserve">identified </w:t>
      </w:r>
      <w:r w:rsidR="004E42C1">
        <w:t xml:space="preserve">individuals with </w:t>
      </w:r>
      <w:r w:rsidR="008D386B">
        <w:t>malaria-related hospitalization</w:t>
      </w:r>
      <w:r w:rsidR="00E82D7B">
        <w:t>s</w:t>
      </w:r>
      <w:r w:rsidR="008D386B">
        <w:t xml:space="preserve"> </w:t>
      </w:r>
      <w:r w:rsidR="0092108A">
        <w:t>during Oct</w:t>
      </w:r>
      <w:r w:rsidR="00323CEE">
        <w:t>ober</w:t>
      </w:r>
      <w:r w:rsidR="0092108A">
        <w:t xml:space="preserve"> 2015</w:t>
      </w:r>
      <w:r w:rsidR="0092108A" w:rsidRPr="5533CECB">
        <w:t>−</w:t>
      </w:r>
      <w:r w:rsidR="0092108A">
        <w:t>Dec</w:t>
      </w:r>
      <w:r w:rsidR="00323CEE">
        <w:t>e</w:t>
      </w:r>
      <w:r w:rsidR="00183F0F">
        <w:t>m</w:t>
      </w:r>
      <w:r w:rsidR="00323CEE">
        <w:t>ber</w:t>
      </w:r>
      <w:r w:rsidR="0092108A">
        <w:t xml:space="preserve"> 2019</w:t>
      </w:r>
      <w:r w:rsidR="00714AD9">
        <w:t>.</w:t>
      </w:r>
      <w:r w:rsidR="0092108A">
        <w:t xml:space="preserve"> </w:t>
      </w:r>
      <w:r w:rsidR="00714AD9">
        <w:t>W</w:t>
      </w:r>
      <w:r>
        <w:t xml:space="preserve">e </w:t>
      </w:r>
      <w:r w:rsidR="00641FD9">
        <w:t xml:space="preserve">restricted </w:t>
      </w:r>
      <w:r w:rsidR="000440E7">
        <w:t>our sample to those</w:t>
      </w:r>
      <w:r w:rsidR="000B091D">
        <w:t xml:space="preserve"> </w:t>
      </w:r>
      <w:r w:rsidR="00A006AC">
        <w:t>e</w:t>
      </w:r>
      <w:r w:rsidR="00435A09">
        <w:t xml:space="preserve">nrolled </w:t>
      </w:r>
      <w:r w:rsidR="00F827F9">
        <w:t xml:space="preserve">only </w:t>
      </w:r>
      <w:r w:rsidR="00435A09">
        <w:t>in commercial plans</w:t>
      </w:r>
      <w:r w:rsidR="00333DEE">
        <w:t xml:space="preserve"> or Medicaid</w:t>
      </w:r>
      <w:r w:rsidR="00435A09">
        <w:t xml:space="preserve"> </w:t>
      </w:r>
      <w:r w:rsidR="00A84DE3">
        <w:t xml:space="preserve">(i.e., </w:t>
      </w:r>
      <w:r w:rsidR="00F827F9">
        <w:t xml:space="preserve">patients </w:t>
      </w:r>
      <w:r w:rsidR="00DE52BE">
        <w:t xml:space="preserve">enrolled in </w:t>
      </w:r>
      <w:r w:rsidR="00A84DE3">
        <w:t>Medicare</w:t>
      </w:r>
      <w:r w:rsidR="00F827F9">
        <w:t xml:space="preserve"> were excluded</w:t>
      </w:r>
      <w:r w:rsidR="00B01C2D">
        <w:t xml:space="preserve"> </w:t>
      </w:r>
      <w:r w:rsidR="00306899">
        <w:t>since the MarketScan</w:t>
      </w:r>
      <w:r w:rsidR="00E545A0" w:rsidRPr="00063982">
        <w:t>®</w:t>
      </w:r>
      <w:r w:rsidR="00306899">
        <w:t xml:space="preserve"> database does not </w:t>
      </w:r>
      <w:r w:rsidR="00211904">
        <w:t xml:space="preserve">fully capture the </w:t>
      </w:r>
      <w:r w:rsidR="006E4A58">
        <w:t>payment</w:t>
      </w:r>
      <w:r w:rsidR="00211904">
        <w:t xml:space="preserve"> information </w:t>
      </w:r>
      <w:r w:rsidR="00013E33">
        <w:t>for individuals with</w:t>
      </w:r>
      <w:r w:rsidR="00211904">
        <w:t xml:space="preserve"> Medicare</w:t>
      </w:r>
      <w:r w:rsidR="00A84DE3">
        <w:t>)</w:t>
      </w:r>
      <w:r w:rsidR="00321686">
        <w:t xml:space="preserve">. We also excluded patients </w:t>
      </w:r>
      <w:r w:rsidR="00A31CAE">
        <w:t>with c</w:t>
      </w:r>
      <w:r w:rsidR="00C2733C">
        <w:t xml:space="preserve">apitated insurance plans or </w:t>
      </w:r>
      <w:r w:rsidR="00A006AC">
        <w:t xml:space="preserve">who </w:t>
      </w:r>
      <w:r w:rsidR="00BE2605">
        <w:t>were</w:t>
      </w:r>
      <w:r w:rsidR="00321686">
        <w:t xml:space="preserve"> not</w:t>
      </w:r>
      <w:r w:rsidR="00BE2605">
        <w:t xml:space="preserve"> continuously enrolled </w:t>
      </w:r>
      <w:r w:rsidR="00435A09">
        <w:t xml:space="preserve">between 30 days before and 90 days after the first </w:t>
      </w:r>
      <w:r w:rsidR="00F94AEA">
        <w:t xml:space="preserve">hospitalization with a </w:t>
      </w:r>
      <w:r w:rsidR="00435A09">
        <w:t>diagnosis of malaria.</w:t>
      </w:r>
      <w:r w:rsidR="00C00F6E">
        <w:t xml:space="preserve"> </w:t>
      </w:r>
      <w:r w:rsidR="00DE584E">
        <w:t xml:space="preserve">Individuals </w:t>
      </w:r>
      <w:r w:rsidR="00BD2146">
        <w:t xml:space="preserve">enrolled in capitated plans were not included because their insurance claims </w:t>
      </w:r>
      <w:r w:rsidR="00084D08">
        <w:t xml:space="preserve">do not provide complete payment information rather </w:t>
      </w:r>
      <w:r w:rsidR="00BD2146">
        <w:t>often reflect only encounters instead of actual claims</w:t>
      </w:r>
      <w:r w:rsidR="00E14471">
        <w:t>,</w:t>
      </w:r>
      <w:r w:rsidR="000B25B5">
        <w:fldChar w:fldCharType="begin"/>
      </w:r>
      <w:r w:rsidR="000B25B5">
        <w:instrText xml:space="preserve"> ADDIN EN.CITE &lt;EndNote&gt;&lt;Cite&gt;&lt;Year&gt;2018&lt;/Year&gt;&lt;RecNum&gt;201&lt;/RecNum&gt;&lt;DisplayText&gt;&lt;style face="superscript"&gt;2&lt;/style&gt;&lt;/DisplayText&gt;&lt;record&gt;&lt;rec-number&gt;201&lt;/rec-number&gt;&lt;foreign-keys&gt;&lt;key app="EN" db-id="rrvxx5xepft2a4edp9dvrv5ltvwzxz5xtape" timestamp="1670344211"&gt;201&lt;/key&gt;&lt;/foreign-keys&gt;&lt;ref-type name="Report"&gt;27&lt;/ref-type&gt;&lt;contributors&gt;&lt;/contributors&gt;&lt;titles&gt;&lt;title&gt;IBM MarketScan Research Databases User Guide: Commercial Claims and Encounters Database and Medicare Supplemental and Coordination of Benefits Database. Data Year 2018 Edition&lt;/title&gt;&lt;/titles&gt;&lt;dates&gt;&lt;year&gt;2018&lt;/year&gt;&lt;/dates&gt;&lt;pub-location&gt;Ann Arbor, Michigan&lt;/pub-location&gt;&lt;publisher&gt;IBM Watson Health&lt;/publisher&gt;&lt;urls&gt;&lt;/urls&gt;&lt;/record&gt;&lt;/Cite&gt;&lt;/EndNote&gt;</w:instrText>
      </w:r>
      <w:r w:rsidR="000B25B5">
        <w:fldChar w:fldCharType="separate"/>
      </w:r>
      <w:r w:rsidR="000B25B5" w:rsidRPr="000B25B5">
        <w:rPr>
          <w:noProof/>
          <w:vertAlign w:val="superscript"/>
        </w:rPr>
        <w:t>2</w:t>
      </w:r>
      <w:r w:rsidR="000B25B5">
        <w:fldChar w:fldCharType="end"/>
      </w:r>
      <w:r w:rsidR="00E14471">
        <w:t xml:space="preserve"> thus limiting our ability to estimate the total costs.</w:t>
      </w:r>
      <w:r w:rsidR="001B2818" w:rsidRPr="001B2818">
        <w:t xml:space="preserve"> </w:t>
      </w:r>
      <w:r w:rsidR="001B2818">
        <w:t xml:space="preserve">The </w:t>
      </w:r>
      <w:r w:rsidR="00606612">
        <w:t xml:space="preserve">inclusion criteria of </w:t>
      </w:r>
      <w:r w:rsidR="001B2818">
        <w:t>c</w:t>
      </w:r>
      <w:r w:rsidR="001B2818" w:rsidRPr="001B2818">
        <w:t xml:space="preserve">ontinuous enrollment 30 days before and 90 days after a malaria diagnosis </w:t>
      </w:r>
      <w:proofErr w:type="gramStart"/>
      <w:r w:rsidR="001B2818" w:rsidRPr="001B2818">
        <w:t>is based on the assumption</w:t>
      </w:r>
      <w:proofErr w:type="gramEnd"/>
      <w:r w:rsidR="001B2818" w:rsidRPr="001B2818">
        <w:t xml:space="preserve"> that</w:t>
      </w:r>
      <w:r w:rsidR="008D6467">
        <w:t xml:space="preserve"> this period is sufficient to include all patient</w:t>
      </w:r>
      <w:r w:rsidR="001B2818" w:rsidRPr="001B2818">
        <w:t xml:space="preserve"> visits associated with malaria.</w:t>
      </w:r>
      <w:r w:rsidR="00B53519">
        <w:t xml:space="preserve"> </w:t>
      </w:r>
      <w:r w:rsidR="00C00F6E">
        <w:t xml:space="preserve">Finally, </w:t>
      </w:r>
      <w:r w:rsidR="00435A09">
        <w:t>we</w:t>
      </w:r>
      <w:r w:rsidR="00180B37">
        <w:t xml:space="preserve"> </w:t>
      </w:r>
      <w:r w:rsidR="00C81B84">
        <w:t xml:space="preserve">categorized </w:t>
      </w:r>
      <w:r w:rsidR="00090314">
        <w:t xml:space="preserve">patients </w:t>
      </w:r>
      <w:r w:rsidR="00C81B84">
        <w:t xml:space="preserve">into two groups: </w:t>
      </w:r>
      <w:r w:rsidR="00507DBF">
        <w:t>in</w:t>
      </w:r>
      <w:r w:rsidR="00C81B84">
        <w:t>patients with malaria as primary diagnos</w:t>
      </w:r>
      <w:r w:rsidR="00610289">
        <w:t>e</w:t>
      </w:r>
      <w:r w:rsidR="00C81B84">
        <w:t>s</w:t>
      </w:r>
      <w:r w:rsidR="00230CF0">
        <w:t xml:space="preserve"> </w:t>
      </w:r>
      <w:r w:rsidR="00507DBF">
        <w:t>and inpatients with malaria as non-primary diagnos</w:t>
      </w:r>
      <w:r w:rsidR="00610289">
        <w:t>e</w:t>
      </w:r>
      <w:r w:rsidR="00507DBF">
        <w:t>s</w:t>
      </w:r>
      <w:r w:rsidR="003E39CA">
        <w:t xml:space="preserve"> at the first hospitalization</w:t>
      </w:r>
      <w:r w:rsidR="00507DBF">
        <w:t>.</w:t>
      </w:r>
      <w:r w:rsidR="00C6166C">
        <w:t xml:space="preserve"> </w:t>
      </w:r>
      <w:r w:rsidR="0091656E">
        <w:t>W</w:t>
      </w:r>
      <w:r w:rsidR="00C6166C">
        <w:t xml:space="preserve">e </w:t>
      </w:r>
      <w:r w:rsidR="0091656E">
        <w:t xml:space="preserve">also </w:t>
      </w:r>
      <w:r w:rsidR="00814EDB">
        <w:t>created subgroups of patients</w:t>
      </w:r>
      <w:r w:rsidR="00C6166C">
        <w:t xml:space="preserve"> with severe malaria</w:t>
      </w:r>
      <w:r w:rsidR="00814EDB">
        <w:t xml:space="preserve"> who were</w:t>
      </w:r>
      <w:r w:rsidR="00C6166C">
        <w:t xml:space="preserve"> </w:t>
      </w:r>
      <w:r w:rsidR="002D7E6A">
        <w:t>defined as having</w:t>
      </w:r>
      <w:r w:rsidR="00D95EB6">
        <w:t xml:space="preserve"> one or more of the following </w:t>
      </w:r>
      <w:r w:rsidR="007F72B9">
        <w:t>criteria: 1)</w:t>
      </w:r>
      <w:r w:rsidR="008852C3">
        <w:t xml:space="preserve"> neurologic symptoms</w:t>
      </w:r>
      <w:r w:rsidR="00CC075E">
        <w:t xml:space="preserve"> </w:t>
      </w:r>
      <w:r w:rsidR="00387B7A">
        <w:t>defined as</w:t>
      </w:r>
      <w:r w:rsidR="00CF2F51">
        <w:t xml:space="preserve"> having</w:t>
      </w:r>
      <w:r w:rsidR="00E574EA">
        <w:t xml:space="preserve"> </w:t>
      </w:r>
      <w:r w:rsidR="000A418D">
        <w:t>Clinical Classification</w:t>
      </w:r>
      <w:r w:rsidR="008063BC">
        <w:t>s</w:t>
      </w:r>
      <w:r w:rsidR="000A418D">
        <w:t xml:space="preserve"> Software </w:t>
      </w:r>
      <w:r w:rsidR="00E270D9">
        <w:t>(</w:t>
      </w:r>
      <w:r w:rsidR="000A418D">
        <w:t>CCS</w:t>
      </w:r>
      <w:r w:rsidR="00E270D9">
        <w:t>)</w:t>
      </w:r>
      <w:r w:rsidR="000A418D">
        <w:t xml:space="preserve"> </w:t>
      </w:r>
      <w:r w:rsidR="005E39B0">
        <w:t xml:space="preserve">grouping of </w:t>
      </w:r>
      <w:r w:rsidR="00A9682C">
        <w:t>diagnoses codes</w:t>
      </w:r>
      <w:r w:rsidR="002043F6">
        <w:t xml:space="preserve"> </w:t>
      </w:r>
      <w:r w:rsidR="00F66DD2">
        <w:t>82,</w:t>
      </w:r>
      <w:r w:rsidR="00E574EA">
        <w:t xml:space="preserve"> </w:t>
      </w:r>
      <w:r w:rsidR="00E574EA" w:rsidRPr="00E574EA">
        <w:t xml:space="preserve">83, 85, or 95 (paralysis, epilepsy, </w:t>
      </w:r>
      <w:r w:rsidR="00E574EA" w:rsidRPr="00E574EA">
        <w:lastRenderedPageBreak/>
        <w:t>convulsions, alteration of</w:t>
      </w:r>
      <w:r w:rsidR="00E270D9">
        <w:t xml:space="preserve"> </w:t>
      </w:r>
      <w:r w:rsidR="00E574EA" w:rsidRPr="00E574EA">
        <w:t>consciousness, coma, stupor, brain damage, other nervous system</w:t>
      </w:r>
      <w:r w:rsidR="00E270D9">
        <w:t xml:space="preserve"> </w:t>
      </w:r>
      <w:r w:rsidR="00E574EA" w:rsidRPr="00E574EA">
        <w:t>disorders)</w:t>
      </w:r>
      <w:r w:rsidR="00FD6647">
        <w:t xml:space="preserve">, 2) renal failure </w:t>
      </w:r>
      <w:r w:rsidR="00387B7A">
        <w:t>defined as</w:t>
      </w:r>
      <w:r w:rsidR="00CF2F51">
        <w:t xml:space="preserve"> having</w:t>
      </w:r>
      <w:r w:rsidR="003F3DBD">
        <w:t xml:space="preserve"> CCS codes 157, 3) </w:t>
      </w:r>
      <w:r w:rsidR="00CF2F51">
        <w:t>severe anemia</w:t>
      </w:r>
      <w:r w:rsidR="00387B7A">
        <w:t xml:space="preserve"> defined as having</w:t>
      </w:r>
      <w:r w:rsidR="00CF2F51">
        <w:t xml:space="preserve"> CCS code 59</w:t>
      </w:r>
      <w:r w:rsidR="005379E2">
        <w:t xml:space="preserve"> (deficiency anemia) </w:t>
      </w:r>
      <w:r w:rsidR="00387B7A">
        <w:t xml:space="preserve">with CCS </w:t>
      </w:r>
      <w:r w:rsidR="00C42BA6">
        <w:t xml:space="preserve">grouping of procedures </w:t>
      </w:r>
      <w:r w:rsidR="00387B7A">
        <w:t>222</w:t>
      </w:r>
      <w:r w:rsidR="005379E2">
        <w:t xml:space="preserve"> (blood transfusion), 4) acute respiratory distress syndrome defined as having CCS code 131</w:t>
      </w:r>
      <w:r w:rsidR="00CB7A8F">
        <w:t xml:space="preserve">, 5) jaundice defined as having ICD-10-CM code R17, or 6) </w:t>
      </w:r>
      <w:r w:rsidR="0031170A">
        <w:t>malaria-related hospitalizations with an in-hospital death.</w:t>
      </w:r>
      <w:r w:rsidR="000F514D">
        <w:fldChar w:fldCharType="begin">
          <w:fldData xml:space="preserve">PEVuZE5vdGU+PENpdGU+PEF1dGhvcj5LaHV1PC9BdXRob3I+PFllYXI+MjAxOTwvWWVhcj48UmVj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</w:fldData>
        </w:fldChar>
      </w:r>
      <w:r w:rsidR="000B25B5">
        <w:instrText xml:space="preserve"> ADDIN EN.CITE </w:instrText>
      </w:r>
      <w:r w:rsidR="000B25B5">
        <w:fldChar w:fldCharType="begin">
          <w:fldData xml:space="preserve">PEVuZE5vdGU+PENpdGU+PEF1dGhvcj5LaHV1PC9BdXRob3I+PFllYXI+MjAxOTwvWWVhcj48UmVj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</w:fldData>
        </w:fldChar>
      </w:r>
      <w:r w:rsidR="000B25B5">
        <w:instrText xml:space="preserve"> ADDIN EN.CITE.DATA </w:instrText>
      </w:r>
      <w:r w:rsidR="000B25B5">
        <w:fldChar w:fldCharType="end"/>
      </w:r>
      <w:r w:rsidR="000F514D">
        <w:fldChar w:fldCharType="separate"/>
      </w:r>
      <w:r w:rsidR="000B25B5" w:rsidRPr="000B25B5">
        <w:rPr>
          <w:noProof/>
          <w:vertAlign w:val="superscript"/>
        </w:rPr>
        <w:t>3</w:t>
      </w:r>
      <w:r w:rsidR="000F514D">
        <w:fldChar w:fldCharType="end"/>
      </w:r>
      <w:r w:rsidR="00CF2F51">
        <w:t xml:space="preserve"> </w:t>
      </w:r>
      <w:r w:rsidR="00C13AA3">
        <w:t>Our classification of severe malaria</w:t>
      </w:r>
      <w:r w:rsidR="0060326B">
        <w:t xml:space="preserve"> is modified from </w:t>
      </w:r>
      <w:r w:rsidR="00BC17F5">
        <w:t>the definition</w:t>
      </w:r>
      <w:r w:rsidR="00C13AA3">
        <w:t xml:space="preserve"> of severe malaria</w:t>
      </w:r>
      <w:r w:rsidR="00BC17F5">
        <w:t xml:space="preserve"> </w:t>
      </w:r>
      <w:r w:rsidR="0060326B">
        <w:t xml:space="preserve">used by </w:t>
      </w:r>
      <w:r w:rsidR="5D0F93A9">
        <w:t>the U.S. Centers for Disease Control and Prevention</w:t>
      </w:r>
      <w:r w:rsidR="0060326B">
        <w:t xml:space="preserve"> </w:t>
      </w:r>
      <w:r w:rsidR="00B070D9">
        <w:t>because the MarketScan database does not fully capture information about laboratory test results or prescription drug use during hospitalization.</w:t>
      </w:r>
      <w:r w:rsidR="0060326B">
        <w:t xml:space="preserve"> </w:t>
      </w:r>
      <w:r w:rsidR="008B598F">
        <w:t>However, we note that our sample did not include any in-hospital deaths.</w:t>
      </w:r>
      <w:r w:rsidR="00F66DD2">
        <w:t xml:space="preserve"> </w:t>
      </w:r>
      <w:r w:rsidR="00E0320B">
        <w:t>Patients</w:t>
      </w:r>
      <w:r w:rsidR="00AA45FF">
        <w:t xml:space="preserve"> who were not defined as </w:t>
      </w:r>
      <w:r w:rsidR="00864ADB">
        <w:t xml:space="preserve">having </w:t>
      </w:r>
      <w:r w:rsidR="00AA45FF">
        <w:t xml:space="preserve">severe malaria were </w:t>
      </w:r>
      <w:r w:rsidR="00E377F4">
        <w:t xml:space="preserve">considered as having </w:t>
      </w:r>
      <w:r w:rsidR="00C835A5">
        <w:t xml:space="preserve">uncomplicated malaria. </w:t>
      </w:r>
    </w:p>
    <w:p w14:paraId="7B1B32E2" w14:textId="532E7878" w:rsidR="00925375" w:rsidRDefault="00BE33DD" w:rsidP="00F665C7">
      <w:pPr>
        <w:spacing w:line="276" w:lineRule="auto"/>
      </w:pPr>
      <w:r>
        <w:t xml:space="preserve">For malaria </w:t>
      </w:r>
      <w:r w:rsidR="00A32098">
        <w:t xml:space="preserve">patients who </w:t>
      </w:r>
      <w:r w:rsidR="009D3CDD">
        <w:t xml:space="preserve">were </w:t>
      </w:r>
      <w:r w:rsidR="00A32098">
        <w:t>no</w:t>
      </w:r>
      <w:r w:rsidR="009D3CDD">
        <w:t>t</w:t>
      </w:r>
      <w:r w:rsidR="00A32098">
        <w:t xml:space="preserve"> hospitalized </w:t>
      </w:r>
      <w:r>
        <w:t xml:space="preserve">(those with </w:t>
      </w:r>
      <w:r w:rsidR="002830A6">
        <w:t xml:space="preserve">only </w:t>
      </w:r>
      <w:r>
        <w:t xml:space="preserve">outpatient visits for malaria treatment), </w:t>
      </w:r>
      <w:r w:rsidR="00087063">
        <w:t>we</w:t>
      </w:r>
      <w:r w:rsidR="00F7162C">
        <w:t xml:space="preserve"> </w:t>
      </w:r>
      <w:r w:rsidR="00FF34B9">
        <w:t xml:space="preserve">first </w:t>
      </w:r>
      <w:r w:rsidR="00F7162C">
        <w:t>identified</w:t>
      </w:r>
      <w:r w:rsidR="00CC07D4">
        <w:t xml:space="preserve"> individuals </w:t>
      </w:r>
      <w:r w:rsidR="00407091">
        <w:t>who had outpatient claim</w:t>
      </w:r>
      <w:r w:rsidR="00D52A70">
        <w:t>s</w:t>
      </w:r>
      <w:r w:rsidR="00407091">
        <w:t xml:space="preserve"> with malaria diagnosis code</w:t>
      </w:r>
      <w:r w:rsidR="00D52A70">
        <w:t>s</w:t>
      </w:r>
      <w:r w:rsidR="00407091">
        <w:t xml:space="preserve"> </w:t>
      </w:r>
      <w:r w:rsidR="009B050B">
        <w:t xml:space="preserve">after excluding </w:t>
      </w:r>
      <w:r w:rsidR="005B3652">
        <w:t>those with</w:t>
      </w:r>
      <w:r w:rsidR="00B76AD4">
        <w:t xml:space="preserve"> inpatient claim</w:t>
      </w:r>
      <w:r w:rsidR="00D52A70">
        <w:t>s</w:t>
      </w:r>
      <w:r w:rsidR="00B86E31">
        <w:t xml:space="preserve"> with malaria diagnosis codes</w:t>
      </w:r>
      <w:r w:rsidR="00905A5D">
        <w:t xml:space="preserve">. </w:t>
      </w:r>
      <w:r w:rsidR="008A4BD3">
        <w:t>In the first stage, p</w:t>
      </w:r>
      <w:r w:rsidR="00EB1CD7">
        <w:t>atients with a diagnosis labeled as “rule-out” (i.e., tested and confirmed not to have malaria) were excluded.</w:t>
      </w:r>
      <w:r w:rsidR="00905A5D">
        <w:t xml:space="preserve"> </w:t>
      </w:r>
      <w:r w:rsidR="00D92CB6">
        <w:t xml:space="preserve">In the </w:t>
      </w:r>
      <w:r w:rsidR="008A4BD3">
        <w:t>second</w:t>
      </w:r>
      <w:r w:rsidR="00D92CB6">
        <w:t xml:space="preserve"> stage, w</w:t>
      </w:r>
      <w:r>
        <w:t xml:space="preserve">e then </w:t>
      </w:r>
      <w:r w:rsidR="001049BE">
        <w:t xml:space="preserve">applied the same </w:t>
      </w:r>
      <w:r w:rsidR="00A736F7">
        <w:t>ex</w:t>
      </w:r>
      <w:r w:rsidR="001049BE">
        <w:t xml:space="preserve">clusion criteria </w:t>
      </w:r>
      <w:r w:rsidR="009033BD">
        <w:t xml:space="preserve">to the selected </w:t>
      </w:r>
      <w:r w:rsidR="00565871">
        <w:t xml:space="preserve">non-hospitalized </w:t>
      </w:r>
      <w:r w:rsidR="009033BD">
        <w:t xml:space="preserve">patients </w:t>
      </w:r>
      <w:r w:rsidR="001049BE">
        <w:t>as</w:t>
      </w:r>
      <w:r>
        <w:t xml:space="preserve"> the</w:t>
      </w:r>
      <w:r w:rsidR="001049BE">
        <w:t xml:space="preserve"> </w:t>
      </w:r>
      <w:r w:rsidR="003503CB">
        <w:t xml:space="preserve">hospitalized </w:t>
      </w:r>
      <w:r w:rsidR="001049BE">
        <w:t>patient</w:t>
      </w:r>
      <w:r w:rsidR="009033BD">
        <w:t>s</w:t>
      </w:r>
      <w:r w:rsidR="00455090">
        <w:t xml:space="preserve"> (</w:t>
      </w:r>
      <w:r w:rsidR="002F5105">
        <w:t xml:space="preserve">i.e., </w:t>
      </w:r>
      <w:r w:rsidR="00BF6479">
        <w:t>we excluded</w:t>
      </w:r>
      <w:r w:rsidR="00C751A9">
        <w:t xml:space="preserve"> patients</w:t>
      </w:r>
      <w:r w:rsidR="00BF6479">
        <w:t xml:space="preserve"> </w:t>
      </w:r>
      <w:r w:rsidR="004E438B">
        <w:t xml:space="preserve">1) </w:t>
      </w:r>
      <w:r w:rsidR="00BF6479">
        <w:t xml:space="preserve">with </w:t>
      </w:r>
      <w:r w:rsidR="00455090">
        <w:t>Medicare coverage</w:t>
      </w:r>
      <w:r w:rsidR="004E438B">
        <w:t>,</w:t>
      </w:r>
      <w:r w:rsidR="002F5105">
        <w:t xml:space="preserve"> </w:t>
      </w:r>
      <w:r w:rsidR="004E438B">
        <w:t xml:space="preserve">2) </w:t>
      </w:r>
      <w:r w:rsidR="00697A09">
        <w:t xml:space="preserve">with capitated </w:t>
      </w:r>
      <w:r w:rsidR="008845AB">
        <w:t xml:space="preserve">insurance </w:t>
      </w:r>
      <w:r w:rsidR="00697A09">
        <w:t>plans</w:t>
      </w:r>
      <w:r w:rsidR="00C751A9">
        <w:t>, or 3)</w:t>
      </w:r>
      <w:r w:rsidR="002422C5">
        <w:t xml:space="preserve"> who did not have </w:t>
      </w:r>
      <w:r w:rsidR="00455090">
        <w:t xml:space="preserve">continuous enrollment </w:t>
      </w:r>
      <w:r w:rsidR="00C96880">
        <w:t xml:space="preserve">in their insurance plans for the period </w:t>
      </w:r>
      <w:r w:rsidR="002F5105">
        <w:t xml:space="preserve">between 30 days before and 90 days after the first diagnosis of malaria). </w:t>
      </w:r>
      <w:r w:rsidR="008A4BD3">
        <w:t>In the third and final stage, w</w:t>
      </w:r>
      <w:r w:rsidR="005F3EA7">
        <w:t xml:space="preserve">e </w:t>
      </w:r>
      <w:r w:rsidR="000205B7">
        <w:t>attempted to exclude</w:t>
      </w:r>
      <w:r w:rsidR="005F3EA7">
        <w:t xml:space="preserve"> individuals with malaria outpatient diagnosis codes </w:t>
      </w:r>
      <w:r w:rsidR="000205B7">
        <w:t xml:space="preserve">who </w:t>
      </w:r>
      <w:r w:rsidR="00111263">
        <w:t xml:space="preserve">had prescription drug claims that were consistent with chemoprophylaxis regimens as opposed to infection treatment regimens. </w:t>
      </w:r>
      <w:r w:rsidR="00A92A41">
        <w:t>We used</w:t>
      </w:r>
      <w:r w:rsidR="00B4641E">
        <w:t xml:space="preserve"> </w:t>
      </w:r>
      <w:r w:rsidR="007B3ABB">
        <w:t xml:space="preserve">the use and days of supply </w:t>
      </w:r>
      <w:r w:rsidR="00700B6B">
        <w:t xml:space="preserve">of </w:t>
      </w:r>
      <w:r w:rsidR="007B3ABB">
        <w:t xml:space="preserve">antimalarial </w:t>
      </w:r>
      <w:r w:rsidR="00700B6B">
        <w:t>drug</w:t>
      </w:r>
      <w:r w:rsidR="007B3ABB">
        <w:t>s</w:t>
      </w:r>
      <w:r w:rsidR="00700B6B">
        <w:t xml:space="preserve"> to determine </w:t>
      </w:r>
      <w:r w:rsidR="0004527F">
        <w:t>the</w:t>
      </w:r>
      <w:r w:rsidR="00700B6B">
        <w:t xml:space="preserve"> final cohort of outpatients with malaria</w:t>
      </w:r>
      <w:r w:rsidR="00A92A41">
        <w:t xml:space="preserve"> infections</w:t>
      </w:r>
      <w:r w:rsidR="00700B6B">
        <w:t>.</w:t>
      </w:r>
      <w:r w:rsidR="006F4D25">
        <w:t xml:space="preserve"> </w:t>
      </w:r>
      <w:r w:rsidR="00F03FD3">
        <w:t>I</w:t>
      </w:r>
      <w:r w:rsidR="007F5AEC">
        <w:t>ndividuals</w:t>
      </w:r>
      <w:r w:rsidR="00CD2929">
        <w:t xml:space="preserve"> with malaria diagnosis codes</w:t>
      </w:r>
      <w:r w:rsidR="007F5AEC">
        <w:t xml:space="preserve"> </w:t>
      </w:r>
      <w:r w:rsidR="00797277">
        <w:t>were classified as having malaria</w:t>
      </w:r>
      <w:r w:rsidR="003550A3">
        <w:t xml:space="preserve"> </w:t>
      </w:r>
      <w:r w:rsidR="00980B08">
        <w:t xml:space="preserve">infection </w:t>
      </w:r>
      <w:r w:rsidR="003550A3">
        <w:t xml:space="preserve">if </w:t>
      </w:r>
      <w:r w:rsidR="00980B08">
        <w:t>they filled prescriptions</w:t>
      </w:r>
      <w:r w:rsidR="006B7EBA">
        <w:t xml:space="preserve"> for </w:t>
      </w:r>
      <w:r w:rsidR="002518E1">
        <w:t xml:space="preserve">1) </w:t>
      </w:r>
      <w:r w:rsidR="00F95CFA">
        <w:t>artemether</w:t>
      </w:r>
      <w:r w:rsidR="00962E07">
        <w:t>-lumefantrine</w:t>
      </w:r>
      <w:r w:rsidR="00861A69">
        <w:t>, 2)</w:t>
      </w:r>
      <w:r w:rsidR="00F95CFA">
        <w:t xml:space="preserve"> quinine</w:t>
      </w:r>
      <w:r w:rsidR="00962E07">
        <w:t xml:space="preserve"> sulfate</w:t>
      </w:r>
      <w:r w:rsidR="006B7EBA">
        <w:t>,</w:t>
      </w:r>
      <w:r w:rsidR="002518E1">
        <w:t xml:space="preserve"> </w:t>
      </w:r>
      <w:r w:rsidR="00861A69">
        <w:t>3</w:t>
      </w:r>
      <w:r w:rsidR="002518E1">
        <w:t>)</w:t>
      </w:r>
      <w:r w:rsidR="006B7EBA">
        <w:t xml:space="preserve"> atovaquone</w:t>
      </w:r>
      <w:r w:rsidR="00610512">
        <w:t>-proguanil</w:t>
      </w:r>
      <w:r w:rsidR="006B7EBA">
        <w:t xml:space="preserve"> </w:t>
      </w:r>
      <w:r w:rsidR="00F03556">
        <w:t xml:space="preserve">with </w:t>
      </w:r>
      <w:r w:rsidR="009A095F">
        <w:rPr>
          <w:rFonts w:cstheme="minorHAnsi"/>
        </w:rPr>
        <w:t>≤8</w:t>
      </w:r>
      <w:r w:rsidR="00F03556">
        <w:t xml:space="preserve"> days of supply</w:t>
      </w:r>
      <w:r w:rsidR="009A095F">
        <w:t xml:space="preserve">, </w:t>
      </w:r>
      <w:r w:rsidR="00861A69">
        <w:t>4</w:t>
      </w:r>
      <w:r w:rsidR="009A095F">
        <w:t>)</w:t>
      </w:r>
      <w:r w:rsidR="00861A69">
        <w:t xml:space="preserve"> chloroquine</w:t>
      </w:r>
      <w:r w:rsidR="00610512">
        <w:t xml:space="preserve"> phosphate with </w:t>
      </w:r>
      <w:r w:rsidR="00610512">
        <w:rPr>
          <w:rFonts w:cstheme="minorHAnsi"/>
        </w:rPr>
        <w:t>≤5</w:t>
      </w:r>
      <w:r w:rsidR="00610512">
        <w:t xml:space="preserve"> days of supply</w:t>
      </w:r>
      <w:r w:rsidR="00DA4FF4">
        <w:t xml:space="preserve">, 5) mefloquine with </w:t>
      </w:r>
      <w:r w:rsidR="00DA4FF4">
        <w:rPr>
          <w:rFonts w:cstheme="minorHAnsi"/>
        </w:rPr>
        <w:t>≤5</w:t>
      </w:r>
      <w:r w:rsidR="00DA4FF4">
        <w:t xml:space="preserve"> days of supply, 6) hydroxychloroquine with </w:t>
      </w:r>
      <w:r w:rsidR="00DA4FF4">
        <w:rPr>
          <w:rFonts w:cstheme="minorHAnsi"/>
        </w:rPr>
        <w:t>≤</w:t>
      </w:r>
      <w:r w:rsidR="002A560C">
        <w:rPr>
          <w:rFonts w:cstheme="minorHAnsi"/>
        </w:rPr>
        <w:t>5</w:t>
      </w:r>
      <w:r w:rsidR="00DA4FF4">
        <w:t xml:space="preserve"> days of supply</w:t>
      </w:r>
      <w:r w:rsidR="002A560C">
        <w:t xml:space="preserve">, or 7) primaquine phosphate with </w:t>
      </w:r>
      <w:r w:rsidR="002A560C">
        <w:rPr>
          <w:rFonts w:cstheme="minorHAnsi"/>
        </w:rPr>
        <w:t>≤15</w:t>
      </w:r>
      <w:r w:rsidR="002A560C">
        <w:t xml:space="preserve"> days of supply,</w:t>
      </w:r>
      <w:r w:rsidR="00962E07">
        <w:t xml:space="preserve"> between 30 days before and 90 days after the first </w:t>
      </w:r>
      <w:r w:rsidR="00B567EE">
        <w:t xml:space="preserve">outpatient </w:t>
      </w:r>
      <w:r w:rsidR="00962E07">
        <w:t>diagnosis of malaria</w:t>
      </w:r>
      <w:r w:rsidR="002A560C">
        <w:t xml:space="preserve">. </w:t>
      </w:r>
      <w:r w:rsidR="006A5F80">
        <w:t xml:space="preserve">The </w:t>
      </w:r>
      <w:r w:rsidR="00C27A10">
        <w:t>thresholds</w:t>
      </w:r>
      <w:r w:rsidR="006A5F80">
        <w:t xml:space="preserve"> of days of supply were determined based on </w:t>
      </w:r>
      <w:r w:rsidR="00F10643">
        <w:t>the</w:t>
      </w:r>
      <w:r w:rsidR="006A5F80">
        <w:t xml:space="preserve"> treatment re</w:t>
      </w:r>
      <w:r w:rsidR="00F10643">
        <w:t>gimen for each drug</w:t>
      </w:r>
      <w:r w:rsidR="00B63C90">
        <w:t xml:space="preserve"> in order to exclude individuals who appeared to fill prescriptions </w:t>
      </w:r>
      <w:r w:rsidR="00B1072E">
        <w:t>that would be consistent with chemoprohylaxis</w:t>
      </w:r>
      <w:r w:rsidR="00F10643">
        <w:t>.</w:t>
      </w:r>
      <w:r w:rsidR="00C27A10">
        <w:fldChar w:fldCharType="begin"/>
      </w:r>
      <w:r w:rsidR="009F2A17">
        <w:instrText xml:space="preserve"> ADDIN EN.CITE &lt;EndNote&gt;&lt;Cite&gt;&lt;RecNum&gt;91&lt;/RecNum&gt;&lt;DisplayText&gt;&lt;style face="superscript"&gt;4&lt;/style&gt;&lt;/DisplayText&gt;&lt;record&gt;&lt;rec-number&gt;91&lt;/rec-number&gt;&lt;foreign-keys&gt;&lt;key app="EN" db-id="rrvxx5xepft2a4edp9dvrv5ltvwzxz5xtape" timestamp="1657899836"&gt;91&lt;/key&gt;&lt;/foreign-keys&gt;&lt;ref-type name="Web Page"&gt;12&lt;/ref-type&gt;&lt;contributors&gt;&lt;/contributors&gt;&lt;titles&gt;&lt;title&gt;CDC. Malaria: treatment of malaria: guidelines for clinicians (United States)&lt;/title&gt;&lt;/titles&gt;&lt;volume&gt;2022&lt;/volume&gt;&lt;number&gt;January 4&lt;/number&gt;&lt;dates&gt;&lt;pub-dates&gt;&lt;date&gt;September 30, 2022&lt;/date&gt;&lt;/pub-dates&gt;&lt;/dates&gt;&lt;pub-location&gt;Atlanta, GA&lt;/pub-location&gt;&lt;publisher&gt;Centers for Disease Control and Prevention&lt;/publisher&gt;&lt;urls&gt;&lt;related-urls&gt;&lt;url&gt;https://www.cdc.gov/malaria/diagnosis_treatment/clinicians1.html&lt;/url&gt;&lt;/related-urls&gt;&lt;/urls&gt;&lt;/record&gt;&lt;/Cite&gt;&lt;/EndNote&gt;</w:instrText>
      </w:r>
      <w:r w:rsidR="00C27A10">
        <w:fldChar w:fldCharType="separate"/>
      </w:r>
      <w:r w:rsidR="000B25B5" w:rsidRPr="000B25B5">
        <w:rPr>
          <w:noProof/>
          <w:vertAlign w:val="superscript"/>
        </w:rPr>
        <w:t>4</w:t>
      </w:r>
      <w:r w:rsidR="00C27A10">
        <w:fldChar w:fldCharType="end"/>
      </w:r>
      <w:r w:rsidR="00F10643">
        <w:t xml:space="preserve"> </w:t>
      </w:r>
      <w:r w:rsidR="004F1367">
        <w:t xml:space="preserve">The </w:t>
      </w:r>
      <w:r w:rsidR="00F773E4">
        <w:t xml:space="preserve">sample </w:t>
      </w:r>
      <w:r w:rsidR="004F1367">
        <w:t>selection w</w:t>
      </w:r>
      <w:r w:rsidR="00367968">
        <w:t>as</w:t>
      </w:r>
      <w:r w:rsidR="004F1367">
        <w:t xml:space="preserve"> conducted sequentially</w:t>
      </w:r>
      <w:r w:rsidR="00202141">
        <w:t xml:space="preserve"> </w:t>
      </w:r>
      <w:r w:rsidR="008616F1">
        <w:t xml:space="preserve">from 1) to 7) </w:t>
      </w:r>
      <w:r w:rsidR="00956BA8">
        <w:t xml:space="preserve">and continued </w:t>
      </w:r>
      <w:r w:rsidR="00202141">
        <w:t>until</w:t>
      </w:r>
      <w:r w:rsidR="00956BA8">
        <w:t xml:space="preserve"> no further </w:t>
      </w:r>
      <w:r w:rsidR="000D4763">
        <w:t>patients with treatment con</w:t>
      </w:r>
      <w:r w:rsidR="008630AF">
        <w:t>sistent with recommended regimens for malaria infection</w:t>
      </w:r>
      <w:r w:rsidR="000D4763">
        <w:t xml:space="preserve"> </w:t>
      </w:r>
      <w:r w:rsidR="008616F1">
        <w:t>were f</w:t>
      </w:r>
      <w:r w:rsidR="00956BA8">
        <w:t>ound</w:t>
      </w:r>
      <w:r w:rsidR="004F1367">
        <w:t>.</w:t>
      </w:r>
      <w:r w:rsidR="00174E35">
        <w:t xml:space="preserve"> </w:t>
      </w:r>
      <w:r w:rsidR="00237BF7">
        <w:t>W</w:t>
      </w:r>
      <w:r w:rsidR="00174E35">
        <w:t xml:space="preserve">e further excluded </w:t>
      </w:r>
      <w:r w:rsidR="008630AF">
        <w:t xml:space="preserve">individuals </w:t>
      </w:r>
      <w:r w:rsidR="00237BF7">
        <w:t xml:space="preserve">who were </w:t>
      </w:r>
      <w:r w:rsidR="00127A8F">
        <w:t>observed</w:t>
      </w:r>
      <w:r w:rsidR="008630AF">
        <w:t xml:space="preserve"> </w:t>
      </w:r>
      <w:r w:rsidR="00932B21">
        <w:t>to have</w:t>
      </w:r>
      <w:r w:rsidR="00ED5C6E">
        <w:t xml:space="preserve"> </w:t>
      </w:r>
      <w:r w:rsidR="003F2583">
        <w:t>received</w:t>
      </w:r>
      <w:r w:rsidR="00ED5C6E">
        <w:t xml:space="preserve"> prescription drugs</w:t>
      </w:r>
      <w:r w:rsidR="007C4012">
        <w:t xml:space="preserve"> </w:t>
      </w:r>
      <w:r w:rsidR="00DD0A70">
        <w:t xml:space="preserve">consistent with </w:t>
      </w:r>
      <w:r w:rsidR="007C4012">
        <w:t xml:space="preserve">both </w:t>
      </w:r>
      <w:r w:rsidR="00D81FDC">
        <w:t>m</w:t>
      </w:r>
      <w:r w:rsidR="007C4012">
        <w:t>alaria treatment and prophylaxis purposes</w:t>
      </w:r>
      <w:r w:rsidR="00B93388">
        <w:t xml:space="preserve"> (i.e., they filled at least one prescription consistent with treatment for malaria infection and one prescription consistent with malaria chemopro</w:t>
      </w:r>
      <w:r w:rsidR="00CF4293">
        <w:t>p</w:t>
      </w:r>
      <w:r w:rsidR="00B93388">
        <w:t>hylaxis)</w:t>
      </w:r>
      <w:r w:rsidR="00630DF4">
        <w:t>.</w:t>
      </w:r>
      <w:r w:rsidR="00680A14">
        <w:t xml:space="preserve"> </w:t>
      </w:r>
      <w:r w:rsidR="00630DF4">
        <w:t>We also excluded</w:t>
      </w:r>
      <w:r w:rsidR="00FD08B8">
        <w:t xml:space="preserve"> </w:t>
      </w:r>
      <w:r w:rsidR="00F3089B">
        <w:t>individuals who did not have outpatient visit</w:t>
      </w:r>
      <w:r w:rsidR="00974DE0">
        <w:t>s</w:t>
      </w:r>
      <w:r w:rsidR="00F3089B">
        <w:t xml:space="preserve"> with malaria </w:t>
      </w:r>
      <w:r w:rsidR="00974DE0">
        <w:t xml:space="preserve">diagnoses between 30 days before and 30 days after the </w:t>
      </w:r>
      <w:r w:rsidR="00C96799">
        <w:t xml:space="preserve">prescription fill of </w:t>
      </w:r>
      <w:r w:rsidR="000A4384">
        <w:t>anti</w:t>
      </w:r>
      <w:r w:rsidR="00C96799">
        <w:t>malarial drugs</w:t>
      </w:r>
      <w:r w:rsidR="007C4012">
        <w:t>.</w:t>
      </w:r>
      <w:r w:rsidR="00714715">
        <w:t xml:space="preserve"> </w:t>
      </w:r>
    </w:p>
    <w:p w14:paraId="0B8484C5" w14:textId="5C0FD600" w:rsidR="00063982" w:rsidRPr="00E64A19" w:rsidRDefault="00063982" w:rsidP="00F665C7">
      <w:pPr>
        <w:spacing w:line="276" w:lineRule="auto"/>
        <w:rPr>
          <w:b/>
          <w:bCs/>
        </w:rPr>
      </w:pPr>
      <w:r w:rsidRPr="00E64A19">
        <w:rPr>
          <w:b/>
          <w:bCs/>
        </w:rPr>
        <w:t>Outcomes</w:t>
      </w:r>
    </w:p>
    <w:p w14:paraId="1E785220" w14:textId="76A71267" w:rsidR="00FA2AF4" w:rsidRDefault="00FA2AF4" w:rsidP="002A7B07">
      <w:pPr>
        <w:spacing w:after="120" w:line="276" w:lineRule="auto"/>
      </w:pPr>
      <w:r>
        <w:t xml:space="preserve">We estimated the </w:t>
      </w:r>
      <w:r w:rsidR="00872920">
        <w:t>mean</w:t>
      </w:r>
      <w:r>
        <w:t xml:space="preserve"> cost of malaria treatment per person </w:t>
      </w:r>
      <w:r w:rsidR="00B64842">
        <w:t>associated with the first malaria diagnos</w:t>
      </w:r>
      <w:r w:rsidR="00F55794">
        <w:t>i</w:t>
      </w:r>
      <w:r w:rsidR="00B64842">
        <w:t>s</w:t>
      </w:r>
      <w:r w:rsidR="000D3BFF">
        <w:t xml:space="preserve"> (i.e.</w:t>
      </w:r>
      <w:r w:rsidR="009F142F">
        <w:t>,</w:t>
      </w:r>
      <w:r w:rsidR="00E82509">
        <w:t xml:space="preserve"> if the same individual was diagnosed with malaria </w:t>
      </w:r>
      <w:r w:rsidR="00532CCC">
        <w:t>after at least a 90-day period</w:t>
      </w:r>
      <w:r w:rsidR="00D637C6">
        <w:t xml:space="preserve">, the second observation would not be included in our analysis). </w:t>
      </w:r>
      <w:r w:rsidR="00D830D9">
        <w:t>We included an observation period of up to 120 days to include additional treatment costs associated with the initial malaria diagnosis</w:t>
      </w:r>
      <w:r w:rsidR="00D830D9" w:rsidDel="00A35B28">
        <w:t xml:space="preserve"> </w:t>
      </w:r>
      <w:r w:rsidR="00D830D9">
        <w:t xml:space="preserve">for each patient. </w:t>
      </w:r>
      <w:r w:rsidR="00D637C6">
        <w:t xml:space="preserve">We </w:t>
      </w:r>
      <w:r w:rsidR="00D637C6">
        <w:lastRenderedPageBreak/>
        <w:t xml:space="preserve">separately reported results </w:t>
      </w:r>
      <w:r>
        <w:t xml:space="preserve">for </w:t>
      </w:r>
      <w:r w:rsidR="0036677F">
        <w:t>hospitalized</w:t>
      </w:r>
      <w:r>
        <w:t xml:space="preserve"> and </w:t>
      </w:r>
      <w:r w:rsidR="0036677F">
        <w:t xml:space="preserve">non-hospitalized </w:t>
      </w:r>
      <w:r>
        <w:t xml:space="preserve">patients. </w:t>
      </w:r>
      <w:r w:rsidR="005B3185">
        <w:t>The costs were estimated</w:t>
      </w:r>
      <w:r w:rsidR="007B6DF6">
        <w:t xml:space="preserve"> using the reported payments in the </w:t>
      </w:r>
      <w:r w:rsidR="0082673F">
        <w:t>MarketScan Research D</w:t>
      </w:r>
      <w:r w:rsidR="007B6DF6">
        <w:t>atabases.</w:t>
      </w:r>
    </w:p>
    <w:p w14:paraId="6144FEB7" w14:textId="4FA3D6A8" w:rsidR="00E844F5" w:rsidRDefault="00E14F41" w:rsidP="00F665C7">
      <w:pPr>
        <w:spacing w:after="120" w:line="276" w:lineRule="auto"/>
      </w:pPr>
      <w:r>
        <w:t xml:space="preserve">For </w:t>
      </w:r>
      <w:r w:rsidR="00016392">
        <w:t xml:space="preserve">hospitalized </w:t>
      </w:r>
      <w:r>
        <w:t xml:space="preserve">patients, </w:t>
      </w:r>
      <w:r w:rsidR="00E844F5">
        <w:t>we examined the costs of inpatient services, outpatient services, and outpatient prescription drug</w:t>
      </w:r>
      <w:r w:rsidR="00093EB2">
        <w:t>s</w:t>
      </w:r>
      <w:r w:rsidR="00D32BB3">
        <w:t xml:space="preserve"> for malaria treatment</w:t>
      </w:r>
      <w:r w:rsidR="00240A35">
        <w:t xml:space="preserve"> that were incurred </w:t>
      </w:r>
      <w:r w:rsidR="006A70FC">
        <w:t xml:space="preserve">within a period before and </w:t>
      </w:r>
      <w:r w:rsidR="007133AE">
        <w:t xml:space="preserve">after hospitalization. </w:t>
      </w:r>
      <w:r w:rsidR="00686CE7">
        <w:t xml:space="preserve">Information about </w:t>
      </w:r>
      <w:r w:rsidR="009628EB">
        <w:t xml:space="preserve"> prescription drugs administered while hospitalized are not available in </w:t>
      </w:r>
      <w:r w:rsidR="0003625D">
        <w:t xml:space="preserve">the </w:t>
      </w:r>
      <w:r w:rsidR="009628EB">
        <w:t>MarketScan</w:t>
      </w:r>
      <w:r w:rsidR="0041215E">
        <w:t xml:space="preserve"> </w:t>
      </w:r>
      <w:r w:rsidR="0003625D">
        <w:t>Research D</w:t>
      </w:r>
      <w:r w:rsidR="0041215E">
        <w:t>atabase</w:t>
      </w:r>
      <w:r w:rsidR="0003625D">
        <w:t>s</w:t>
      </w:r>
      <w:r w:rsidR="009628EB">
        <w:t xml:space="preserve"> and </w:t>
      </w:r>
      <w:r w:rsidR="003A5BC2">
        <w:t xml:space="preserve">associated </w:t>
      </w:r>
      <w:r w:rsidR="009628EB">
        <w:t>payments</w:t>
      </w:r>
      <w:r w:rsidR="003A5BC2">
        <w:t xml:space="preserve"> </w:t>
      </w:r>
      <w:r w:rsidR="009628EB">
        <w:t>are assumed to be included in the</w:t>
      </w:r>
      <w:r w:rsidR="003A5BC2">
        <w:t xml:space="preserve"> </w:t>
      </w:r>
      <w:r w:rsidR="009628EB">
        <w:t>inpatient services</w:t>
      </w:r>
      <w:r w:rsidR="004D31C0">
        <w:t xml:space="preserve"> payments</w:t>
      </w:r>
      <w:r w:rsidR="00E844F5">
        <w:t xml:space="preserve">. </w:t>
      </w:r>
      <w:r w:rsidR="00EE1BB8" w:rsidRPr="00E81413">
        <w:rPr>
          <w:u w:val="single"/>
        </w:rPr>
        <w:t>T</w:t>
      </w:r>
      <w:r w:rsidR="00FB61FA" w:rsidRPr="00E81413">
        <w:rPr>
          <w:u w:val="single"/>
        </w:rPr>
        <w:t xml:space="preserve">he costs of </w:t>
      </w:r>
      <w:r w:rsidR="00FB61FA" w:rsidRPr="00BB5DD2">
        <w:rPr>
          <w:b/>
          <w:bCs/>
          <w:u w:val="single"/>
        </w:rPr>
        <w:t>inpatient services</w:t>
      </w:r>
      <w:r w:rsidR="00FB61FA">
        <w:t xml:space="preserve"> </w:t>
      </w:r>
      <w:r w:rsidR="004A147A">
        <w:t xml:space="preserve">were defined as costs for </w:t>
      </w:r>
      <w:r w:rsidR="00CB23A1">
        <w:t xml:space="preserve">any </w:t>
      </w:r>
      <w:r w:rsidR="004A147A">
        <w:t>inpatient services with malaria diagnosis code</w:t>
      </w:r>
      <w:r w:rsidR="007D7D53">
        <w:t>s</w:t>
      </w:r>
      <w:r w:rsidR="004A147A">
        <w:t xml:space="preserve"> </w:t>
      </w:r>
      <w:r w:rsidR="00E7078F">
        <w:t xml:space="preserve">incurred </w:t>
      </w:r>
      <w:r w:rsidR="001A2561">
        <w:t>within</w:t>
      </w:r>
      <w:r w:rsidR="00E7078F">
        <w:t xml:space="preserve"> 90 days </w:t>
      </w:r>
      <w:r w:rsidR="009D57EC">
        <w:t xml:space="preserve">after </w:t>
      </w:r>
      <w:r w:rsidR="00E7078F">
        <w:t>the first inpatient diagnosis of malaria.</w:t>
      </w:r>
      <w:r w:rsidR="00D9042C">
        <w:t xml:space="preserve"> We assumed that the </w:t>
      </w:r>
      <w:r w:rsidR="00EF02DE">
        <w:t>90</w:t>
      </w:r>
      <w:r w:rsidR="00FF3F79">
        <w:t>-</w:t>
      </w:r>
      <w:r w:rsidR="00EF02DE">
        <w:t>day</w:t>
      </w:r>
      <w:r w:rsidR="00FF3F79">
        <w:t xml:space="preserve"> </w:t>
      </w:r>
      <w:r w:rsidR="00B55F4C">
        <w:t>window</w:t>
      </w:r>
      <w:r w:rsidR="00EF02DE">
        <w:t xml:space="preserve"> would </w:t>
      </w:r>
      <w:r w:rsidR="00167A03">
        <w:t xml:space="preserve">include </w:t>
      </w:r>
      <w:r w:rsidR="00D32ABC">
        <w:t xml:space="preserve">all </w:t>
      </w:r>
      <w:r w:rsidR="000326D8">
        <w:t xml:space="preserve">inpatient </w:t>
      </w:r>
      <w:r w:rsidR="00D32ABC">
        <w:t xml:space="preserve">services </w:t>
      </w:r>
      <w:r w:rsidR="00EF02DE">
        <w:t>associated with the first malaria hospitalization.</w:t>
      </w:r>
      <w:r w:rsidR="00E7078F">
        <w:t xml:space="preserve"> </w:t>
      </w:r>
      <w:r w:rsidR="007E61FB">
        <w:t xml:space="preserve">For </w:t>
      </w:r>
      <w:r w:rsidR="00327CE6" w:rsidRPr="00327CE6">
        <w:rPr>
          <w:u w:val="single"/>
        </w:rPr>
        <w:t xml:space="preserve">costs of </w:t>
      </w:r>
      <w:r w:rsidR="007E61FB" w:rsidRPr="00BB5DD2">
        <w:rPr>
          <w:b/>
          <w:bCs/>
          <w:u w:val="single"/>
        </w:rPr>
        <w:t>outpatient services</w:t>
      </w:r>
      <w:r w:rsidR="00814917" w:rsidRPr="00814917">
        <w:rPr>
          <w:u w:val="single"/>
        </w:rPr>
        <w:t xml:space="preserve"> among hospitalized patients</w:t>
      </w:r>
      <w:r w:rsidR="00E42880">
        <w:rPr>
          <w:u w:val="single"/>
        </w:rPr>
        <w:t xml:space="preserve">, </w:t>
      </w:r>
      <w:r w:rsidR="008009B3">
        <w:t>we</w:t>
      </w:r>
      <w:r w:rsidR="00215251">
        <w:t xml:space="preserve"> </w:t>
      </w:r>
      <w:r w:rsidR="00FC52CC">
        <w:t xml:space="preserve">estimated the costs of outpatient services incurred between 30 days before and </w:t>
      </w:r>
      <w:r w:rsidR="00E42880">
        <w:t>9</w:t>
      </w:r>
      <w:r w:rsidR="00FC52CC">
        <w:t xml:space="preserve">0 days after the </w:t>
      </w:r>
      <w:r w:rsidR="003D335C">
        <w:t xml:space="preserve">date of </w:t>
      </w:r>
      <w:r w:rsidR="0077121B">
        <w:t xml:space="preserve">first </w:t>
      </w:r>
      <w:r w:rsidR="0069220D">
        <w:t xml:space="preserve">inpatient diagnosis of malaria. </w:t>
      </w:r>
      <w:r w:rsidR="00DB3268">
        <w:t xml:space="preserve">For </w:t>
      </w:r>
      <w:r w:rsidR="00EE1BB8" w:rsidRPr="00E81413">
        <w:rPr>
          <w:u w:val="single"/>
        </w:rPr>
        <w:t xml:space="preserve">costs of </w:t>
      </w:r>
      <w:r w:rsidR="00EE1BB8" w:rsidRPr="00BB5DD2">
        <w:rPr>
          <w:b/>
          <w:bCs/>
          <w:u w:val="single"/>
        </w:rPr>
        <w:t>outpatient prescription drugs</w:t>
      </w:r>
      <w:r w:rsidR="00D2738D">
        <w:t xml:space="preserve"> among </w:t>
      </w:r>
      <w:r w:rsidR="005320B3">
        <w:t xml:space="preserve">hospitalized </w:t>
      </w:r>
      <w:r w:rsidR="00D2738D">
        <w:t>patients</w:t>
      </w:r>
      <w:r w:rsidR="00EE1BB8">
        <w:t>,</w:t>
      </w:r>
      <w:r w:rsidR="00D2738D">
        <w:t xml:space="preserve"> we</w:t>
      </w:r>
      <w:r w:rsidR="00FD3922">
        <w:t xml:space="preserve"> </w:t>
      </w:r>
      <w:r w:rsidR="00494158">
        <w:t>e</w:t>
      </w:r>
      <w:r w:rsidR="00EF12A3">
        <w:t xml:space="preserve">stimated the costs </w:t>
      </w:r>
      <w:r w:rsidR="00312D1B">
        <w:t xml:space="preserve">of </w:t>
      </w:r>
      <w:r w:rsidR="00FC7176">
        <w:t xml:space="preserve">antimalarial drugs </w:t>
      </w:r>
      <w:r w:rsidR="00690BD2">
        <w:t xml:space="preserve">used </w:t>
      </w:r>
      <w:r w:rsidR="00FC7176">
        <w:t>for malaria treatment</w:t>
      </w:r>
      <w:r w:rsidR="00312D1B">
        <w:t xml:space="preserve"> only</w:t>
      </w:r>
      <w:r w:rsidR="00FC7176">
        <w:t xml:space="preserve">, which was determined by the same algorithm used for </w:t>
      </w:r>
      <w:r w:rsidR="00312D1B">
        <w:t xml:space="preserve">selecting </w:t>
      </w:r>
      <w:r w:rsidR="0014386A">
        <w:t xml:space="preserve">malaria </w:t>
      </w:r>
      <w:r w:rsidR="00F660CA">
        <w:t xml:space="preserve">non-hospitalized </w:t>
      </w:r>
      <w:r w:rsidR="0014386A">
        <w:t>patients as des</w:t>
      </w:r>
      <w:r w:rsidR="009D29CA">
        <w:t>cribed above</w:t>
      </w:r>
      <w:r w:rsidR="0046639C">
        <w:t xml:space="preserve"> (i.e., restricting </w:t>
      </w:r>
      <w:r w:rsidR="00281D95">
        <w:t xml:space="preserve">antimalarial drug use to those with </w:t>
      </w:r>
      <w:r w:rsidR="00215593">
        <w:t xml:space="preserve">reasonable days of supply </w:t>
      </w:r>
      <w:r w:rsidR="00D3314F">
        <w:t xml:space="preserve">that were consistent with </w:t>
      </w:r>
      <w:r w:rsidR="00331C05">
        <w:t xml:space="preserve">malaria </w:t>
      </w:r>
      <w:r w:rsidR="00D3314F">
        <w:t xml:space="preserve">infection </w:t>
      </w:r>
      <w:r w:rsidR="00215593">
        <w:t>treatment regimen</w:t>
      </w:r>
      <w:r w:rsidR="00D3314F">
        <w:t>s</w:t>
      </w:r>
      <w:r w:rsidR="00215593">
        <w:t>)</w:t>
      </w:r>
      <w:r w:rsidR="009D29CA">
        <w:t>,</w:t>
      </w:r>
      <w:r w:rsidR="001E227B">
        <w:t xml:space="preserve"> incurred between 30 days before and 90 days after the first inpatient malaria diagnosis</w:t>
      </w:r>
      <w:r w:rsidR="00FC7176">
        <w:t xml:space="preserve">. </w:t>
      </w:r>
      <w:r w:rsidR="00B012FC">
        <w:t>We</w:t>
      </w:r>
      <w:r w:rsidR="008F1D10">
        <w:t xml:space="preserve"> assumed that the use of antimalarial drugs associate</w:t>
      </w:r>
      <w:r w:rsidR="009B2200">
        <w:t>d</w:t>
      </w:r>
      <w:r w:rsidR="008F1D10">
        <w:t xml:space="preserve"> with the first </w:t>
      </w:r>
      <w:r w:rsidR="00E86CC0">
        <w:t>inpatient malaria diagnosis</w:t>
      </w:r>
      <w:r w:rsidR="009B2200">
        <w:t xml:space="preserve"> would occur </w:t>
      </w:r>
      <w:r w:rsidR="00252E86">
        <w:t xml:space="preserve">between </w:t>
      </w:r>
      <w:r w:rsidR="00BC4E12">
        <w:t>30</w:t>
      </w:r>
      <w:r w:rsidR="00252E86">
        <w:t xml:space="preserve"> </w:t>
      </w:r>
      <w:r w:rsidR="00BC4E12">
        <w:t>day</w:t>
      </w:r>
      <w:r w:rsidR="00252E86">
        <w:t>s</w:t>
      </w:r>
      <w:r w:rsidR="00BC4E12">
        <w:t xml:space="preserve"> before and 90</w:t>
      </w:r>
      <w:r w:rsidR="00252E86">
        <w:t xml:space="preserve"> </w:t>
      </w:r>
      <w:r w:rsidR="00BC4E12">
        <w:t>day</w:t>
      </w:r>
      <w:r w:rsidR="00252E86">
        <w:t>s</w:t>
      </w:r>
      <w:r w:rsidR="00BC4E12">
        <w:t xml:space="preserve"> after</w:t>
      </w:r>
      <w:r w:rsidR="00DA7E98">
        <w:t xml:space="preserve"> the first malaria hospitalization</w:t>
      </w:r>
      <w:r w:rsidR="00252E86">
        <w:t>.</w:t>
      </w:r>
      <w:r w:rsidR="0004049E">
        <w:t xml:space="preserve"> </w:t>
      </w:r>
    </w:p>
    <w:p w14:paraId="2B609550" w14:textId="2D67321C" w:rsidR="004440E3" w:rsidRDefault="00C62DBE" w:rsidP="005B7230">
      <w:pPr>
        <w:spacing w:after="120" w:line="276" w:lineRule="auto"/>
      </w:pPr>
      <w:r>
        <w:t xml:space="preserve">For </w:t>
      </w:r>
      <w:r w:rsidR="00244C4F">
        <w:t>non-hospi</w:t>
      </w:r>
      <w:r w:rsidR="00FC4F56">
        <w:t xml:space="preserve">talized </w:t>
      </w:r>
      <w:r>
        <w:t>patients, we examined the costs of outpatient services and prescription drugs for malaria treatment</w:t>
      </w:r>
      <w:r w:rsidR="003360FD">
        <w:t>.</w:t>
      </w:r>
      <w:r>
        <w:t xml:space="preserve"> </w:t>
      </w:r>
      <w:r w:rsidR="003360FD">
        <w:t xml:space="preserve">For </w:t>
      </w:r>
      <w:r w:rsidR="003360FD" w:rsidRPr="00327CE6">
        <w:rPr>
          <w:u w:val="single"/>
        </w:rPr>
        <w:t>costs of outpatient service</w:t>
      </w:r>
      <w:r w:rsidR="003360FD" w:rsidRPr="00E81413">
        <w:rPr>
          <w:u w:val="single"/>
        </w:rPr>
        <w:t>s</w:t>
      </w:r>
      <w:r w:rsidR="003360FD">
        <w:t xml:space="preserve">, we </w:t>
      </w:r>
      <w:r w:rsidR="00065CC0">
        <w:t xml:space="preserve">first </w:t>
      </w:r>
      <w:r w:rsidR="003360FD">
        <w:t xml:space="preserve">identified the date of </w:t>
      </w:r>
      <w:r w:rsidR="001313FF">
        <w:t xml:space="preserve">the </w:t>
      </w:r>
      <w:r w:rsidR="003360FD">
        <w:t xml:space="preserve">first use of antimalarial drugs between 30 days before and 90 days after their first </w:t>
      </w:r>
      <w:r w:rsidR="00065CC0">
        <w:t>out</w:t>
      </w:r>
      <w:r w:rsidR="003360FD">
        <w:t xml:space="preserve">patient diagnosis of malaria. </w:t>
      </w:r>
      <w:r w:rsidR="00422F24">
        <w:t xml:space="preserve">Then, </w:t>
      </w:r>
      <w:r w:rsidR="003360FD">
        <w:t>we estimated the costs of outpatient services incurred between 30 days before and 30 days after the date of first antimalaria</w:t>
      </w:r>
      <w:r w:rsidR="00A62E52">
        <w:t>l</w:t>
      </w:r>
      <w:r w:rsidR="003360FD">
        <w:t xml:space="preserve"> drug use</w:t>
      </w:r>
      <w:r w:rsidR="00000CE2">
        <w:t xml:space="preserve"> for treatment</w:t>
      </w:r>
      <w:r w:rsidR="003360FD">
        <w:t xml:space="preserve">. </w:t>
      </w:r>
      <w:r w:rsidR="007E6BBC">
        <w:t xml:space="preserve">For </w:t>
      </w:r>
      <w:r w:rsidR="003360FD" w:rsidRPr="00E81413">
        <w:rPr>
          <w:u w:val="single"/>
        </w:rPr>
        <w:t>costs of prescription drugs</w:t>
      </w:r>
      <w:r w:rsidR="003360FD">
        <w:t xml:space="preserve">, we </w:t>
      </w:r>
      <w:r w:rsidR="00997785">
        <w:t xml:space="preserve">used the same algorithm as that for hospitalized patient and </w:t>
      </w:r>
      <w:r w:rsidR="003360FD">
        <w:t xml:space="preserve">estimated </w:t>
      </w:r>
      <w:r w:rsidR="00FF4785">
        <w:t xml:space="preserve">only </w:t>
      </w:r>
      <w:r w:rsidR="003360FD">
        <w:t xml:space="preserve">the costs of antimalarial drugs used for malaria treatment incurred between 30 days before and 90 days after the first </w:t>
      </w:r>
      <w:r w:rsidR="00B17AB9">
        <w:t>out</w:t>
      </w:r>
      <w:r w:rsidR="003360FD">
        <w:t>patient malaria diagnosis.</w:t>
      </w:r>
      <w:r w:rsidR="00B17AB9">
        <w:t xml:space="preserve"> The same algorithm was used to determine whether the drug was </w:t>
      </w:r>
      <w:r w:rsidR="00D5094C">
        <w:t xml:space="preserve">used </w:t>
      </w:r>
      <w:r w:rsidR="00B17AB9">
        <w:t xml:space="preserve">for </w:t>
      </w:r>
      <w:r w:rsidR="0041093A">
        <w:t xml:space="preserve">malaria infection </w:t>
      </w:r>
      <w:r w:rsidR="00B17AB9">
        <w:t>treatment.</w:t>
      </w:r>
    </w:p>
    <w:p w14:paraId="6AFA1E66" w14:textId="73669914" w:rsidR="00EA2E54" w:rsidRDefault="00A129B8" w:rsidP="00F665C7">
      <w:pPr>
        <w:spacing w:line="276" w:lineRule="auto"/>
      </w:pPr>
      <w:r>
        <w:t>All c</w:t>
      </w:r>
      <w:r w:rsidR="00EA2E54">
        <w:t xml:space="preserve">osts were </w:t>
      </w:r>
      <w:r w:rsidR="00CA69E6">
        <w:t>further examined by source of payment, insurance and out-of-pocket</w:t>
      </w:r>
      <w:r w:rsidR="00DD1092">
        <w:t>.</w:t>
      </w:r>
      <w:r w:rsidR="00E25E41">
        <w:t xml:space="preserve"> Insurance cost was estimated based on </w:t>
      </w:r>
      <w:r w:rsidR="009037DF">
        <w:t>the</w:t>
      </w:r>
      <w:r w:rsidR="00E25E41">
        <w:t xml:space="preserve"> amount</w:t>
      </w:r>
      <w:r w:rsidR="009037DF">
        <w:t xml:space="preserve"> of payments made </w:t>
      </w:r>
      <w:r w:rsidR="00E25E41">
        <w:t xml:space="preserve">by </w:t>
      </w:r>
      <w:r w:rsidR="009037DF">
        <w:t xml:space="preserve">the </w:t>
      </w:r>
      <w:r w:rsidR="00E25E41">
        <w:t>insurance</w:t>
      </w:r>
      <w:r w:rsidR="009037DF">
        <w:t xml:space="preserve"> provider,</w:t>
      </w:r>
      <w:r w:rsidR="00E25E41">
        <w:t xml:space="preserve"> and </w:t>
      </w:r>
      <w:r w:rsidR="009037DF">
        <w:t xml:space="preserve">the </w:t>
      </w:r>
      <w:r w:rsidR="00E25E41">
        <w:t>out-of-pocket cost</w:t>
      </w:r>
      <w:r w:rsidR="00AE12F8">
        <w:t xml:space="preserve"> was based on</w:t>
      </w:r>
      <w:r w:rsidR="009037DF">
        <w:t xml:space="preserve"> the</w:t>
      </w:r>
      <w:r w:rsidR="00AE12F8">
        <w:t xml:space="preserve"> amount of </w:t>
      </w:r>
      <w:r w:rsidR="0058077A">
        <w:t>d</w:t>
      </w:r>
      <w:r w:rsidR="003B041C">
        <w:t>eductible</w:t>
      </w:r>
      <w:r w:rsidR="0058077A">
        <w:t>s, copayments, and coinsurance</w:t>
      </w:r>
      <w:r w:rsidR="003B041C">
        <w:t xml:space="preserve"> paid by patient</w:t>
      </w:r>
      <w:r w:rsidR="0058077A">
        <w:t>s</w:t>
      </w:r>
      <w:r w:rsidR="003B041C">
        <w:t xml:space="preserve">. </w:t>
      </w:r>
    </w:p>
    <w:p w14:paraId="26D8783E" w14:textId="2EB4AB20" w:rsidR="004440E3" w:rsidRPr="005240D1" w:rsidRDefault="004440E3" w:rsidP="00F665C7">
      <w:pPr>
        <w:spacing w:line="276" w:lineRule="auto"/>
        <w:rPr>
          <w:b/>
          <w:bCs/>
        </w:rPr>
      </w:pPr>
      <w:r w:rsidRPr="005240D1">
        <w:rPr>
          <w:b/>
          <w:bCs/>
        </w:rPr>
        <w:t xml:space="preserve">Statistical </w:t>
      </w:r>
      <w:r w:rsidR="005240D1">
        <w:rPr>
          <w:b/>
          <w:bCs/>
        </w:rPr>
        <w:t>A</w:t>
      </w:r>
      <w:r w:rsidRPr="005240D1">
        <w:rPr>
          <w:b/>
          <w:bCs/>
        </w:rPr>
        <w:t>nalyses</w:t>
      </w:r>
    </w:p>
    <w:p w14:paraId="7119D271" w14:textId="0F4CF640" w:rsidR="00B731C1" w:rsidRDefault="004440E3" w:rsidP="00284DE1">
      <w:pPr>
        <w:spacing w:after="120" w:line="276" w:lineRule="auto"/>
      </w:pPr>
      <w:r>
        <w:t>Descriptive statistics were reported for</w:t>
      </w:r>
      <w:r w:rsidR="009A0123">
        <w:t xml:space="preserve"> demographic and </w:t>
      </w:r>
      <w:r w:rsidR="00145531">
        <w:t xml:space="preserve">selected </w:t>
      </w:r>
      <w:r w:rsidR="009A0123">
        <w:t xml:space="preserve">clinical characteristics  of </w:t>
      </w:r>
      <w:r w:rsidR="004B0107">
        <w:t xml:space="preserve">the </w:t>
      </w:r>
      <w:r w:rsidR="009A0123">
        <w:t>study</w:t>
      </w:r>
      <w:r w:rsidR="005240D1">
        <w:t xml:space="preserve"> population</w:t>
      </w:r>
      <w:r w:rsidR="009A0123">
        <w:t xml:space="preserve">. </w:t>
      </w:r>
      <w:r w:rsidR="00EE3056" w:rsidRPr="00F940F8">
        <w:rPr>
          <w:rFonts w:hint="eastAsia"/>
        </w:rPr>
        <w:t>For each patient, we extracted data on available patient characteristics, including age (</w:t>
      </w:r>
      <w:r w:rsidR="00EE3056">
        <w:t xml:space="preserve">0-17, 18-39, 40-64, 65-79, and 80+ </w:t>
      </w:r>
      <w:r w:rsidR="00EE3056" w:rsidRPr="00F940F8">
        <w:rPr>
          <w:rFonts w:hint="eastAsia"/>
        </w:rPr>
        <w:t>years old)</w:t>
      </w:r>
      <w:r w:rsidR="00EE3056">
        <w:t xml:space="preserve">, </w:t>
      </w:r>
      <w:r w:rsidR="00EE3056" w:rsidRPr="00F940F8">
        <w:rPr>
          <w:rFonts w:hint="eastAsia"/>
        </w:rPr>
        <w:t xml:space="preserve">sex (female, and male), </w:t>
      </w:r>
      <w:r w:rsidR="00EE3056">
        <w:t>census</w:t>
      </w:r>
      <w:r w:rsidR="00EE3056" w:rsidRPr="00F940F8">
        <w:rPr>
          <w:rFonts w:hint="eastAsia"/>
        </w:rPr>
        <w:t xml:space="preserve"> region (</w:t>
      </w:r>
      <w:r w:rsidR="00EE3056">
        <w:t>South</w:t>
      </w:r>
      <w:r w:rsidR="00EE3056" w:rsidRPr="00F940F8">
        <w:t xml:space="preserve">, </w:t>
      </w:r>
      <w:r w:rsidR="00EE3056">
        <w:t xml:space="preserve">Northeast, Midwest, </w:t>
      </w:r>
      <w:r w:rsidR="00EE3056" w:rsidRPr="00F940F8">
        <w:t xml:space="preserve">and </w:t>
      </w:r>
      <w:r w:rsidR="00EE3056">
        <w:t>West</w:t>
      </w:r>
      <w:r w:rsidR="00EE3056" w:rsidRPr="00F940F8">
        <w:t>),</w:t>
      </w:r>
      <w:r w:rsidR="00EE3056">
        <w:t xml:space="preserve"> urbanicity of residence (urban and rural), </w:t>
      </w:r>
      <w:r w:rsidR="00595430" w:rsidRPr="0041093A">
        <w:t xml:space="preserve">one or more </w:t>
      </w:r>
      <w:r w:rsidR="00027F3F" w:rsidRPr="0041093A">
        <w:t>diagnosis</w:t>
      </w:r>
      <w:r w:rsidR="00027F3F">
        <w:t xml:space="preserve"> code</w:t>
      </w:r>
      <w:r w:rsidR="00AD0980">
        <w:t>s</w:t>
      </w:r>
      <w:r w:rsidR="00027F3F">
        <w:t xml:space="preserve"> for </w:t>
      </w:r>
      <w:r w:rsidR="00EE3056">
        <w:t>plasmodium species (</w:t>
      </w:r>
      <w:r w:rsidR="00EE3056" w:rsidRPr="004779DA">
        <w:rPr>
          <w:i/>
          <w:iCs/>
        </w:rPr>
        <w:t xml:space="preserve">P. falciparum, </w:t>
      </w:r>
      <w:r w:rsidR="00EE3056">
        <w:rPr>
          <w:i/>
          <w:iCs/>
        </w:rPr>
        <w:t>P</w:t>
      </w:r>
      <w:r w:rsidR="00EE3056" w:rsidRPr="004779DA">
        <w:rPr>
          <w:i/>
          <w:iCs/>
        </w:rPr>
        <w:t xml:space="preserve">. vivax, </w:t>
      </w:r>
      <w:r w:rsidR="00EE3056">
        <w:rPr>
          <w:i/>
          <w:iCs/>
        </w:rPr>
        <w:t>P</w:t>
      </w:r>
      <w:r w:rsidR="00EE3056" w:rsidRPr="004779DA">
        <w:rPr>
          <w:i/>
          <w:iCs/>
        </w:rPr>
        <w:t xml:space="preserve">. </w:t>
      </w:r>
      <w:proofErr w:type="spellStart"/>
      <w:r w:rsidR="00EE3056" w:rsidRPr="004779DA">
        <w:rPr>
          <w:i/>
          <w:iCs/>
        </w:rPr>
        <w:t>ovale</w:t>
      </w:r>
      <w:proofErr w:type="spellEnd"/>
      <w:r w:rsidR="00EE3056" w:rsidRPr="004779DA">
        <w:rPr>
          <w:i/>
          <w:iCs/>
        </w:rPr>
        <w:t xml:space="preserve">, </w:t>
      </w:r>
      <w:r w:rsidR="00EE3056">
        <w:rPr>
          <w:i/>
          <w:iCs/>
        </w:rPr>
        <w:t>P</w:t>
      </w:r>
      <w:r w:rsidR="00EE3056" w:rsidRPr="004779DA">
        <w:rPr>
          <w:i/>
          <w:iCs/>
        </w:rPr>
        <w:t xml:space="preserve">. </w:t>
      </w:r>
      <w:proofErr w:type="spellStart"/>
      <w:r w:rsidR="00EE3056" w:rsidRPr="004779DA">
        <w:rPr>
          <w:i/>
          <w:iCs/>
        </w:rPr>
        <w:t>malariae</w:t>
      </w:r>
      <w:proofErr w:type="spellEnd"/>
      <w:r w:rsidR="00EE3056" w:rsidRPr="004779DA">
        <w:rPr>
          <w:i/>
          <w:iCs/>
        </w:rPr>
        <w:t xml:space="preserve">, </w:t>
      </w:r>
      <w:r w:rsidR="00EE3056">
        <w:rPr>
          <w:i/>
          <w:iCs/>
        </w:rPr>
        <w:t>P</w:t>
      </w:r>
      <w:r w:rsidR="00EE3056" w:rsidRPr="004779DA">
        <w:rPr>
          <w:i/>
          <w:iCs/>
        </w:rPr>
        <w:t xml:space="preserve">. </w:t>
      </w:r>
      <w:proofErr w:type="spellStart"/>
      <w:r w:rsidR="00EE3056" w:rsidRPr="004779DA">
        <w:rPr>
          <w:i/>
          <w:iCs/>
        </w:rPr>
        <w:t>knowlesi</w:t>
      </w:r>
      <w:proofErr w:type="spellEnd"/>
      <w:r w:rsidR="00EE3056" w:rsidRPr="004779DA">
        <w:rPr>
          <w:i/>
          <w:iCs/>
        </w:rPr>
        <w:t>, other</w:t>
      </w:r>
      <w:r w:rsidR="00EE3056">
        <w:rPr>
          <w:i/>
          <w:iCs/>
        </w:rPr>
        <w:t xml:space="preserve"> malaria</w:t>
      </w:r>
      <w:r w:rsidR="00EE3056" w:rsidRPr="004779DA">
        <w:rPr>
          <w:i/>
          <w:iCs/>
        </w:rPr>
        <w:t>, and unspecified</w:t>
      </w:r>
      <w:r w:rsidR="00EE3056">
        <w:rPr>
          <w:i/>
          <w:iCs/>
        </w:rPr>
        <w:t xml:space="preserve"> malaria</w:t>
      </w:r>
      <w:r w:rsidR="00EE3056">
        <w:t>)</w:t>
      </w:r>
      <w:r w:rsidR="00E82AEA">
        <w:t>.</w:t>
      </w:r>
      <w:r w:rsidR="00EE3056">
        <w:t xml:space="preserve"> </w:t>
      </w:r>
      <w:r w:rsidR="00E82AEA">
        <w:t>For hospitalized patients,</w:t>
      </w:r>
      <w:r w:rsidR="00EE3056">
        <w:t xml:space="preserve"> length of hospital stay (days</w:t>
      </w:r>
      <w:proofErr w:type="gramStart"/>
      <w:r w:rsidR="0041093A">
        <w:t>)</w:t>
      </w:r>
      <w:proofErr w:type="gramEnd"/>
      <w:r w:rsidR="00EE3056">
        <w:t xml:space="preserve"> </w:t>
      </w:r>
      <w:r w:rsidR="00CC52C4">
        <w:t xml:space="preserve">and severity of malaria </w:t>
      </w:r>
      <w:r w:rsidR="00CC52C4">
        <w:lastRenderedPageBreak/>
        <w:t xml:space="preserve">(uncomplicated and severe malaria) </w:t>
      </w:r>
      <w:r w:rsidR="00C21420">
        <w:t>w</w:t>
      </w:r>
      <w:r w:rsidR="00CC52C4">
        <w:t>ere</w:t>
      </w:r>
      <w:r w:rsidR="00C21420">
        <w:t xml:space="preserve"> also examined</w:t>
      </w:r>
      <w:r w:rsidR="00EE3056" w:rsidRPr="00F940F8">
        <w:t>.</w:t>
      </w:r>
      <w:r w:rsidR="00EE3056" w:rsidRPr="00161DDB">
        <w:t xml:space="preserve"> </w:t>
      </w:r>
      <w:r w:rsidR="00AD4550">
        <w:t>Information o</w:t>
      </w:r>
      <w:r w:rsidR="00290B1D">
        <w:t>n</w:t>
      </w:r>
      <w:r w:rsidR="00AD4550">
        <w:t xml:space="preserve"> c</w:t>
      </w:r>
      <w:r w:rsidR="000555BD">
        <w:t>ensus region and urbanicity of residence</w:t>
      </w:r>
      <w:r w:rsidR="00AD4550">
        <w:t xml:space="preserve"> w</w:t>
      </w:r>
      <w:r w:rsidR="005344DC">
        <w:t>as</w:t>
      </w:r>
      <w:r w:rsidR="00AD4550">
        <w:t xml:space="preserve"> not available for patients in the </w:t>
      </w:r>
      <w:r w:rsidR="00AD4550" w:rsidRPr="00063982">
        <w:t xml:space="preserve">MarketScan® </w:t>
      </w:r>
      <w:r w:rsidR="00AD4550">
        <w:t xml:space="preserve">Multi-state Medicaid Database. </w:t>
      </w:r>
    </w:p>
    <w:p w14:paraId="39BB46D0" w14:textId="02AB7DCE" w:rsidR="00F940F8" w:rsidRDefault="00161DDB" w:rsidP="004E7CE9">
      <w:pPr>
        <w:spacing w:after="60" w:line="276" w:lineRule="auto"/>
      </w:pPr>
      <w:r>
        <w:t xml:space="preserve">To examine the significance of differences between </w:t>
      </w:r>
      <w:r w:rsidR="00CE5258">
        <w:t xml:space="preserve">privately insured </w:t>
      </w:r>
      <w:r w:rsidR="00380F9A">
        <w:t xml:space="preserve">hospitalized </w:t>
      </w:r>
      <w:r>
        <w:t xml:space="preserve">patients with primary </w:t>
      </w:r>
      <w:r w:rsidR="00E142D2">
        <w:t xml:space="preserve">malaria </w:t>
      </w:r>
      <w:r>
        <w:t xml:space="preserve">diagnoses and those with non-primary diagnoses, we used </w:t>
      </w:r>
      <w:r w:rsidR="005E3B86">
        <w:t xml:space="preserve">Welch’s </w:t>
      </w:r>
      <w:r w:rsidR="00254069">
        <w:t xml:space="preserve">t-test </w:t>
      </w:r>
      <w:r w:rsidR="007048F0">
        <w:t>f</w:t>
      </w:r>
      <w:r>
        <w:t>or</w:t>
      </w:r>
      <w:r w:rsidR="007048F0">
        <w:t xml:space="preserve"> the </w:t>
      </w:r>
      <w:r w:rsidR="00074602">
        <w:t>m</w:t>
      </w:r>
      <w:r w:rsidR="00A4569E">
        <w:t xml:space="preserve">ean age and </w:t>
      </w:r>
      <w:r w:rsidR="007048F0">
        <w:t xml:space="preserve">length of </w:t>
      </w:r>
      <w:r w:rsidR="00C6750A">
        <w:t xml:space="preserve">hospital stay </w:t>
      </w:r>
      <w:r w:rsidR="00D04836">
        <w:t xml:space="preserve">and </w:t>
      </w:r>
      <w:r w:rsidR="007048F0">
        <w:t xml:space="preserve">simple logistic regression for the proportion of </w:t>
      </w:r>
      <w:r w:rsidR="003311E9">
        <w:t xml:space="preserve">uncomplicated and </w:t>
      </w:r>
      <w:r w:rsidR="007048F0">
        <w:t xml:space="preserve">severe malaria. </w:t>
      </w:r>
      <w:r w:rsidR="000452A2" w:rsidRPr="000452A2">
        <w:t xml:space="preserve">P-values &lt;0.05 were deemed statistically significant. </w:t>
      </w:r>
      <w:r w:rsidR="000B54DE">
        <w:t xml:space="preserve">For the other </w:t>
      </w:r>
      <w:r w:rsidR="00323057">
        <w:t>characteristics</w:t>
      </w:r>
      <w:r w:rsidR="006D0EEF">
        <w:t xml:space="preserve"> (</w:t>
      </w:r>
      <w:r w:rsidR="00DE52C6">
        <w:t xml:space="preserve">age group, </w:t>
      </w:r>
      <w:r w:rsidR="00750EAF">
        <w:t>sex</w:t>
      </w:r>
      <w:r w:rsidR="00DE52C6">
        <w:t xml:space="preserve">, </w:t>
      </w:r>
      <w:r w:rsidR="00756198">
        <w:t xml:space="preserve">census region, </w:t>
      </w:r>
      <w:r w:rsidR="0065197B">
        <w:t>rural</w:t>
      </w:r>
      <w:r w:rsidR="006026B6">
        <w:t>, and plasmodium species)</w:t>
      </w:r>
      <w:r w:rsidR="005A5096">
        <w:t>,</w:t>
      </w:r>
      <w:r w:rsidR="00493CD8">
        <w:t xml:space="preserve"> significant differences between the two groups (</w:t>
      </w:r>
      <w:r w:rsidR="00E84D54">
        <w:t>privately insured hospitalized patients with primary and non-primary malaria diagnoses)</w:t>
      </w:r>
      <w:r w:rsidR="00D75695">
        <w:t xml:space="preserve"> were </w:t>
      </w:r>
      <w:r w:rsidR="0063418A">
        <w:t>determined ba</w:t>
      </w:r>
      <w:r w:rsidR="00743A60">
        <w:t>sed on whether</w:t>
      </w:r>
      <w:r w:rsidR="00D75695">
        <w:t xml:space="preserve"> </w:t>
      </w:r>
      <w:r w:rsidR="00E2108C">
        <w:t xml:space="preserve">95% </w:t>
      </w:r>
      <w:r w:rsidR="00C217F3">
        <w:t>confidence intervals</w:t>
      </w:r>
      <w:r w:rsidR="00743A60">
        <w:t xml:space="preserve"> overlapped</w:t>
      </w:r>
      <w:r w:rsidR="00421B24">
        <w:t>.</w:t>
      </w:r>
      <w:r w:rsidR="0065197B">
        <w:t xml:space="preserve"> </w:t>
      </w:r>
      <w:r w:rsidR="00CE5258">
        <w:t xml:space="preserve">Due to </w:t>
      </w:r>
      <w:r w:rsidR="00E6418C">
        <w:t xml:space="preserve">small sample sizes, we did not perform statistical testing for patients with Medicaid. </w:t>
      </w:r>
      <w:r w:rsidR="00705751">
        <w:t>All costs were adjusted to 2019 U</w:t>
      </w:r>
      <w:r w:rsidR="008C75DB">
        <w:t>.</w:t>
      </w:r>
      <w:r w:rsidR="00705751">
        <w:t>S</w:t>
      </w:r>
      <w:r w:rsidR="008C75DB">
        <w:t>.</w:t>
      </w:r>
      <w:r w:rsidR="00D82697">
        <w:t xml:space="preserve"> dollars</w:t>
      </w:r>
      <w:r w:rsidR="00705751">
        <w:t xml:space="preserve"> using the Consumer Price Index for medical care.</w:t>
      </w:r>
      <w:r w:rsidR="00F37096">
        <w:fldChar w:fldCharType="begin"/>
      </w:r>
      <w:r w:rsidR="000B25B5">
        <w:instrText xml:space="preserve"> ADDIN EN.CITE &lt;EndNote&gt;&lt;Cite&gt;&lt;Year&gt;2022&lt;/Year&gt;&lt;RecNum&gt;97&lt;/RecNum&gt;&lt;DisplayText&gt;&lt;style face="superscript"&gt;5&lt;/style&gt;&lt;/DisplayText&gt;&lt;record&gt;&lt;rec-number&gt;97&lt;/rec-number&gt;&lt;foreign-keys&gt;&lt;key app="EN" db-id="rrvxx5xepft2a4edp9dvrv5ltvwzxz5xtape" timestamp="1658959846"&gt;97&lt;/key&gt;&lt;/foreign-keys&gt;&lt;ref-type name="Web Page"&gt;12&lt;/ref-type&gt;&lt;contributors&gt;&lt;/contributors&gt;&lt;titles&gt;&lt;title&gt;CPI for All Urban Consumers (CPI-U), U.S. city average, Medical care&lt;/title&gt;&lt;/titles&gt;&lt;volume&gt;2022&lt;/volume&gt;&lt;number&gt;February 5&lt;/number&gt;&lt;dates&gt;&lt;year&gt;2022&lt;/year&gt;&lt;/dates&gt;&lt;pub-location&gt;Washington, DC&lt;/pub-location&gt;&lt;publisher&gt;U.S. Bureau of Labor Statistics&lt;/publisher&gt;&lt;urls&gt;&lt;related-urls&gt;&lt;url&gt;https://data.bls.gov/cgi-bin/surveymost?cu&lt;/url&gt;&lt;/related-urls&gt;&lt;/urls&gt;&lt;/record&gt;&lt;/Cite&gt;&lt;/EndNote&gt;</w:instrText>
      </w:r>
      <w:r w:rsidR="00F37096">
        <w:fldChar w:fldCharType="separate"/>
      </w:r>
      <w:r w:rsidR="000B25B5" w:rsidRPr="000B25B5">
        <w:rPr>
          <w:noProof/>
          <w:vertAlign w:val="superscript"/>
        </w:rPr>
        <w:t>5</w:t>
      </w:r>
      <w:r w:rsidR="00F37096">
        <w:fldChar w:fldCharType="end"/>
      </w:r>
      <w:r w:rsidR="00F940F8">
        <w:t xml:space="preserve"> </w:t>
      </w:r>
      <w:r w:rsidR="00E83888">
        <w:t>An</w:t>
      </w:r>
      <w:r w:rsidR="00C507AD">
        <w:t>alyses were conducted using</w:t>
      </w:r>
      <w:r w:rsidR="00E92B8D">
        <w:t xml:space="preserve"> Stata SE </w:t>
      </w:r>
      <w:r w:rsidR="002C2808">
        <w:t>S</w:t>
      </w:r>
      <w:r w:rsidR="004D2D99">
        <w:t xml:space="preserve">tatistical </w:t>
      </w:r>
      <w:r w:rsidR="002C2808">
        <w:t>S</w:t>
      </w:r>
      <w:r w:rsidR="004D2D99">
        <w:t xml:space="preserve">oftware </w:t>
      </w:r>
      <w:r w:rsidR="002B4A40">
        <w:t>(</w:t>
      </w:r>
      <w:r w:rsidR="004D2D99">
        <w:t xml:space="preserve">version </w:t>
      </w:r>
      <w:r w:rsidR="00E92B8D">
        <w:t>16.1</w:t>
      </w:r>
      <w:r w:rsidR="00E30377">
        <w:t xml:space="preserve">, </w:t>
      </w:r>
      <w:proofErr w:type="spellStart"/>
      <w:r w:rsidR="00E30377">
        <w:t>StataCorp</w:t>
      </w:r>
      <w:proofErr w:type="spellEnd"/>
      <w:r w:rsidR="00E30377">
        <w:t xml:space="preserve"> LLC, College Station, TX)</w:t>
      </w:r>
      <w:r w:rsidR="00E92B8D">
        <w:t xml:space="preserve">. </w:t>
      </w:r>
    </w:p>
    <w:p w14:paraId="77804CA4" w14:textId="0AC36155" w:rsidR="00C0673F" w:rsidRDefault="00C0673F" w:rsidP="00F665C7">
      <w:pPr>
        <w:spacing w:line="276" w:lineRule="auto"/>
      </w:pPr>
      <w:r>
        <w:t xml:space="preserve">Additional </w:t>
      </w:r>
      <w:r w:rsidR="0008020E">
        <w:t xml:space="preserve">details regarding the cost of treatment </w:t>
      </w:r>
      <w:r w:rsidR="00E90B23">
        <w:t>are</w:t>
      </w:r>
      <w:r w:rsidR="0008020E">
        <w:t xml:space="preserve"> provided as </w:t>
      </w:r>
      <w:proofErr w:type="spellStart"/>
      <w:r w:rsidR="0008020E">
        <w:t>eAppendix</w:t>
      </w:r>
      <w:proofErr w:type="spellEnd"/>
      <w:r w:rsidR="0008020E">
        <w:t xml:space="preserve"> </w:t>
      </w:r>
      <w:r w:rsidR="004B0FE7">
        <w:t>5</w:t>
      </w:r>
      <w:r w:rsidR="0008020E">
        <w:t>.</w:t>
      </w:r>
    </w:p>
    <w:p w14:paraId="58774E0C" w14:textId="2FA85CDE" w:rsidR="008540D9" w:rsidRDefault="00CF1049" w:rsidP="004E7CE9">
      <w:r>
        <w:br w:type="page"/>
      </w:r>
      <w:r w:rsidRPr="002A7B07">
        <w:rPr>
          <w:rStyle w:val="Heading2Char"/>
        </w:rPr>
        <w:lastRenderedPageBreak/>
        <w:t>Appendix 2</w:t>
      </w:r>
      <w:r>
        <w:t>.</w:t>
      </w:r>
      <w:r w:rsidR="008540D9">
        <w:t xml:space="preserve"> </w:t>
      </w:r>
      <w:bookmarkStart w:id="0" w:name="_Hlk110329903"/>
      <w:r w:rsidR="008540D9">
        <w:t>Selection</w:t>
      </w:r>
      <w:bookmarkEnd w:id="0"/>
      <w:r w:rsidR="008540D9">
        <w:t xml:space="preserve"> of privately insured patients with malaria, Oct 2015</w:t>
      </w:r>
      <w:r w:rsidR="008540D9">
        <w:rPr>
          <w:rFonts w:cstheme="minorHAnsi"/>
        </w:rPr>
        <w:t>−</w:t>
      </w:r>
      <w:r w:rsidR="008540D9">
        <w:t xml:space="preserve">Dec 2019 </w:t>
      </w:r>
      <w:proofErr w:type="spellStart"/>
      <w:r w:rsidR="00232C6A">
        <w:t>Merative</w:t>
      </w:r>
      <w:proofErr w:type="spellEnd"/>
      <w:r w:rsidR="00232C6A" w:rsidRPr="00063982">
        <w:t>®</w:t>
      </w:r>
      <w:r w:rsidR="008540D9">
        <w:t xml:space="preserve"> MarketScan</w:t>
      </w:r>
      <w:r w:rsidR="008540D9">
        <w:rPr>
          <w:rFonts w:cstheme="minorHAnsi"/>
        </w:rPr>
        <w:t>®</w:t>
      </w:r>
      <w:r w:rsidR="008540D9">
        <w:t xml:space="preserve"> Commercial Claims and Encounters </w:t>
      </w:r>
      <w:r w:rsidR="00067E9E">
        <w:t>D</w:t>
      </w:r>
      <w:r w:rsidR="008540D9">
        <w:t xml:space="preserve">atabase  </w:t>
      </w:r>
    </w:p>
    <w:p w14:paraId="73FA185E" w14:textId="77777777" w:rsidR="008540D9" w:rsidRDefault="008540D9" w:rsidP="008540D9">
      <w:pPr>
        <w:spacing w:after="0" w:line="240" w:lineRule="auto"/>
      </w:pPr>
    </w:p>
    <w:p w14:paraId="5C85D192" w14:textId="29BC95FD" w:rsidR="008540D9" w:rsidRDefault="008540D9" w:rsidP="008540D9">
      <w:pPr>
        <w:spacing w:after="0"/>
      </w:pPr>
      <w:r>
        <w:t xml:space="preserve">(a) </w:t>
      </w:r>
      <w:r w:rsidR="00FD2B06">
        <w:t>Hospitalized patients</w:t>
      </w:r>
    </w:p>
    <w:p w14:paraId="42D2DB88" w14:textId="77777777" w:rsidR="00BF1CAC" w:rsidRDefault="00BF1CAC" w:rsidP="008540D9">
      <w:pPr>
        <w:spacing w:after="0"/>
      </w:pPr>
    </w:p>
    <w:p w14:paraId="10B4D0E2" w14:textId="09C6774E" w:rsidR="0093286D" w:rsidRDefault="00D80FBB" w:rsidP="008540D9">
      <w:pPr>
        <w:spacing w:after="0"/>
      </w:pPr>
      <w:r>
        <w:rPr>
          <w:noProof/>
        </w:rPr>
        <w:drawing>
          <wp:inline distT="0" distB="0" distL="0" distR="0" wp14:anchorId="2D429F08" wp14:editId="5CED502F">
            <wp:extent cx="5301574" cy="342594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828" cy="3435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0066C" w14:textId="09734337" w:rsidR="00BF1CAC" w:rsidRDefault="00BF1CAC" w:rsidP="008540D9">
      <w:pPr>
        <w:spacing w:after="0"/>
      </w:pPr>
    </w:p>
    <w:p w14:paraId="28B59056" w14:textId="77777777" w:rsidR="00F471FA" w:rsidRDefault="00F471FA" w:rsidP="008540D9">
      <w:pPr>
        <w:spacing w:after="0"/>
      </w:pPr>
    </w:p>
    <w:p w14:paraId="0C88C7B4" w14:textId="5FFD3DE5" w:rsidR="00A0699D" w:rsidRDefault="00A0699D" w:rsidP="008540D9">
      <w:pPr>
        <w:spacing w:after="0"/>
      </w:pPr>
    </w:p>
    <w:p w14:paraId="14C5BEF5" w14:textId="77777777" w:rsidR="008540D9" w:rsidRDefault="008540D9" w:rsidP="008540D9">
      <w:pPr>
        <w:spacing w:after="0"/>
      </w:pPr>
    </w:p>
    <w:p w14:paraId="799AA223" w14:textId="77777777" w:rsidR="0046577F" w:rsidRDefault="0046577F" w:rsidP="008540D9">
      <w:pPr>
        <w:spacing w:after="0"/>
      </w:pPr>
    </w:p>
    <w:p w14:paraId="648CDFDB" w14:textId="77777777" w:rsidR="008540D9" w:rsidRDefault="008540D9" w:rsidP="008540D9">
      <w:pPr>
        <w:spacing w:after="0"/>
      </w:pPr>
    </w:p>
    <w:p w14:paraId="0B74C974" w14:textId="77777777" w:rsidR="008540D9" w:rsidRDefault="008540D9" w:rsidP="008540D9">
      <w:pPr>
        <w:spacing w:after="0"/>
      </w:pPr>
    </w:p>
    <w:p w14:paraId="1A610D82" w14:textId="77777777" w:rsidR="008540D9" w:rsidRDefault="008540D9" w:rsidP="008540D9">
      <w:pPr>
        <w:spacing w:after="0"/>
      </w:pPr>
    </w:p>
    <w:p w14:paraId="184FE7B4" w14:textId="77777777" w:rsidR="008540D9" w:rsidRDefault="008540D9" w:rsidP="008540D9">
      <w:r>
        <w:br w:type="page"/>
      </w:r>
    </w:p>
    <w:p w14:paraId="4C78B610" w14:textId="3ED0BCED" w:rsidR="008540D9" w:rsidRDefault="008540D9" w:rsidP="00F471FA">
      <w:pPr>
        <w:spacing w:after="120"/>
      </w:pPr>
      <w:r w:rsidRPr="0085440F">
        <w:lastRenderedPageBreak/>
        <w:t xml:space="preserve">(b) </w:t>
      </w:r>
      <w:r w:rsidR="00210638">
        <w:t xml:space="preserve">Non-hospitalized </w:t>
      </w:r>
      <w:r w:rsidRPr="0085440F">
        <w:t xml:space="preserve">patients </w:t>
      </w:r>
    </w:p>
    <w:p w14:paraId="68EC9E8C" w14:textId="398E23D5" w:rsidR="005A6A53" w:rsidRDefault="003B3405" w:rsidP="00F471FA">
      <w:pPr>
        <w:spacing w:after="120"/>
      </w:pPr>
      <w:r>
        <w:rPr>
          <w:noProof/>
        </w:rPr>
        <w:drawing>
          <wp:inline distT="0" distB="0" distL="0" distR="0" wp14:anchorId="0BE06E60" wp14:editId="50A0D612">
            <wp:extent cx="5521561" cy="7918202"/>
            <wp:effectExtent l="0" t="0" r="317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952" cy="7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D621E" w14:textId="68FF901B" w:rsidR="008540D9" w:rsidRDefault="008540D9" w:rsidP="008540D9">
      <w:pPr>
        <w:spacing w:after="0" w:line="240" w:lineRule="auto"/>
      </w:pPr>
      <w:bookmarkStart w:id="1" w:name="A2"/>
      <w:r w:rsidRPr="008540D9">
        <w:rPr>
          <w:rStyle w:val="Heading2Char"/>
        </w:rPr>
        <w:lastRenderedPageBreak/>
        <w:t xml:space="preserve">Appendix </w:t>
      </w:r>
      <w:bookmarkEnd w:id="1"/>
      <w:r w:rsidRPr="008540D9">
        <w:rPr>
          <w:rStyle w:val="Heading2Char"/>
        </w:rPr>
        <w:t>3.</w:t>
      </w:r>
      <w:r>
        <w:t xml:space="preserve"> Selection of Medicaid enrollees with malaria, Oct 2015</w:t>
      </w:r>
      <w:r>
        <w:rPr>
          <w:rFonts w:cstheme="minorHAnsi"/>
        </w:rPr>
        <w:t>−</w:t>
      </w:r>
      <w:r>
        <w:t xml:space="preserve">Dec 2019 </w:t>
      </w:r>
      <w:proofErr w:type="spellStart"/>
      <w:r w:rsidR="00232C6A">
        <w:t>Merative</w:t>
      </w:r>
      <w:proofErr w:type="spellEnd"/>
      <w:r w:rsidR="00232C6A" w:rsidRPr="00063982">
        <w:t>®</w:t>
      </w:r>
      <w:r w:rsidR="00232C6A">
        <w:t xml:space="preserve"> </w:t>
      </w:r>
      <w:r>
        <w:t>MarketScan</w:t>
      </w:r>
      <w:r>
        <w:rPr>
          <w:rFonts w:cstheme="minorHAnsi"/>
        </w:rPr>
        <w:t>®</w:t>
      </w:r>
      <w:r>
        <w:t xml:space="preserve"> Multi-state Medicaid </w:t>
      </w:r>
      <w:r w:rsidR="00067E9E">
        <w:t>D</w:t>
      </w:r>
      <w:r>
        <w:t xml:space="preserve">atabase </w:t>
      </w:r>
    </w:p>
    <w:p w14:paraId="5049E4A6" w14:textId="77777777" w:rsidR="008540D9" w:rsidRDefault="008540D9" w:rsidP="008540D9">
      <w:pPr>
        <w:spacing w:after="0" w:line="240" w:lineRule="auto"/>
      </w:pPr>
      <w:r>
        <w:t xml:space="preserve"> </w:t>
      </w:r>
    </w:p>
    <w:p w14:paraId="3DD5A6A5" w14:textId="32C3A0CE" w:rsidR="008540D9" w:rsidRDefault="008540D9" w:rsidP="008540D9">
      <w:pPr>
        <w:spacing w:after="0"/>
      </w:pPr>
      <w:r>
        <w:t xml:space="preserve">(a) </w:t>
      </w:r>
      <w:r w:rsidR="00210638">
        <w:t xml:space="preserve">Hospitalized </w:t>
      </w:r>
      <w:r>
        <w:t>patients</w:t>
      </w:r>
    </w:p>
    <w:p w14:paraId="15FCDD79" w14:textId="20C92E3F" w:rsidR="00FB54FF" w:rsidRDefault="00FB54FF" w:rsidP="008540D9">
      <w:pPr>
        <w:spacing w:after="0"/>
      </w:pPr>
    </w:p>
    <w:p w14:paraId="60FFDEB5" w14:textId="5005788D" w:rsidR="00FB54FF" w:rsidRDefault="00882E7F" w:rsidP="008540D9">
      <w:pPr>
        <w:spacing w:after="0"/>
      </w:pPr>
      <w:r>
        <w:rPr>
          <w:noProof/>
        </w:rPr>
        <w:drawing>
          <wp:inline distT="0" distB="0" distL="0" distR="0" wp14:anchorId="64C2EF15" wp14:editId="38BD2E74">
            <wp:extent cx="5116749" cy="3470383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651" cy="34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06964D" w14:textId="1BA416A0" w:rsidR="007617F6" w:rsidRDefault="007617F6" w:rsidP="008540D9">
      <w:pPr>
        <w:spacing w:after="0"/>
      </w:pPr>
    </w:p>
    <w:p w14:paraId="0104C66E" w14:textId="7FADC6AC" w:rsidR="001D7B2C" w:rsidRDefault="001D7B2C" w:rsidP="008540D9">
      <w:pPr>
        <w:spacing w:after="0"/>
      </w:pPr>
    </w:p>
    <w:p w14:paraId="469102BC" w14:textId="12CDCA9F" w:rsidR="007617F6" w:rsidRDefault="007617F6" w:rsidP="008540D9">
      <w:pPr>
        <w:spacing w:after="0"/>
      </w:pPr>
    </w:p>
    <w:p w14:paraId="4866E8D3" w14:textId="77777777" w:rsidR="008540D9" w:rsidRDefault="008540D9" w:rsidP="008540D9">
      <w:pPr>
        <w:spacing w:after="0"/>
      </w:pPr>
    </w:p>
    <w:p w14:paraId="2EFEBB2C" w14:textId="690D3ACC" w:rsidR="008540D9" w:rsidRDefault="008540D9" w:rsidP="008540D9">
      <w:pPr>
        <w:spacing w:after="0"/>
      </w:pPr>
    </w:p>
    <w:p w14:paraId="7D5F5CA0" w14:textId="77777777" w:rsidR="008540D9" w:rsidRDefault="008540D9" w:rsidP="008540D9">
      <w:pPr>
        <w:spacing w:after="0"/>
      </w:pPr>
    </w:p>
    <w:p w14:paraId="4E715791" w14:textId="77777777" w:rsidR="008540D9" w:rsidRDefault="008540D9" w:rsidP="008540D9">
      <w:pPr>
        <w:spacing w:after="0"/>
      </w:pPr>
    </w:p>
    <w:p w14:paraId="6D392FD0" w14:textId="77777777" w:rsidR="008540D9" w:rsidRDefault="008540D9" w:rsidP="008540D9">
      <w:pPr>
        <w:rPr>
          <w:b/>
          <w:bCs/>
        </w:rPr>
      </w:pPr>
      <w:r>
        <w:rPr>
          <w:b/>
          <w:bCs/>
        </w:rPr>
        <w:br w:type="page"/>
      </w:r>
    </w:p>
    <w:p w14:paraId="45EC2C1C" w14:textId="0592B0D5" w:rsidR="008540D9" w:rsidRDefault="008540D9" w:rsidP="008540D9">
      <w:pPr>
        <w:spacing w:after="60"/>
      </w:pPr>
      <w:r w:rsidRPr="00414C62">
        <w:lastRenderedPageBreak/>
        <w:t xml:space="preserve">(b) </w:t>
      </w:r>
      <w:r w:rsidR="00210638">
        <w:t xml:space="preserve">Non-hospitalized </w:t>
      </w:r>
      <w:r w:rsidRPr="00414C62">
        <w:t>patients</w:t>
      </w:r>
    </w:p>
    <w:p w14:paraId="67967BE5" w14:textId="4F2296FA" w:rsidR="00AF3074" w:rsidRDefault="00AF3074" w:rsidP="008540D9">
      <w:pPr>
        <w:spacing w:after="60"/>
      </w:pPr>
      <w:r>
        <w:rPr>
          <w:noProof/>
        </w:rPr>
        <w:drawing>
          <wp:inline distT="0" distB="0" distL="0" distR="0" wp14:anchorId="4C219876" wp14:editId="2A0DB6D7">
            <wp:extent cx="5447489" cy="7885639"/>
            <wp:effectExtent l="0" t="0" r="1270" b="127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31" cy="78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72E31" w14:textId="4F8EA7CA" w:rsidR="00CA24E8" w:rsidRDefault="00CA24E8" w:rsidP="00CA24E8">
      <w:pPr>
        <w:spacing w:after="120" w:line="240" w:lineRule="auto"/>
      </w:pPr>
      <w:r w:rsidRPr="004E7CE9">
        <w:rPr>
          <w:rStyle w:val="Heading2Char"/>
        </w:rPr>
        <w:lastRenderedPageBreak/>
        <w:t xml:space="preserve">Appendix </w:t>
      </w:r>
      <w:r>
        <w:rPr>
          <w:rStyle w:val="Heading2Char"/>
        </w:rPr>
        <w:t>4</w:t>
      </w:r>
      <w:r w:rsidRPr="004E7CE9">
        <w:rPr>
          <w:rStyle w:val="Heading2Char"/>
        </w:rPr>
        <w:t>.</w:t>
      </w:r>
      <w:r>
        <w:t xml:space="preserve"> Geographic information of patients’ residence </w:t>
      </w:r>
      <w:r w:rsidR="006E2FBE">
        <w:t xml:space="preserve">for </w:t>
      </w:r>
      <w:r w:rsidRPr="00582E19">
        <w:t>those with private insurance</w:t>
      </w:r>
      <w:r w:rsidRPr="004A6925">
        <w:t xml:space="preserve">, </w:t>
      </w:r>
      <w:r>
        <w:t>Oct 2015</w:t>
      </w:r>
      <w:r>
        <w:rPr>
          <w:rFonts w:cstheme="minorHAnsi"/>
        </w:rPr>
        <w:t>−</w:t>
      </w:r>
      <w:r>
        <w:t xml:space="preserve">Dec 2019 </w:t>
      </w:r>
      <w:proofErr w:type="spellStart"/>
      <w:r>
        <w:t>Merative</w:t>
      </w:r>
      <w:proofErr w:type="spellEnd"/>
      <w:r w:rsidRPr="00063982">
        <w:t>®</w:t>
      </w:r>
      <w:r>
        <w:t xml:space="preserve"> MarketScan</w:t>
      </w:r>
      <w:r>
        <w:rPr>
          <w:rFonts w:cstheme="minorHAnsi"/>
        </w:rPr>
        <w:t>®</w:t>
      </w:r>
      <w:r>
        <w:t xml:space="preserve"> Commercial Claims and Encounters Database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2286"/>
        <w:gridCol w:w="1124"/>
        <w:gridCol w:w="1292"/>
        <w:gridCol w:w="1748"/>
        <w:gridCol w:w="1770"/>
      </w:tblGrid>
      <w:tr w:rsidR="0026152E" w:rsidRPr="007A1D29" w14:paraId="525A6D85" w14:textId="77777777" w:rsidTr="002615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7D6" w14:textId="77777777" w:rsidR="00783293" w:rsidRPr="007A1D29" w:rsidRDefault="00783293" w:rsidP="00E1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ABE0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D29">
              <w:rPr>
                <w:rFonts w:ascii="Calibri" w:eastAsia="Times New Roman" w:hAnsi="Calibri" w:cs="Calibri"/>
                <w:b/>
                <w:bCs/>
                <w:color w:val="000000"/>
              </w:rPr>
              <w:t>Patients with Private Insurance</w:t>
            </w:r>
          </w:p>
        </w:tc>
      </w:tr>
      <w:tr w:rsidR="00783293" w:rsidRPr="007A1D29" w14:paraId="5E201E65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5A2F" w14:textId="77777777" w:rsidR="00783293" w:rsidRPr="007A1D29" w:rsidRDefault="00783293" w:rsidP="00E1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8B93C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D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Hospitalized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6E585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D29">
              <w:rPr>
                <w:rFonts w:ascii="Calibri" w:eastAsia="Times New Roman" w:hAnsi="Calibri" w:cs="Calibri"/>
                <w:b/>
                <w:bCs/>
                <w:color w:val="000000"/>
              </w:rPr>
              <w:t>Non-hospitalized</w:t>
            </w:r>
          </w:p>
        </w:tc>
      </w:tr>
      <w:tr w:rsidR="0026152E" w:rsidRPr="007A1D29" w14:paraId="1C73E9EB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AE4EE" w14:textId="77777777" w:rsidR="0026152E" w:rsidRPr="007A1D29" w:rsidRDefault="0026152E" w:rsidP="00261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6D48F1" w14:textId="77777777" w:rsidR="0026152E" w:rsidRPr="007A1D29" w:rsidRDefault="0026152E" w:rsidP="00261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D2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940E28" w14:textId="0C78D0DB" w:rsidR="0026152E" w:rsidRPr="007A1D29" w:rsidRDefault="0026152E" w:rsidP="00261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D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Primary </w:t>
            </w:r>
            <w:proofErr w:type="spellStart"/>
            <w:r w:rsidRPr="007A1D29">
              <w:rPr>
                <w:rFonts w:ascii="Calibri" w:eastAsia="Times New Roman" w:hAnsi="Calibri" w:cs="Calibri"/>
                <w:b/>
                <w:bCs/>
                <w:color w:val="000000"/>
              </w:rPr>
              <w:t>Dx</w:t>
            </w:r>
            <w:r w:rsidRPr="00A5494A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EEBF" w14:textId="69592516" w:rsidR="0026152E" w:rsidRPr="007A1D29" w:rsidRDefault="0026152E" w:rsidP="00261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1D2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Non-primary </w:t>
            </w:r>
            <w:proofErr w:type="spellStart"/>
            <w:r w:rsidRPr="007A1D29">
              <w:rPr>
                <w:rFonts w:ascii="Calibri" w:eastAsia="Times New Roman" w:hAnsi="Calibri" w:cs="Calibri"/>
                <w:b/>
                <w:bCs/>
                <w:color w:val="000000"/>
              </w:rPr>
              <w:t>Dx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E38A" w14:textId="77777777" w:rsidR="0026152E" w:rsidRPr="007A1D29" w:rsidRDefault="0026152E" w:rsidP="00261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6152E" w:rsidRPr="007A1D29" w14:paraId="7BE7533B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1AC79" w14:textId="77777777" w:rsidR="00783293" w:rsidRPr="007A1D29" w:rsidRDefault="00783293" w:rsidP="00E1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Sample size (</w:t>
            </w:r>
            <w:r w:rsidRPr="007A1D29">
              <w:rPr>
                <w:rFonts w:ascii="Calibri" w:eastAsia="Times New Roman" w:hAnsi="Calibri" w:cs="Calibri"/>
                <w:color w:val="000000"/>
              </w:rPr>
              <w:t>n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2581A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1AB57D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04B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6CD0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</w:tr>
      <w:tr w:rsidR="0026152E" w:rsidRPr="007A1D29" w14:paraId="006A671B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772E" w14:textId="77777777" w:rsidR="00783293" w:rsidRPr="007A1D29" w:rsidRDefault="00783293" w:rsidP="00E1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Census region, No. (%)</w:t>
            </w:r>
            <w:r w:rsidRPr="007A1D29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E1A5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807126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A276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52AB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52E" w:rsidRPr="007A1D29" w14:paraId="1B811AC6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2963" w14:textId="77777777" w:rsidR="00783293" w:rsidRPr="007A1D29" w:rsidRDefault="00783293" w:rsidP="00E10DF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South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5BF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150 (49.8)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E9BA00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85 (46.4)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90BD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65 (55.1)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91F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83 (49.1)</w:t>
            </w:r>
          </w:p>
        </w:tc>
      </w:tr>
      <w:tr w:rsidR="0026152E" w:rsidRPr="007A1D29" w14:paraId="2F7BEC88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CF9B" w14:textId="77777777" w:rsidR="00783293" w:rsidRPr="007A1D29" w:rsidRDefault="00783293" w:rsidP="00E10DF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Northeast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78F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73 (24.3)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65CD228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49 (26.8)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0DC4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24 (20.3)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EBC0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34 (20.1)</w:t>
            </w:r>
          </w:p>
        </w:tc>
      </w:tr>
      <w:tr w:rsidR="0026152E" w:rsidRPr="007A1D29" w14:paraId="47B96F82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F7B2" w14:textId="77777777" w:rsidR="00783293" w:rsidRPr="007A1D29" w:rsidRDefault="00783293" w:rsidP="00E10DF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Midwest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3CC8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38 (12.6)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1CABAE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21 (11.5)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290C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17 (14.4)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E7F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24 (14.2)</w:t>
            </w:r>
          </w:p>
        </w:tc>
      </w:tr>
      <w:tr w:rsidR="0026152E" w:rsidRPr="007A1D29" w14:paraId="17240E35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7B21B" w14:textId="77777777" w:rsidR="00783293" w:rsidRPr="007A1D29" w:rsidRDefault="00783293" w:rsidP="00E10DF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484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23 (7.6)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E67C92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13 (7.1)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71A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10 (8.5)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1707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28 (16.6)</w:t>
            </w:r>
          </w:p>
        </w:tc>
      </w:tr>
      <w:tr w:rsidR="0026152E" w:rsidRPr="007A1D29" w14:paraId="130A6166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D69A" w14:textId="77777777" w:rsidR="00783293" w:rsidRPr="007A1D29" w:rsidRDefault="00783293" w:rsidP="00E10DF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97F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17 (5.6)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231806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15 (8.2)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84AE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2 (1.7)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3A3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0 (0.0)</w:t>
            </w:r>
          </w:p>
        </w:tc>
      </w:tr>
      <w:tr w:rsidR="0026152E" w:rsidRPr="007A1D29" w14:paraId="043CEB8F" w14:textId="77777777" w:rsidTr="0026152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DD7" w14:textId="77777777" w:rsidR="00783293" w:rsidRPr="007A1D29" w:rsidRDefault="00783293" w:rsidP="00E10D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Rurality, No.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E509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43C3907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236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BBA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152E" w:rsidRPr="007A1D29" w14:paraId="2E8F90FD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9063" w14:textId="77777777" w:rsidR="00783293" w:rsidRPr="007A1D29" w:rsidRDefault="00783293" w:rsidP="00E10DF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EBBA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17 (5.6)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FFF62C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8 (4.4)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0EB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9 (7.6)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449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12 (7.1)</w:t>
            </w:r>
          </w:p>
        </w:tc>
      </w:tr>
      <w:tr w:rsidR="0026152E" w:rsidRPr="007A1D29" w14:paraId="638E728D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03CA" w14:textId="77777777" w:rsidR="00783293" w:rsidRPr="007A1D29" w:rsidRDefault="00783293" w:rsidP="00E10DF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Non-rural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39F7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267 (88.7)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2CB3E9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159 (86.9)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E329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108 (91.5)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7CEC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157 (92.9)</w:t>
            </w:r>
          </w:p>
        </w:tc>
      </w:tr>
      <w:tr w:rsidR="0026152E" w:rsidRPr="007A1D29" w14:paraId="463B987B" w14:textId="77777777" w:rsidTr="0026152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D7F22" w14:textId="77777777" w:rsidR="00783293" w:rsidRPr="007A1D29" w:rsidRDefault="00783293" w:rsidP="00E10DF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Unknown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33B7A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17 (5.6)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5DA889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16 (8.7)</w:t>
            </w:r>
          </w:p>
        </w:tc>
        <w:tc>
          <w:tcPr>
            <w:tcW w:w="0" w:type="auto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7B37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1 (0.8)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919" w14:textId="77777777" w:rsidR="00783293" w:rsidRPr="007A1D29" w:rsidRDefault="00783293" w:rsidP="00E10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1D29">
              <w:rPr>
                <w:rFonts w:ascii="Calibri" w:eastAsia="Times New Roman" w:hAnsi="Calibri" w:cs="Calibri"/>
                <w:color w:val="000000"/>
              </w:rPr>
              <w:t>0 (0.0)</w:t>
            </w:r>
          </w:p>
        </w:tc>
      </w:tr>
    </w:tbl>
    <w:p w14:paraId="084F8336" w14:textId="77777777" w:rsidR="00715588" w:rsidRPr="00380230" w:rsidRDefault="00715588" w:rsidP="00715588">
      <w:pPr>
        <w:spacing w:before="60" w:after="0" w:line="240" w:lineRule="auto"/>
        <w:ind w:right="-270"/>
        <w:rPr>
          <w:sz w:val="20"/>
          <w:szCs w:val="20"/>
        </w:rPr>
      </w:pPr>
      <w:proofErr w:type="spellStart"/>
      <w:proofErr w:type="gramStart"/>
      <w:r w:rsidRPr="00380230">
        <w:rPr>
          <w:sz w:val="20"/>
          <w:szCs w:val="20"/>
          <w:vertAlign w:val="superscript"/>
        </w:rPr>
        <w:t>a</w:t>
      </w:r>
      <w:proofErr w:type="spellEnd"/>
      <w:proofErr w:type="gramEnd"/>
      <w:r w:rsidRPr="00380230">
        <w:rPr>
          <w:sz w:val="20"/>
          <w:szCs w:val="20"/>
        </w:rPr>
        <w:t xml:space="preserve"> Inpatients with malaria diagnosis codes as primary diagnosis</w:t>
      </w:r>
    </w:p>
    <w:p w14:paraId="6B35C18F" w14:textId="3275BC9E" w:rsidR="00715588" w:rsidRPr="00715588" w:rsidRDefault="00715588" w:rsidP="00715588">
      <w:pPr>
        <w:spacing w:after="0" w:line="240" w:lineRule="auto"/>
        <w:ind w:right="-270"/>
        <w:rPr>
          <w:sz w:val="20"/>
          <w:szCs w:val="20"/>
        </w:rPr>
      </w:pPr>
      <w:r w:rsidRPr="00380230">
        <w:rPr>
          <w:sz w:val="20"/>
          <w:szCs w:val="20"/>
          <w:vertAlign w:val="superscript"/>
        </w:rPr>
        <w:t>b</w:t>
      </w:r>
      <w:r w:rsidRPr="00380230">
        <w:rPr>
          <w:sz w:val="20"/>
          <w:szCs w:val="20"/>
        </w:rPr>
        <w:t xml:space="preserve"> Inpatients with malaria diagnosis codes as non-primary diagnosis</w:t>
      </w:r>
    </w:p>
    <w:p w14:paraId="4B91F324" w14:textId="15474BDB" w:rsidR="00884ADA" w:rsidRPr="00362957" w:rsidRDefault="00884ADA" w:rsidP="00B8537B">
      <w:pPr>
        <w:spacing w:after="0" w:line="240" w:lineRule="auto"/>
        <w:ind w:right="720"/>
        <w:rPr>
          <w:sz w:val="19"/>
          <w:szCs w:val="19"/>
        </w:rPr>
      </w:pPr>
      <w:r>
        <w:rPr>
          <w:sz w:val="19"/>
          <w:szCs w:val="19"/>
          <w:vertAlign w:val="superscript"/>
        </w:rPr>
        <w:t>c</w:t>
      </w:r>
      <w:r w:rsidRPr="00362957">
        <w:rPr>
          <w:sz w:val="19"/>
          <w:szCs w:val="19"/>
        </w:rPr>
        <w:t xml:space="preserve"> </w:t>
      </w:r>
      <w:r>
        <w:rPr>
          <w:sz w:val="19"/>
          <w:szCs w:val="19"/>
        </w:rPr>
        <w:t>Census region of patient’s residence was based on U.S. Census Bureau regions (</w:t>
      </w:r>
      <w:hyperlink r:id="rId11" w:history="1">
        <w:r w:rsidRPr="00C02ADD">
          <w:rPr>
            <w:rStyle w:val="Hyperlink"/>
            <w:sz w:val="19"/>
            <w:szCs w:val="19"/>
          </w:rPr>
          <w:t>https://www2.census.gov/geo/pdfs/maps-data/maps/reference/us_regdiv.pdf</w:t>
        </w:r>
      </w:hyperlink>
      <w:r>
        <w:rPr>
          <w:sz w:val="19"/>
          <w:szCs w:val="19"/>
        </w:rPr>
        <w:t xml:space="preserve">). Geographic information (census region and urbanicity of patient residence) is not available in the MarketScan Multi-state Medicaid database.  </w:t>
      </w:r>
    </w:p>
    <w:p w14:paraId="69ABA64B" w14:textId="7917683B" w:rsidR="00783293" w:rsidRDefault="00783293" w:rsidP="00CA24E8">
      <w:pPr>
        <w:spacing w:after="120" w:line="240" w:lineRule="auto"/>
      </w:pPr>
    </w:p>
    <w:p w14:paraId="1206893C" w14:textId="77777777" w:rsidR="00783293" w:rsidRDefault="00783293" w:rsidP="00CA24E8">
      <w:pPr>
        <w:spacing w:after="120" w:line="240" w:lineRule="auto"/>
      </w:pPr>
    </w:p>
    <w:p w14:paraId="47CA9E92" w14:textId="77777777" w:rsidR="006E2FBE" w:rsidRDefault="006E2FBE" w:rsidP="00CA24E8">
      <w:pPr>
        <w:spacing w:after="120" w:line="240" w:lineRule="auto"/>
      </w:pPr>
    </w:p>
    <w:p w14:paraId="1342E134" w14:textId="77777777" w:rsidR="00CA24E8" w:rsidRDefault="00CA24E8">
      <w:pPr>
        <w:rPr>
          <w:rStyle w:val="Heading2Char"/>
        </w:rPr>
      </w:pPr>
      <w:r>
        <w:rPr>
          <w:rStyle w:val="Heading2Char"/>
        </w:rPr>
        <w:br w:type="page"/>
      </w:r>
    </w:p>
    <w:p w14:paraId="0ABA207B" w14:textId="77777777" w:rsidR="00CB6ECB" w:rsidRDefault="00CB6ECB" w:rsidP="001762FE">
      <w:pPr>
        <w:spacing w:after="120" w:line="240" w:lineRule="auto"/>
        <w:rPr>
          <w:rStyle w:val="Heading2Char"/>
        </w:rPr>
        <w:sectPr w:rsidR="00CB6ECB" w:rsidSect="00F73A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B63B96" w14:textId="40722C38" w:rsidR="001762FE" w:rsidRDefault="001762FE" w:rsidP="001762FE">
      <w:pPr>
        <w:spacing w:after="120" w:line="240" w:lineRule="auto"/>
      </w:pPr>
      <w:r w:rsidRPr="004E7CE9">
        <w:rPr>
          <w:rStyle w:val="Heading2Char"/>
        </w:rPr>
        <w:lastRenderedPageBreak/>
        <w:t xml:space="preserve">Appendix </w:t>
      </w:r>
      <w:r w:rsidR="00B8537B">
        <w:rPr>
          <w:rStyle w:val="Heading2Char"/>
        </w:rPr>
        <w:t>5</w:t>
      </w:r>
      <w:r w:rsidR="00740A9A">
        <w:rPr>
          <w:rStyle w:val="Heading2Char"/>
        </w:rPr>
        <w:t>.</w:t>
      </w:r>
      <w:r>
        <w:t xml:space="preserve"> E</w:t>
      </w:r>
      <w:r w:rsidRPr="00582E19">
        <w:t xml:space="preserve">stimated </w:t>
      </w:r>
      <w:r>
        <w:t xml:space="preserve">mean </w:t>
      </w:r>
      <w:r w:rsidRPr="00582E19">
        <w:t xml:space="preserve">costs of malaria treatment </w:t>
      </w:r>
      <w:r>
        <w:t xml:space="preserve">per person </w:t>
      </w:r>
      <w:r w:rsidRPr="00582E19">
        <w:t>among those with private insurance and those with Medicaid</w:t>
      </w:r>
      <w:r w:rsidRPr="004A6925">
        <w:t xml:space="preserve">, </w:t>
      </w:r>
      <w:r>
        <w:t>Oct 2015</w:t>
      </w:r>
      <w:r>
        <w:rPr>
          <w:rFonts w:cstheme="minorHAnsi"/>
        </w:rPr>
        <w:t>−</w:t>
      </w:r>
      <w:r>
        <w:t xml:space="preserve">Dec 2019 </w:t>
      </w:r>
      <w:proofErr w:type="spellStart"/>
      <w:r>
        <w:t>Merative</w:t>
      </w:r>
      <w:proofErr w:type="spellEnd"/>
      <w:r w:rsidRPr="00063982">
        <w:t>®</w:t>
      </w:r>
      <w:r>
        <w:t xml:space="preserve"> MarketScan</w:t>
      </w:r>
      <w:r>
        <w:rPr>
          <w:rFonts w:cstheme="minorHAnsi"/>
        </w:rPr>
        <w:t>®</w:t>
      </w:r>
      <w:r>
        <w:t xml:space="preserve"> Commercial Claims and Encounters Database and Multi-state Medicaid Database (2019 USD)</w:t>
      </w:r>
    </w:p>
    <w:tbl>
      <w:tblPr>
        <w:tblW w:w="0" w:type="auto"/>
        <w:tblInd w:w="-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06"/>
        <w:gridCol w:w="702"/>
        <w:gridCol w:w="702"/>
        <w:gridCol w:w="436"/>
        <w:gridCol w:w="701"/>
        <w:gridCol w:w="1514"/>
        <w:gridCol w:w="436"/>
        <w:gridCol w:w="701"/>
        <w:gridCol w:w="1514"/>
        <w:gridCol w:w="436"/>
        <w:gridCol w:w="701"/>
        <w:gridCol w:w="1621"/>
        <w:gridCol w:w="470"/>
        <w:gridCol w:w="659"/>
        <w:gridCol w:w="1233"/>
      </w:tblGrid>
      <w:tr w:rsidR="00A2401F" w:rsidRPr="005174E1" w14:paraId="1FD37795" w14:textId="77777777" w:rsidTr="0015583C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F6F2" w14:textId="77777777" w:rsidR="00A2401F" w:rsidRPr="005174E1" w:rsidRDefault="00A2401F" w:rsidP="005B0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ABD8DF6" w14:textId="797995A3" w:rsidR="00A2401F" w:rsidRPr="005174E1" w:rsidRDefault="00A2401F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Hospitalized Patients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4FBED83" w14:textId="77777777" w:rsidR="00A2401F" w:rsidRPr="005174E1" w:rsidRDefault="00A2401F" w:rsidP="00624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Non-hospitalized Patients</w:t>
            </w:r>
          </w:p>
        </w:tc>
      </w:tr>
      <w:tr w:rsidR="00A2401F" w:rsidRPr="005174E1" w14:paraId="243687DD" w14:textId="77777777" w:rsidTr="00294378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36D" w14:textId="77777777" w:rsidR="00A2401F" w:rsidRPr="005174E1" w:rsidRDefault="00A2401F" w:rsidP="005B0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6A46" w14:textId="6FD4B3E0" w:rsidR="00A2401F" w:rsidRPr="005174E1" w:rsidRDefault="009E0671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All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60D57" w14:textId="2ABABC88" w:rsidR="00A2401F" w:rsidRPr="005174E1" w:rsidRDefault="00A2401F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Inpatient Primary Dx </w:t>
            </w: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A73AF" w14:textId="77777777" w:rsidR="00A2401F" w:rsidRPr="005174E1" w:rsidRDefault="00A2401F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Inpatient Non-primary Dx </w:t>
            </w: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A4D970" w14:textId="77777777" w:rsidR="00A2401F" w:rsidRPr="005174E1" w:rsidRDefault="00A2401F" w:rsidP="005B0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F11EC" w:rsidRPr="005174E1" w14:paraId="4E2B7853" w14:textId="77777777" w:rsidTr="007F11EC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EB85" w14:textId="77777777" w:rsidR="007F11EC" w:rsidRPr="005174E1" w:rsidRDefault="007F11EC" w:rsidP="007F11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A5412" w14:textId="5389D8F1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7EF2F" w14:textId="6A548950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C433" w14:textId="4824B441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63D09" w14:textId="55ED91AC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5571" w14:textId="77777777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9B5B" w14:textId="77777777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6BA98" w14:textId="77777777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10619" w14:textId="77777777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3E5B7" w14:textId="77777777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308867" w14:textId="77777777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DB90D" w14:textId="77777777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F533" w14:textId="77777777" w:rsidR="007F11EC" w:rsidRPr="005174E1" w:rsidRDefault="007F11EC" w:rsidP="007F1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95% CI</w:t>
            </w:r>
          </w:p>
        </w:tc>
      </w:tr>
      <w:tr w:rsidR="00CB6ECB" w:rsidRPr="005174E1" w14:paraId="324B11F5" w14:textId="77777777" w:rsidTr="007F11E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000000" w:fill="EDEDED"/>
          </w:tcPr>
          <w:p w14:paraId="220F6709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000000" w:fill="EDEDED"/>
          </w:tcPr>
          <w:p w14:paraId="43F08DB3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8" w:space="0" w:color="000000"/>
            </w:tcBorders>
            <w:shd w:val="clear" w:color="000000" w:fill="EDEDED"/>
          </w:tcPr>
          <w:p w14:paraId="7E78E62A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74B3D6F9" w14:textId="1C41C42B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Private Insurance</w:t>
            </w:r>
          </w:p>
        </w:tc>
      </w:tr>
      <w:tr w:rsidR="00CD54F7" w:rsidRPr="005174E1" w14:paraId="10718CB2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CB574" w14:textId="77777777" w:rsidR="00CB6ECB" w:rsidRPr="005174E1" w:rsidRDefault="00CB6ECB" w:rsidP="005B0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Overall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14:paraId="77575C24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6D76C151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7FE34485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9E79F" w14:textId="2D502991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BFB6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9A30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1DAA8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5A37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7BB22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E84E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FA30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508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E057AE" w:rsidRPr="005174E1" w14:paraId="2BECAF5C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34A5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EBB526C" w14:textId="3C3C93FB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355C4C3" w14:textId="7B05D0AF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27,642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C6A4A46" w14:textId="2923B4E0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[21,163, 34,121]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8FB0" w14:textId="4A97DB0D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FC3A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17,092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F3C4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[14,440, 19,744]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A27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B54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44,004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3CE8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[28,313, 59,695]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0817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D0A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AFF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[888, 1,465]</w:t>
            </w:r>
          </w:p>
        </w:tc>
      </w:tr>
      <w:tr w:rsidR="00E057AE" w:rsidRPr="005174E1" w14:paraId="0CC67E54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03656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CFD3A40" w14:textId="59DEAD0C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9B05801" w14:textId="4EA17DA0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25,702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D2D0564" w14:textId="245D3BEB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[19,247, 32,157]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159E2" w14:textId="53375679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085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15,235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F31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[12,610, 17,859]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667C4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A7F0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41,934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84F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[26,290, 57,579]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2FAD4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D525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67D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[562, 1,031]</w:t>
            </w:r>
          </w:p>
        </w:tc>
      </w:tr>
      <w:tr w:rsidR="00E057AE" w:rsidRPr="005174E1" w14:paraId="7BE71573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E9055A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28FBEE19" w14:textId="27D0633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3E9ECAD" w14:textId="007AFB58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1,941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29A083" w14:textId="0909019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[1,736, 2,145]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7F274F" w14:textId="2149D84E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3E4D4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7EC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[1,593, 2,122]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218D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EEE2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35E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[1,744, 2,395]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4949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45A9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0E0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[284, 477]</w:t>
            </w:r>
          </w:p>
        </w:tc>
      </w:tr>
      <w:tr w:rsidR="00CD54F7" w:rsidRPr="005174E1" w14:paraId="08108A7E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EDBDA" w14:textId="77777777" w:rsidR="00CB6ECB" w:rsidRPr="005174E1" w:rsidRDefault="00CB6ECB" w:rsidP="005B0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By Service Type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</w:tcPr>
          <w:p w14:paraId="11DE851F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A5A0C0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D1498DB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53CCB" w14:textId="7CCAF9CF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28A9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6D168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5FD8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ABE0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F7203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5BB6D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125F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B52F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D54F7" w:rsidRPr="005174E1" w14:paraId="7A4D990A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DC302" w14:textId="77777777" w:rsidR="00CB6ECB" w:rsidRPr="005174E1" w:rsidRDefault="00CB6ECB" w:rsidP="005B0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Inpatient services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</w:tcPr>
          <w:p w14:paraId="2AE78835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61192C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1B0F5E24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2F9F" w14:textId="2199F8B9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9F09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BDF8F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74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28C6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FF45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1D943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74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8C3B5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C92D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95B1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74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057AE" w:rsidRPr="005174E1" w14:paraId="62947C40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0AA6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3F77498" w14:textId="02D8FEEE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740D025" w14:textId="59B8B47F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27,099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C7E0F0F" w14:textId="1DF14348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[20,648, 33,550]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63915" w14:textId="03DA97A0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85A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16,496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A21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[13,910, 19,083]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6516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B33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43,541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E1F0B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[27,904, 59,178]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9CF9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D076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D650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E057AE" w:rsidRPr="005174E1" w14:paraId="49E012D5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F8999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9473D9D" w14:textId="4BAEF52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D13A7D9" w14:textId="11FFA466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25,221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61AF464" w14:textId="17529E9F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[18,795, 31,647]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B76E" w14:textId="636D75A6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D2C0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14,713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4D6C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[12,156, 17,271]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97F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9CE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41,518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20C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[25,929, 57,107]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5A1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E5410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1A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E057AE" w:rsidRPr="005174E1" w14:paraId="330F42A2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4AF3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E5C7B52" w14:textId="579BEAC4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CF3FFCF" w14:textId="138A331A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1,877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7A98E53" w14:textId="37D73461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[1,674, 2,080]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B1062" w14:textId="645DD25F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841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AC24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[1,521, 2,046]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38F6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862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2,023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76A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[1,701, 2,346]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B08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42A6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D30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E057AE" w:rsidRPr="005174E1" w14:paraId="5E2F0B4B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216F" w14:textId="77777777" w:rsidR="00E057AE" w:rsidRPr="005174E1" w:rsidRDefault="00E057AE" w:rsidP="00E05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Outpatient services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6E04B28" w14:textId="56012F19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5B02D5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02C7A34C" w14:textId="0678C553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7E56" w14:textId="5D3BB6CA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A690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3B4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74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F078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EC3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ED53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74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686A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05E4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DDB4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74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057AE" w:rsidRPr="005174E1" w14:paraId="557012E9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3255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7E6B80B" w14:textId="6236C290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92F4195" w14:textId="69D2FE1A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911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4F3C4D2" w14:textId="5E6B2BF2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[663, 1,159]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4CAE8" w14:textId="163B9C45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12E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7F69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[552, 1,108]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1A8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EAE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5AB0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[592, 1,673]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F1DF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27E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ACD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[803, 1,373]</w:t>
            </w:r>
          </w:p>
        </w:tc>
      </w:tr>
      <w:tr w:rsidR="00E057AE" w:rsidRPr="005174E1" w14:paraId="5A4AA902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62F1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84AEC8" w14:textId="5081D075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31F82A" w14:textId="1F2707C6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813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60A1E00" w14:textId="376206A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[569, 1,058]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84E0" w14:textId="217841E5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709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74A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[459, 1,009]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BE0B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BECB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F3914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[497, 1,556]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8B1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78A8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37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[504, 964]</w:t>
            </w:r>
          </w:p>
        </w:tc>
      </w:tr>
      <w:tr w:rsidR="00E057AE" w:rsidRPr="005174E1" w14:paraId="78085D9A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A54D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281CFA" w14:textId="46A618B2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174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3BEC6AFA" w14:textId="6D0E514F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7D0CF96" w14:textId="59522C13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[74, 123]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6EF7" w14:textId="6300F0F0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B41A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100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[68, 123]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6C5E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A4A8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78E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[54, 157]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3094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7687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8E1B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[259, 449]</w:t>
            </w:r>
          </w:p>
        </w:tc>
      </w:tr>
      <w:tr w:rsidR="00E057AE" w:rsidRPr="005174E1" w14:paraId="78D267F2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BCBD4" w14:textId="77777777" w:rsidR="00E057AE" w:rsidRPr="005174E1" w:rsidRDefault="00E057AE" w:rsidP="00E05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Outpatient Rx drugs </w:t>
            </w: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6B6356E" w14:textId="4071AFCA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72CB08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87BFBC8" w14:textId="6471BEE2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76E7E" w14:textId="57EA6875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8F9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A06B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1FC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1F9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3895A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07D4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2A74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873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174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E057AE" w:rsidRPr="005174E1" w14:paraId="6E4330CE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AA693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DBBC1B2" w14:textId="7AB4D085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702C73E" w14:textId="05B0782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0A27FD9" w14:textId="5DFE3121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[51, 83]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53263" w14:textId="660876A0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E9C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6C9F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[47, 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C066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807A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9D8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[34, 115]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9BB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396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613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[41, 136]</w:t>
            </w:r>
          </w:p>
        </w:tc>
      </w:tr>
      <w:tr w:rsidR="00E057AE" w:rsidRPr="005174E1" w14:paraId="4DA5F15E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5243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418B9CE" w14:textId="7BAFAB55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39CD984" w14:textId="1D4CCEBF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3519A50" w14:textId="26A43A66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[27, 55]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49EE4" w14:textId="5B95FD06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086C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EE37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[24, 54]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868D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38C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4D28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[12, 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D9D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CC9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D11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[17, 108]</w:t>
            </w:r>
          </w:p>
        </w:tc>
      </w:tr>
      <w:tr w:rsidR="00E057AE" w:rsidRPr="005174E1" w14:paraId="188DD939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986F3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3950BC7C" w14:textId="056119B3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95BA455" w14:textId="792395CE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BC2F0F" w14:textId="6536FF5D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[20, 32]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B1662" w14:textId="6430A5AD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7C0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1DF6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[18, 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3723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89F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778D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[16, 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49AD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E4FAC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C5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[21, 32]</w:t>
            </w:r>
          </w:p>
        </w:tc>
      </w:tr>
      <w:tr w:rsidR="00CD54F7" w:rsidRPr="005174E1" w14:paraId="025C7212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26AB" w14:textId="77777777" w:rsidR="00CB6ECB" w:rsidRPr="005174E1" w:rsidRDefault="00CB6ECB" w:rsidP="005B0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By Disease Severity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</w:tcPr>
          <w:p w14:paraId="4D96E230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7033D0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B808D60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F2220" w14:textId="572BFD0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DB59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7C83E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99D02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2F32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5700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A5992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ADCD9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747B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D54F7" w:rsidRPr="005174E1" w14:paraId="54BBAA21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D8C8" w14:textId="77777777" w:rsidR="00CB6ECB" w:rsidRPr="005174E1" w:rsidRDefault="00CB6ECB" w:rsidP="005B0C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Uncomplicated Malaria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</w:tcPr>
          <w:p w14:paraId="4B550F67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3CADCC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47E43A9C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94BFF" w14:textId="45258466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503A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8BB4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2891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3B03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CB0FD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EBE04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C6CB5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19A6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E057AE" w:rsidRPr="005174E1" w14:paraId="7ECD2230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9000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69A4529" w14:textId="3D10DBF2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175C2CE2" w14:textId="4AD29FDD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14,535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46329EA9" w14:textId="0D4BD008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[12,669, 16,402]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2BEF" w14:textId="04A6305E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6B28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12,846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B6C6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[10,692, 15,000]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08A38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5A56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18,051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9DD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[14,522, 21,581]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CF9A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3411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974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E057AE" w:rsidRPr="005174E1" w14:paraId="3B835796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574A4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A5040AA" w14:textId="3078883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43CD64B1" w14:textId="1B0E807F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12,917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399CB736" w14:textId="16644BCD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[11,105, 14,730]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86BF4" w14:textId="44B90DB9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483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11,309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E78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[9,214, 13,403]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8054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6F8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16,267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7BEB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[12,842, 19,692]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BE5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CCC8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EFE0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E057AE" w:rsidRPr="005174E1" w14:paraId="7D0C0F30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3F810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C005A38" w14:textId="20BCABC6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491E17E" w14:textId="01169C88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1,618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B84A619" w14:textId="5B7FB976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[1,391, 1,844]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04272" w14:textId="13DDB89F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F7F0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19AF0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[1,249, 1,826]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C0A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B95A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E9BDF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[1,421, 2,148]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E7C5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4C7A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B35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E057AE" w:rsidRPr="005174E1" w14:paraId="64790C1F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F8FF5" w14:textId="77777777" w:rsidR="00E057AE" w:rsidRPr="005174E1" w:rsidRDefault="00E057AE" w:rsidP="00E05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Severe Malaria</w:t>
            </w: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C193B43" w14:textId="4DFADC94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2F033D4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A538326" w14:textId="2BECF09C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29D05" w14:textId="51E43D8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9BB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784BA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BD2F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8606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749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7C1B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E062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DB9D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E057AE" w:rsidRPr="005174E1" w14:paraId="04366252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2E54B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7256DE8" w14:textId="3BD7582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71F65AA2" w14:textId="4F5DB4F2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49,449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12FFF4B6" w14:textId="58F38D84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[33,104, 65,794]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33487" w14:textId="15CD1182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076B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26,721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6EA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[20,089, 33,354]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30F1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76F6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71,778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82A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[40,661, 102,895]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373F8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4E47B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3866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E057AE" w:rsidRPr="005174E1" w14:paraId="62697F46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69F48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C1ED851" w14:textId="1288E67C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665D64EE" w14:textId="28FEDB3F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46,971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27F5DF92" w14:textId="542DBC34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[30,637, 63,305]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96F8A" w14:textId="4D464701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C79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24,139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CD5A0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[17,420, 30,857]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2DB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E5F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69,403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F5E69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[38,338, 100,468]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5D8C1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952A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E79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E057AE" w:rsidRPr="005174E1" w14:paraId="5011D25F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48955" w14:textId="77777777" w:rsidR="00E057AE" w:rsidRPr="005174E1" w:rsidRDefault="00E057AE" w:rsidP="00E057AE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15227B5B" w14:textId="7999F931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66E31A36" w14:textId="22F9D8FE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2,478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7186C0" w14:textId="66065C6A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[2,100, 2,856]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5540BE" w14:textId="525800C6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A212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2,583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7FB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[2,051, 3,115]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6FD33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5B15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E807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[1,824, 2,926]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8459B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4F2E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18BEC" w14:textId="77777777" w:rsidR="00E057AE" w:rsidRPr="005174E1" w:rsidRDefault="00E057AE" w:rsidP="00E05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CB6ECB" w:rsidRPr="005174E1" w14:paraId="2E3FE2BB" w14:textId="77777777" w:rsidTr="00CD54F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DEDED"/>
          </w:tcPr>
          <w:p w14:paraId="6FF6D303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EDEDED"/>
          </w:tcPr>
          <w:p w14:paraId="6B0A0D41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</w:tcPr>
          <w:p w14:paraId="7BAB577E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6C06718" w14:textId="69EE2463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Medicaid </w:t>
            </w: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e</w:t>
            </w:r>
          </w:p>
        </w:tc>
      </w:tr>
      <w:tr w:rsidR="00CD54F7" w:rsidRPr="005174E1" w14:paraId="0AB65FA7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9DFB2" w14:textId="77777777" w:rsidR="00CB6ECB" w:rsidRPr="005174E1" w:rsidRDefault="00CB6ECB" w:rsidP="005B0C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Overall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</w:tcPr>
          <w:p w14:paraId="0DB4580E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A2C310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1221C92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79F9C" w14:textId="7B4B2AC2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E562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6C5E8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31EEF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A5DE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16FB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C7326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5C16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551" w14:textId="77777777" w:rsidR="00CB6ECB" w:rsidRPr="005174E1" w:rsidRDefault="00CB6ECB" w:rsidP="005B0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CD54F7" w:rsidRPr="005174E1" w14:paraId="5AD2B7C9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03A60" w14:textId="77777777" w:rsidR="00CD54F7" w:rsidRPr="005174E1" w:rsidRDefault="00CD54F7" w:rsidP="00CD54F7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487430" w14:textId="72524959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069E375F" w14:textId="59D4D7C9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19,361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7EBEFA7E" w14:textId="55672EFB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[8,263, 30,459]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2AE5" w14:textId="71BBE4E1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91F9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BDD3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[4,104, 7,888]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0FC41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10B9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27,952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04B26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[10,085, 45,819]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F9E4A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83A2C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9A27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[280, 823]</w:t>
            </w:r>
          </w:p>
        </w:tc>
      </w:tr>
      <w:tr w:rsidR="00CD54F7" w:rsidRPr="005174E1" w14:paraId="31BA6966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19041" w14:textId="77777777" w:rsidR="00CD54F7" w:rsidRPr="005174E1" w:rsidRDefault="00CD54F7" w:rsidP="00CD54F7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B356164" w14:textId="728241C6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14:paraId="59E620F4" w14:textId="0A224D08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19,299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14:paraId="6C8B127F" w14:textId="60F1E85F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[8,197, 30,402]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7FF94" w14:textId="2CBC3476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B52B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5,966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1BC0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[4,074, 7,858]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04228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D537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27,871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E9346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[9,993, 45,748]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9450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A772A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3F47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[275, 818]</w:t>
            </w:r>
          </w:p>
        </w:tc>
      </w:tr>
      <w:tr w:rsidR="00CD54F7" w:rsidRPr="005174E1" w14:paraId="440026BA" w14:textId="77777777" w:rsidTr="00CD54F7">
        <w:trPr>
          <w:trHeight w:val="288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A4964" w14:textId="77777777" w:rsidR="00CD54F7" w:rsidRPr="005174E1" w:rsidRDefault="00CD54F7" w:rsidP="00CD54F7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776FC87C" w14:textId="3B6C74C1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14:paraId="166B4412" w14:textId="4AC7EDB3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C1F264E" w14:textId="72F6C0D8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hAnsi="Calibri" w:cs="Calibri"/>
                <w:color w:val="000000"/>
                <w:sz w:val="21"/>
                <w:szCs w:val="21"/>
              </w:rPr>
              <w:t>[-23, 146]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E6B47" w14:textId="5D5DED91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6567D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CF21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[-21, 81]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6F709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FEA24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20B4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[-57, 220]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140A8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A3E66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AB4B" w14:textId="77777777" w:rsidR="00CD54F7" w:rsidRPr="005174E1" w:rsidRDefault="00CD54F7" w:rsidP="00CD5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5174E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[2, 7]</w:t>
            </w:r>
          </w:p>
        </w:tc>
      </w:tr>
    </w:tbl>
    <w:p w14:paraId="2EF544AD" w14:textId="4B9A5615" w:rsidR="009F053F" w:rsidRPr="00362957" w:rsidRDefault="009F053F" w:rsidP="009F053F">
      <w:pPr>
        <w:spacing w:before="60" w:after="0" w:line="240" w:lineRule="auto"/>
        <w:ind w:right="-446"/>
        <w:rPr>
          <w:sz w:val="19"/>
          <w:szCs w:val="19"/>
        </w:rPr>
      </w:pPr>
      <w:proofErr w:type="spellStart"/>
      <w:proofErr w:type="gramStart"/>
      <w:r w:rsidRPr="00362957">
        <w:rPr>
          <w:sz w:val="19"/>
          <w:szCs w:val="19"/>
          <w:vertAlign w:val="superscript"/>
        </w:rPr>
        <w:t>a</w:t>
      </w:r>
      <w:proofErr w:type="spellEnd"/>
      <w:proofErr w:type="gramEnd"/>
      <w:r w:rsidRPr="00362957">
        <w:rPr>
          <w:sz w:val="19"/>
          <w:szCs w:val="19"/>
        </w:rPr>
        <w:t xml:space="preserve"> Inpatients with malaria diagnosis codes as primary diagnosis</w:t>
      </w:r>
      <w:r w:rsidR="00CB589A">
        <w:rPr>
          <w:sz w:val="19"/>
          <w:szCs w:val="19"/>
        </w:rPr>
        <w:t>.</w:t>
      </w:r>
    </w:p>
    <w:p w14:paraId="12585C92" w14:textId="77777777" w:rsidR="009F053F" w:rsidRPr="00362957" w:rsidRDefault="009F053F" w:rsidP="009F053F">
      <w:pPr>
        <w:spacing w:after="0" w:line="240" w:lineRule="auto"/>
        <w:ind w:right="-450"/>
        <w:rPr>
          <w:sz w:val="19"/>
          <w:szCs w:val="19"/>
        </w:rPr>
      </w:pPr>
      <w:r w:rsidRPr="00362957">
        <w:rPr>
          <w:sz w:val="19"/>
          <w:szCs w:val="19"/>
          <w:vertAlign w:val="superscript"/>
        </w:rPr>
        <w:t>b</w:t>
      </w:r>
      <w:r w:rsidRPr="00362957">
        <w:rPr>
          <w:sz w:val="19"/>
          <w:szCs w:val="19"/>
        </w:rPr>
        <w:t xml:space="preserve"> Inpatients with malaria diagnosis codes as non-primary diagnosis; top 5 primary diagnoses were sepsis, unspecified organism (30%), other specified sepsis (11%), fever (6%), urinary tract infection (3%), and human immunodeficiency virus disease (3%).  </w:t>
      </w:r>
    </w:p>
    <w:p w14:paraId="55FF8A78" w14:textId="337EB40B" w:rsidR="00B47FBB" w:rsidRDefault="009F053F">
      <w:pPr>
        <w:spacing w:after="0" w:line="240" w:lineRule="auto"/>
        <w:ind w:right="-450"/>
        <w:rPr>
          <w:sz w:val="19"/>
          <w:szCs w:val="19"/>
        </w:rPr>
      </w:pPr>
      <w:r w:rsidRPr="00362957">
        <w:rPr>
          <w:sz w:val="19"/>
          <w:szCs w:val="19"/>
          <w:vertAlign w:val="superscript"/>
        </w:rPr>
        <w:t>c</w:t>
      </w:r>
      <w:r w:rsidRPr="00362957">
        <w:rPr>
          <w:sz w:val="19"/>
          <w:szCs w:val="19"/>
        </w:rPr>
        <w:t xml:space="preserve"> Prescription drugs administered while hospitalized are not available in MarketScan database and the payments are assumed to be included in the inpatient services.</w:t>
      </w:r>
    </w:p>
    <w:p w14:paraId="03DEDA16" w14:textId="0EA1AE42" w:rsidR="00C67F8F" w:rsidRDefault="00C67F8F" w:rsidP="00C67F8F">
      <w:pPr>
        <w:spacing w:after="0" w:line="240" w:lineRule="auto"/>
        <w:ind w:right="-270"/>
        <w:rPr>
          <w:sz w:val="19"/>
          <w:szCs w:val="19"/>
        </w:rPr>
      </w:pPr>
      <w:r w:rsidRPr="00362957">
        <w:rPr>
          <w:sz w:val="19"/>
          <w:szCs w:val="19"/>
          <w:vertAlign w:val="superscript"/>
        </w:rPr>
        <w:t>d</w:t>
      </w:r>
      <w:r w:rsidRPr="00362957">
        <w:rPr>
          <w:sz w:val="19"/>
          <w:szCs w:val="19"/>
        </w:rPr>
        <w:t xml:space="preserve"> Those with severe malaria were defined as having one or more of the following diagnoses or procedures: neurologic symptoms, severe anemia with blood transfusion, renal failure, acute respiratory distress syndrome, jaundice, exchange transfusion, and in-hospital death.</w:t>
      </w:r>
      <w:r>
        <w:rPr>
          <w:sz w:val="19"/>
          <w:szCs w:val="19"/>
        </w:rPr>
        <w:fldChar w:fldCharType="begin">
          <w:fldData xml:space="preserve">PEVuZE5vdGU+PENpdGU+PEF1dGhvcj5LaHV1PC9BdXRob3I+PFllYXI+MjAxOTwvWWVhcj48UmVj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</w:fldData>
        </w:fldChar>
      </w:r>
      <w:r w:rsidR="000B25B5">
        <w:rPr>
          <w:sz w:val="19"/>
          <w:szCs w:val="19"/>
        </w:rPr>
        <w:instrText xml:space="preserve"> ADDIN EN.CITE </w:instrText>
      </w:r>
      <w:r w:rsidR="000B25B5">
        <w:rPr>
          <w:sz w:val="19"/>
          <w:szCs w:val="19"/>
        </w:rPr>
        <w:fldChar w:fldCharType="begin">
          <w:fldData xml:space="preserve">PEVuZE5vdGU+PENpdGU+PEF1dGhvcj5LaHV1PC9BdXRob3I+PFllYXI+MjAxOTwvWWVhcj48UmVj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</w:fldData>
        </w:fldChar>
      </w:r>
      <w:r w:rsidR="000B25B5">
        <w:rPr>
          <w:sz w:val="19"/>
          <w:szCs w:val="19"/>
        </w:rPr>
        <w:instrText xml:space="preserve"> ADDIN EN.CITE.DATA </w:instrText>
      </w:r>
      <w:r w:rsidR="000B25B5">
        <w:rPr>
          <w:sz w:val="19"/>
          <w:szCs w:val="19"/>
        </w:rPr>
      </w:r>
      <w:r w:rsidR="000B25B5">
        <w:rPr>
          <w:sz w:val="19"/>
          <w:szCs w:val="19"/>
        </w:rPr>
        <w:fldChar w:fldCharType="end"/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 w:rsidR="000B25B5" w:rsidRPr="000B25B5">
        <w:rPr>
          <w:noProof/>
          <w:sz w:val="19"/>
          <w:szCs w:val="19"/>
          <w:vertAlign w:val="superscript"/>
        </w:rPr>
        <w:t>3</w:t>
      </w:r>
      <w:r>
        <w:rPr>
          <w:sz w:val="19"/>
          <w:szCs w:val="19"/>
        </w:rPr>
        <w:fldChar w:fldCharType="end"/>
      </w:r>
    </w:p>
    <w:p w14:paraId="33D174B2" w14:textId="2E22899A" w:rsidR="009953A7" w:rsidRDefault="009953A7" w:rsidP="00C67F8F">
      <w:pPr>
        <w:spacing w:after="0" w:line="240" w:lineRule="auto"/>
        <w:ind w:right="-270"/>
        <w:rPr>
          <w:sz w:val="19"/>
          <w:szCs w:val="19"/>
        </w:rPr>
      </w:pPr>
      <w:r>
        <w:rPr>
          <w:sz w:val="19"/>
          <w:szCs w:val="19"/>
          <w:vertAlign w:val="superscript"/>
        </w:rPr>
        <w:t>e</w:t>
      </w:r>
      <w:r w:rsidRPr="00362957">
        <w:rPr>
          <w:sz w:val="19"/>
          <w:szCs w:val="19"/>
        </w:rPr>
        <w:t xml:space="preserve"> Due to the small sample size</w:t>
      </w:r>
      <w:r>
        <w:rPr>
          <w:sz w:val="19"/>
          <w:szCs w:val="19"/>
        </w:rPr>
        <w:t xml:space="preserve"> of the Medicaid sample</w:t>
      </w:r>
      <w:r w:rsidRPr="00362957">
        <w:rPr>
          <w:sz w:val="19"/>
          <w:szCs w:val="19"/>
        </w:rPr>
        <w:t>, costs were not further examined by type of service and the status of severe malaria.</w:t>
      </w:r>
    </w:p>
    <w:p w14:paraId="65050BA6" w14:textId="77777777" w:rsidR="00CB6ECB" w:rsidRDefault="00CB6ECB" w:rsidP="004E7CE9">
      <w:pPr>
        <w:spacing w:after="0" w:line="240" w:lineRule="auto"/>
        <w:ind w:right="-450"/>
        <w:rPr>
          <w:sz w:val="19"/>
          <w:szCs w:val="19"/>
        </w:rPr>
      </w:pPr>
    </w:p>
    <w:p w14:paraId="1D6E3369" w14:textId="77777777" w:rsidR="0010373E" w:rsidRDefault="0010373E" w:rsidP="004E7CE9">
      <w:pPr>
        <w:spacing w:after="0" w:line="240" w:lineRule="auto"/>
        <w:ind w:right="-450"/>
        <w:rPr>
          <w:sz w:val="19"/>
          <w:szCs w:val="19"/>
        </w:rPr>
      </w:pPr>
    </w:p>
    <w:p w14:paraId="52D98502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41AA45CC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28C55B9C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701AE586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17F85C45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2F9527EB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31900E70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0D543368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53A314E8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0D71E4F7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1FBA6326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0F9FEBE6" w14:textId="77777777" w:rsidR="005174E1" w:rsidRDefault="005174E1" w:rsidP="0010373E">
      <w:pPr>
        <w:spacing w:after="120" w:line="240" w:lineRule="auto"/>
        <w:rPr>
          <w:rStyle w:val="Heading2Char"/>
        </w:rPr>
      </w:pPr>
    </w:p>
    <w:p w14:paraId="30794AF0" w14:textId="77172653" w:rsidR="0010373E" w:rsidRDefault="0010373E" w:rsidP="0010373E">
      <w:pPr>
        <w:spacing w:after="120" w:line="240" w:lineRule="auto"/>
      </w:pPr>
      <w:r w:rsidRPr="004E7CE9">
        <w:rPr>
          <w:rStyle w:val="Heading2Char"/>
        </w:rPr>
        <w:lastRenderedPageBreak/>
        <w:t xml:space="preserve">Appendix </w:t>
      </w:r>
      <w:r w:rsidR="00E104B5">
        <w:rPr>
          <w:rStyle w:val="Heading2Char"/>
        </w:rPr>
        <w:t>6</w:t>
      </w:r>
      <w:r>
        <w:rPr>
          <w:rStyle w:val="Heading2Char"/>
        </w:rPr>
        <w:t>.</w:t>
      </w:r>
      <w:r>
        <w:t xml:space="preserve"> E</w:t>
      </w:r>
      <w:r w:rsidRPr="00582E19">
        <w:t xml:space="preserve">stimated </w:t>
      </w:r>
      <w:r>
        <w:t>median costs</w:t>
      </w:r>
      <w:r w:rsidRPr="00582E19">
        <w:t xml:space="preserve"> of malaria treatment </w:t>
      </w:r>
      <w:r>
        <w:t>per person</w:t>
      </w:r>
      <w:r w:rsidR="00E104B5">
        <w:t xml:space="preserve"> and interquartile range (IQR)</w:t>
      </w:r>
      <w:r>
        <w:t xml:space="preserve"> </w:t>
      </w:r>
      <w:r w:rsidRPr="00582E19">
        <w:t>among those with private insurance and those with Medicaid</w:t>
      </w:r>
      <w:r w:rsidRPr="004A6925">
        <w:t xml:space="preserve">, </w:t>
      </w:r>
      <w:r>
        <w:t>Oct 2015</w:t>
      </w:r>
      <w:r>
        <w:rPr>
          <w:rFonts w:cstheme="minorHAnsi"/>
        </w:rPr>
        <w:t>−</w:t>
      </w:r>
      <w:r>
        <w:t xml:space="preserve">Dec 2019 </w:t>
      </w:r>
      <w:proofErr w:type="spellStart"/>
      <w:r>
        <w:t>Merative</w:t>
      </w:r>
      <w:proofErr w:type="spellEnd"/>
      <w:r w:rsidRPr="00063982">
        <w:t>®</w:t>
      </w:r>
      <w:r>
        <w:t xml:space="preserve"> MarketScan</w:t>
      </w:r>
      <w:r>
        <w:rPr>
          <w:rFonts w:cstheme="minorHAnsi"/>
        </w:rPr>
        <w:t>®</w:t>
      </w:r>
      <w:r>
        <w:t xml:space="preserve"> Commercial Claims and Encounters Database and Multi-state Medicaid Database (2019 USD)</w:t>
      </w:r>
    </w:p>
    <w:tbl>
      <w:tblPr>
        <w:tblW w:w="1304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156"/>
        <w:gridCol w:w="436"/>
        <w:gridCol w:w="812"/>
        <w:gridCol w:w="1515"/>
        <w:gridCol w:w="436"/>
        <w:gridCol w:w="770"/>
        <w:gridCol w:w="1515"/>
        <w:gridCol w:w="436"/>
        <w:gridCol w:w="770"/>
        <w:gridCol w:w="1515"/>
        <w:gridCol w:w="436"/>
        <w:gridCol w:w="808"/>
        <w:gridCol w:w="1440"/>
      </w:tblGrid>
      <w:tr w:rsidR="00BC6BBD" w:rsidRPr="005174E1" w14:paraId="6D09B5B6" w14:textId="77777777" w:rsidTr="004563AF">
        <w:trPr>
          <w:trHeight w:val="288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971A" w14:textId="6D8AE516" w:rsidR="00BC6BBD" w:rsidRPr="002C2571" w:rsidRDefault="00BC6BBD" w:rsidP="00EC3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9CFE" w14:textId="480F6C0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Hospitalized Patients</w:t>
            </w:r>
          </w:p>
        </w:tc>
        <w:tc>
          <w:tcPr>
            <w:tcW w:w="2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A0D3" w14:textId="591BC4A1" w:rsidR="00BC6BBD" w:rsidRPr="002C2571" w:rsidRDefault="00BC6BBD" w:rsidP="0084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Non-hospitalized Patients</w:t>
            </w:r>
          </w:p>
        </w:tc>
      </w:tr>
      <w:tr w:rsidR="00BC6BBD" w:rsidRPr="005174E1" w14:paraId="103772BC" w14:textId="77777777" w:rsidTr="004563AF">
        <w:trPr>
          <w:trHeight w:val="288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EBDA" w14:textId="7D4C5655" w:rsidR="00BC6BBD" w:rsidRPr="002C2571" w:rsidRDefault="00BC6BBD" w:rsidP="00EC3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4889B" w14:textId="7A079DBE" w:rsidR="00BC6BBD" w:rsidRDefault="00BC6BBD" w:rsidP="0084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60207" w14:textId="113B6B60" w:rsidR="00BC6BBD" w:rsidRPr="002C2571" w:rsidRDefault="00BC6BBD" w:rsidP="0084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Primary Dx </w:t>
            </w: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15B" w14:textId="2F930456" w:rsidR="00BC6BBD" w:rsidRPr="002C2571" w:rsidRDefault="00BC6BBD" w:rsidP="0084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Non-primary Dx </w:t>
            </w: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26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EEFF" w14:textId="1BECA481" w:rsidR="00BC6BBD" w:rsidRPr="002C2571" w:rsidRDefault="00BC6BBD" w:rsidP="00844E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BC6BBD" w:rsidRPr="005174E1" w14:paraId="58A483A3" w14:textId="77777777" w:rsidTr="00BC6BBD">
        <w:trPr>
          <w:trHeight w:val="288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45F1" w14:textId="6C5C6E7B" w:rsidR="00BC6BBD" w:rsidRPr="002C2571" w:rsidRDefault="00BC6BBD" w:rsidP="00EC3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9C2BFB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018B9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13133" w14:textId="3F5BA44A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IQR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5929A6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A105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0FCE2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IQR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222931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1465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2722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IQR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23FEEB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66B9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Median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8985" w14:textId="77777777" w:rsidR="00BC6BBD" w:rsidRPr="002C2571" w:rsidRDefault="00BC6BBD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IQR</w:t>
            </w:r>
          </w:p>
        </w:tc>
      </w:tr>
      <w:tr w:rsidR="0010373E" w:rsidRPr="002C2571" w14:paraId="4F27612A" w14:textId="77777777" w:rsidTr="006D5E20">
        <w:trPr>
          <w:trHeight w:val="288"/>
        </w:trPr>
        <w:tc>
          <w:tcPr>
            <w:tcW w:w="1304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3A5AF9A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Private Insurance</w:t>
            </w:r>
          </w:p>
        </w:tc>
      </w:tr>
      <w:tr w:rsidR="006D5E20" w:rsidRPr="005174E1" w14:paraId="5E4B48E1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73A2" w14:textId="77777777" w:rsidR="0010373E" w:rsidRPr="002C2571" w:rsidRDefault="0010373E" w:rsidP="00EC3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Overall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CC7D" w14:textId="77777777" w:rsidR="0010373E" w:rsidRPr="002C2571" w:rsidRDefault="0010373E" w:rsidP="00EC3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D1EA" w14:textId="77777777" w:rsidR="0010373E" w:rsidRPr="002C2571" w:rsidRDefault="0010373E" w:rsidP="00EC3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FD8A" w14:textId="77777777" w:rsidR="0010373E" w:rsidRPr="002C2571" w:rsidRDefault="0010373E" w:rsidP="00EC3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509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09F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1649D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DA0DE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4994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7FF2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1DD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A7A0E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205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D5E20" w:rsidRPr="005174E1" w14:paraId="723E4CB7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C951" w14:textId="77777777" w:rsidR="0010373E" w:rsidRPr="002C2571" w:rsidRDefault="0010373E" w:rsidP="00EC34D8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D94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631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14,712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4613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[8,928, 25,378]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E0803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555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12,652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0823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[6,276, 19,130]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2EC7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6BBE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20,203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F7A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[10,475, 32,140]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1380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F6DBD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B58A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[177, 1,410]</w:t>
            </w:r>
          </w:p>
        </w:tc>
      </w:tr>
      <w:tr w:rsidR="006D5E20" w:rsidRPr="005174E1" w14:paraId="53B80852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203A9" w14:textId="77777777" w:rsidR="0010373E" w:rsidRPr="002C2571" w:rsidRDefault="0010373E" w:rsidP="00EC34D8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35BE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DA9A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12,103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216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[5,892, 23,119]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370D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004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10,423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0C6F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[4,771, 17,781]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A2EA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BE1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17,837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5D624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[8,380, 30,560]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161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6997" w14:textId="2338A8BE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9BA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[67, 610]</w:t>
            </w:r>
          </w:p>
        </w:tc>
      </w:tr>
      <w:tr w:rsidR="006D5E20" w:rsidRPr="005174E1" w14:paraId="61328529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40389" w14:textId="77777777" w:rsidR="0010373E" w:rsidRPr="002C2571" w:rsidRDefault="0010373E" w:rsidP="00EC34D8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87F2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1DF1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67D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[322, 3,049]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4B84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EBB3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CA2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[202, 2,949]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546CE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A4AB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12E5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[446, 3,084]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A991E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0D682" w14:textId="70661E18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</w:t>
            </w:r>
            <w:r w:rsidR="00092ECF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256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[44, 340]</w:t>
            </w:r>
          </w:p>
        </w:tc>
      </w:tr>
      <w:tr w:rsidR="006D5E20" w:rsidRPr="005174E1" w14:paraId="54F5542F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B696F" w14:textId="77777777" w:rsidR="0010373E" w:rsidRPr="002C2571" w:rsidRDefault="0010373E" w:rsidP="00EC3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By Disease Severity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8A49D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FD3F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41FD2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59AC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7AF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0069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96C73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6E5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DAB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873C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152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596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D5E20" w:rsidRPr="005174E1" w14:paraId="2DC1565F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B61A5" w14:textId="77777777" w:rsidR="0010373E" w:rsidRPr="002C2571" w:rsidRDefault="0010373E" w:rsidP="00EC3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Uncomplicated Malaria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D73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8F34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B48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810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739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A020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BC943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F492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747BA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7775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5853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F5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D5E20" w:rsidRPr="005174E1" w14:paraId="694F1A95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B455D" w14:textId="77777777" w:rsidR="0010373E" w:rsidRPr="002C2571" w:rsidRDefault="0010373E" w:rsidP="00EC34D8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EC3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7F8E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11,570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488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[5,578, 18,948]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F42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7F8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10,883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7D4C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[4,167, 16,817]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9B5D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0A0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15,199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6A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[9,170, 22,102]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340EA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E343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E85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6D5E20" w:rsidRPr="005174E1" w14:paraId="28CB6A64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BC330" w14:textId="77777777" w:rsidR="0010373E" w:rsidRPr="002C2571" w:rsidRDefault="0010373E" w:rsidP="00EC34D8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BC1F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A733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9,687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45ABE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[4,005, 17,777]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17BE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C372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8,879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FA3B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[3,544, 14,722]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858E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834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14,159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5756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[6,787, 20,142]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57BB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89F2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974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6D5E20" w:rsidRPr="005174E1" w14:paraId="04806A18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D51E0" w14:textId="77777777" w:rsidR="0010373E" w:rsidRPr="002C2571" w:rsidRDefault="0010373E" w:rsidP="00EC34D8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C62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C6D2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83B6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[147, 2,707]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BEBCE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34B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675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[100, 2,706]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5A7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2864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1,468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7CE3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[446, 2,782]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AF44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D2C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1D92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6D5E20" w:rsidRPr="005174E1" w14:paraId="34355E75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2DE87" w14:textId="3DD74AB8" w:rsidR="0010373E" w:rsidRPr="002C2571" w:rsidRDefault="0010373E" w:rsidP="00EC3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Severe Malaria</w:t>
            </w: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 xml:space="preserve"> </w:t>
            </w:r>
            <w:r w:rsidR="00405353">
              <w:rPr>
                <w:rFonts w:ascii="Calibri" w:eastAsia="Times New Roman" w:hAnsi="Calibri" w:cs="Calibri"/>
                <w:color w:val="000000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FC9A4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884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49EC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C29F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8AE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76CCD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5C6B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51C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D2BA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D1EA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EF5BD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4F8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D5E20" w:rsidRPr="005174E1" w14:paraId="09CB5FBF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90BB" w14:textId="77777777" w:rsidR="003E7867" w:rsidRPr="002C2571" w:rsidRDefault="003E7867" w:rsidP="003E7867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5B27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E5E0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21,793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7BD9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[13,392, 44,205]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F385" w14:textId="68E7D209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1E4A" w14:textId="3F3DB14C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18,008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EE914" w14:textId="4EB54856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[13,169, 28,652]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8932" w14:textId="206B0300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1058" w14:textId="06E5F554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28,184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B6E5" w14:textId="2EE62C9D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[14,327, 66,319]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2823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4A25B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628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6D5E20" w:rsidRPr="005174E1" w14:paraId="2919FEBF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D33D" w14:textId="77777777" w:rsidR="003E7867" w:rsidRPr="002C2571" w:rsidRDefault="003E7867" w:rsidP="003E7867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8B57C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2639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17,895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219D3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[10,769, 42,628]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6136" w14:textId="6E2B24F9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18E0" w14:textId="2881676C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15,932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A356C" w14:textId="73157464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[9,811, 27,918]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04761" w14:textId="592A3ED8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F113A" w14:textId="292A9BCE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26,949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D8BA" w14:textId="63272A6C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[11,628, 60,913]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B3EBE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303CD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7DDB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6D5E20" w:rsidRPr="005174E1" w14:paraId="5473A0C1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EA41A" w14:textId="77777777" w:rsidR="003E7867" w:rsidRPr="002C2571" w:rsidRDefault="003E7867" w:rsidP="003E7867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A5490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AC6FE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DE56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[813, 3,704]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E377A" w14:textId="61F5588F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2F992" w14:textId="425B27B1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2,180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D2880" w14:textId="4D75C756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[1,235, 3,672]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77930" w14:textId="074B77BB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0F33D" w14:textId="3F25AA0F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2,078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4BF8" w14:textId="63C3958E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1960EF">
              <w:rPr>
                <w:rFonts w:ascii="Calibri" w:hAnsi="Calibri" w:cs="Calibri"/>
                <w:color w:val="000000"/>
                <w:sz w:val="21"/>
                <w:szCs w:val="21"/>
              </w:rPr>
              <w:t>[657, 3,704]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5F36A4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C031B5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B79C" w14:textId="77777777" w:rsidR="003E7867" w:rsidRPr="002C2571" w:rsidRDefault="003E7867" w:rsidP="003E7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</w:t>
            </w:r>
          </w:p>
        </w:tc>
      </w:tr>
      <w:tr w:rsidR="0010373E" w:rsidRPr="002C2571" w14:paraId="3B3C3404" w14:textId="77777777" w:rsidTr="00BC6BBD">
        <w:trPr>
          <w:trHeight w:val="288"/>
        </w:trPr>
        <w:tc>
          <w:tcPr>
            <w:tcW w:w="1304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2EAF815" w14:textId="400F6036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Medicaid </w:t>
            </w:r>
            <w:r w:rsidR="001960EF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d</w:t>
            </w:r>
          </w:p>
        </w:tc>
      </w:tr>
      <w:tr w:rsidR="006D5E20" w:rsidRPr="005174E1" w14:paraId="10772AF8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456FF" w14:textId="77777777" w:rsidR="0010373E" w:rsidRPr="002C2571" w:rsidRDefault="0010373E" w:rsidP="00EC34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Overall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2A7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CE32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5474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B627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CCDE3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35DD2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3D3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77F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2AC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0EB6F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E4AE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BB8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6D5E20" w:rsidRPr="005174E1" w14:paraId="38FE2E60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81D2C" w14:textId="77777777" w:rsidR="0010373E" w:rsidRPr="002C2571" w:rsidRDefault="0010373E" w:rsidP="00EC34D8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3F9DA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E40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6,778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E2F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[3,932, 16,706]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EE71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0A2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5,132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6B890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[3,244, 6,615]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334D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15B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DFC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[5,546, 23,685]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4B38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EF4C" w14:textId="3D1D0DD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BB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[204, 613]</w:t>
            </w:r>
          </w:p>
        </w:tc>
      </w:tr>
      <w:tr w:rsidR="006D5E20" w:rsidRPr="005174E1" w14:paraId="1802DE0A" w14:textId="77777777" w:rsidTr="00844EAF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5EE5F" w14:textId="77777777" w:rsidR="0010373E" w:rsidRPr="002C2571" w:rsidRDefault="0010373E" w:rsidP="00EC34D8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Insurance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6FA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3BE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6,777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C56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[3,932, 16,705]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64BB4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E3D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5,132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E32A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[3,244, 6,613]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78E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398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11,890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28E5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[5,536, 23,663]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190DC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F468D" w14:textId="21D826B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682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[198, 613]</w:t>
            </w:r>
          </w:p>
        </w:tc>
      </w:tr>
      <w:tr w:rsidR="006D5E20" w:rsidRPr="005174E1" w14:paraId="6B095391" w14:textId="77777777" w:rsidTr="00BC6BBD">
        <w:trPr>
          <w:trHeight w:val="288"/>
        </w:trPr>
        <w:tc>
          <w:tcPr>
            <w:tcW w:w="2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CE3C0" w14:textId="77777777" w:rsidR="0010373E" w:rsidRPr="002C2571" w:rsidRDefault="0010373E" w:rsidP="00EC34D8">
            <w:pPr>
              <w:spacing w:after="0" w:line="240" w:lineRule="auto"/>
              <w:ind w:firstLineChars="100" w:firstLine="210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Out-of-pocket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A067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76C56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D5F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[0, 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348F4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A0A4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91E9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[0, 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F8BC8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26654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C62DB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[0, 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94A31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02373" w14:textId="4A4DAB8D" w:rsidR="0010373E" w:rsidRPr="002C2571" w:rsidRDefault="00092ECF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D0F7" w14:textId="77777777" w:rsidR="0010373E" w:rsidRPr="002C2571" w:rsidRDefault="0010373E" w:rsidP="00EC34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2C257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[0, 8]</w:t>
            </w:r>
          </w:p>
        </w:tc>
      </w:tr>
    </w:tbl>
    <w:p w14:paraId="751E6DA9" w14:textId="77777777" w:rsidR="009F2A17" w:rsidRPr="00362957" w:rsidRDefault="009F2A17" w:rsidP="009F2A17">
      <w:pPr>
        <w:spacing w:before="60" w:after="0" w:line="240" w:lineRule="auto"/>
        <w:ind w:right="-446"/>
        <w:rPr>
          <w:sz w:val="19"/>
          <w:szCs w:val="19"/>
        </w:rPr>
      </w:pPr>
      <w:proofErr w:type="spellStart"/>
      <w:proofErr w:type="gramStart"/>
      <w:r w:rsidRPr="00362957">
        <w:rPr>
          <w:sz w:val="19"/>
          <w:szCs w:val="19"/>
          <w:vertAlign w:val="superscript"/>
        </w:rPr>
        <w:t>a</w:t>
      </w:r>
      <w:proofErr w:type="spellEnd"/>
      <w:proofErr w:type="gramEnd"/>
      <w:r w:rsidRPr="00362957">
        <w:rPr>
          <w:sz w:val="19"/>
          <w:szCs w:val="19"/>
        </w:rPr>
        <w:t xml:space="preserve"> Inpatients with malaria diagnosis codes as primary diagnosis</w:t>
      </w:r>
      <w:r>
        <w:rPr>
          <w:sz w:val="19"/>
          <w:szCs w:val="19"/>
        </w:rPr>
        <w:t>.</w:t>
      </w:r>
    </w:p>
    <w:p w14:paraId="2B61E807" w14:textId="77777777" w:rsidR="009F2A17" w:rsidRPr="00362957" w:rsidRDefault="009F2A17" w:rsidP="009F2A17">
      <w:pPr>
        <w:spacing w:after="0" w:line="240" w:lineRule="auto"/>
        <w:ind w:right="-450"/>
        <w:rPr>
          <w:sz w:val="19"/>
          <w:szCs w:val="19"/>
        </w:rPr>
      </w:pPr>
      <w:r w:rsidRPr="00362957">
        <w:rPr>
          <w:sz w:val="19"/>
          <w:szCs w:val="19"/>
          <w:vertAlign w:val="superscript"/>
        </w:rPr>
        <w:t>b</w:t>
      </w:r>
      <w:r w:rsidRPr="00362957">
        <w:rPr>
          <w:sz w:val="19"/>
          <w:szCs w:val="19"/>
        </w:rPr>
        <w:t xml:space="preserve"> Inpatients with malaria diagnosis codes as non-primary diagnosis; top 5 primary diagnoses were sepsis, unspecified organism (30%), other specified sepsis (11%), fever (6%), urinary tract infection (3%), and human immunodeficiency virus disease (3%).  </w:t>
      </w:r>
    </w:p>
    <w:p w14:paraId="6DC9CA69" w14:textId="68480978" w:rsidR="009F2A17" w:rsidRDefault="00405353" w:rsidP="009F2A17">
      <w:pPr>
        <w:spacing w:after="0" w:line="240" w:lineRule="auto"/>
        <w:ind w:right="-270"/>
        <w:rPr>
          <w:sz w:val="19"/>
          <w:szCs w:val="19"/>
        </w:rPr>
      </w:pPr>
      <w:r>
        <w:rPr>
          <w:sz w:val="19"/>
          <w:szCs w:val="19"/>
          <w:vertAlign w:val="superscript"/>
        </w:rPr>
        <w:t>c</w:t>
      </w:r>
      <w:r w:rsidR="009F2A17" w:rsidRPr="00362957">
        <w:rPr>
          <w:sz w:val="19"/>
          <w:szCs w:val="19"/>
        </w:rPr>
        <w:t xml:space="preserve"> Those with severe malaria were defined as having one or more of the following diagnoses or procedures: neurologic symptoms, severe anemia with blood transfusion, renal failure, acute respiratory distress syndrome, jaundice, exchange transfusion, and in-hospital death.</w:t>
      </w:r>
      <w:r w:rsidR="009F2A17">
        <w:rPr>
          <w:sz w:val="19"/>
          <w:szCs w:val="19"/>
        </w:rPr>
        <w:fldChar w:fldCharType="begin">
          <w:fldData xml:space="preserve">PEVuZE5vdGU+PENpdGU+PEF1dGhvcj5LaHV1PC9BdXRob3I+PFllYXI+MjAxOTwvWWVhcj48UmVj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</w:fldData>
        </w:fldChar>
      </w:r>
      <w:r w:rsidR="009F2A17">
        <w:rPr>
          <w:sz w:val="19"/>
          <w:szCs w:val="19"/>
        </w:rPr>
        <w:instrText xml:space="preserve"> ADDIN EN.CITE </w:instrText>
      </w:r>
      <w:r w:rsidR="009F2A17">
        <w:rPr>
          <w:sz w:val="19"/>
          <w:szCs w:val="19"/>
        </w:rPr>
        <w:fldChar w:fldCharType="begin">
          <w:fldData xml:space="preserve">PEVuZE5vdGU+PENpdGU+PEF1dGhvcj5LaHV1PC9BdXRob3I+PFllYXI+MjAxOTwvWWVhcj48UmVj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</w:fldData>
        </w:fldChar>
      </w:r>
      <w:r w:rsidR="009F2A17">
        <w:rPr>
          <w:sz w:val="19"/>
          <w:szCs w:val="19"/>
        </w:rPr>
        <w:instrText xml:space="preserve"> ADDIN EN.CITE.DATA </w:instrText>
      </w:r>
      <w:r w:rsidR="009F2A17">
        <w:rPr>
          <w:sz w:val="19"/>
          <w:szCs w:val="19"/>
        </w:rPr>
      </w:r>
      <w:r w:rsidR="009F2A17">
        <w:rPr>
          <w:sz w:val="19"/>
          <w:szCs w:val="19"/>
        </w:rPr>
        <w:fldChar w:fldCharType="end"/>
      </w:r>
      <w:r w:rsidR="009F2A17">
        <w:rPr>
          <w:sz w:val="19"/>
          <w:szCs w:val="19"/>
        </w:rPr>
      </w:r>
      <w:r w:rsidR="009F2A17">
        <w:rPr>
          <w:sz w:val="19"/>
          <w:szCs w:val="19"/>
        </w:rPr>
        <w:fldChar w:fldCharType="separate"/>
      </w:r>
      <w:r w:rsidR="009F2A17" w:rsidRPr="000B25B5">
        <w:rPr>
          <w:noProof/>
          <w:sz w:val="19"/>
          <w:szCs w:val="19"/>
          <w:vertAlign w:val="superscript"/>
        </w:rPr>
        <w:t>3</w:t>
      </w:r>
      <w:r w:rsidR="009F2A17">
        <w:rPr>
          <w:sz w:val="19"/>
          <w:szCs w:val="19"/>
        </w:rPr>
        <w:fldChar w:fldCharType="end"/>
      </w:r>
    </w:p>
    <w:p w14:paraId="71671A00" w14:textId="2D728DCB" w:rsidR="009F2A17" w:rsidRDefault="00405353" w:rsidP="009F2A17">
      <w:pPr>
        <w:spacing w:after="0" w:line="240" w:lineRule="auto"/>
        <w:ind w:right="-270"/>
        <w:rPr>
          <w:sz w:val="19"/>
          <w:szCs w:val="19"/>
        </w:rPr>
      </w:pPr>
      <w:r>
        <w:rPr>
          <w:sz w:val="19"/>
          <w:szCs w:val="19"/>
          <w:vertAlign w:val="superscript"/>
        </w:rPr>
        <w:t>d</w:t>
      </w:r>
      <w:r w:rsidR="009F2A17" w:rsidRPr="00362957">
        <w:rPr>
          <w:sz w:val="19"/>
          <w:szCs w:val="19"/>
        </w:rPr>
        <w:t xml:space="preserve"> Due to the small sample size</w:t>
      </w:r>
      <w:r w:rsidR="009F2A17">
        <w:rPr>
          <w:sz w:val="19"/>
          <w:szCs w:val="19"/>
        </w:rPr>
        <w:t xml:space="preserve"> of the Medicaid sample</w:t>
      </w:r>
      <w:r w:rsidR="009F2A17" w:rsidRPr="00362957">
        <w:rPr>
          <w:sz w:val="19"/>
          <w:szCs w:val="19"/>
        </w:rPr>
        <w:t>, costs were not further examined by type of service and the status of severe malaria.</w:t>
      </w:r>
    </w:p>
    <w:p w14:paraId="2222C69D" w14:textId="50E13356" w:rsidR="008E48E2" w:rsidRDefault="008E48E2" w:rsidP="00F73A1E">
      <w:pPr>
        <w:rPr>
          <w:sz w:val="19"/>
          <w:szCs w:val="19"/>
        </w:rPr>
        <w:sectPr w:rsidR="008E48E2" w:rsidSect="00CB6EC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B5F826" w14:textId="22F0FA78" w:rsidR="00063982" w:rsidRDefault="00055FA8" w:rsidP="002B5DDF">
      <w:pPr>
        <w:pStyle w:val="Heading2"/>
        <w:spacing w:line="360" w:lineRule="auto"/>
      </w:pPr>
      <w:r>
        <w:lastRenderedPageBreak/>
        <w:t>Reference</w:t>
      </w:r>
      <w:r w:rsidR="00377D77">
        <w:t>s</w:t>
      </w:r>
    </w:p>
    <w:p w14:paraId="7557D12F" w14:textId="781FE484" w:rsidR="009F2A17" w:rsidRPr="009F2A17" w:rsidRDefault="00063982" w:rsidP="002D5A78">
      <w:pPr>
        <w:pStyle w:val="EndNoteBibliography"/>
        <w:spacing w:after="0"/>
        <w:ind w:left="360" w:hanging="36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9F2A17" w:rsidRPr="009F2A17">
        <w:t>1.</w:t>
      </w:r>
      <w:r w:rsidR="009F2A17" w:rsidRPr="009F2A17">
        <w:tab/>
        <w:t xml:space="preserve">IBM MarketScan Research Databases for life sciences researchers IBM Watson Health Accessed November 22,, 2021. </w:t>
      </w:r>
      <w:hyperlink r:id="rId18" w:history="1">
        <w:r w:rsidR="009F2A17" w:rsidRPr="009F2A17">
          <w:rPr>
            <w:rStyle w:val="Hyperlink"/>
          </w:rPr>
          <w:t>https://www.ibm.com/downloads/cas/OWZWJ0QO</w:t>
        </w:r>
      </w:hyperlink>
    </w:p>
    <w:p w14:paraId="54D0A3D9" w14:textId="77777777" w:rsidR="009F2A17" w:rsidRPr="009F2A17" w:rsidRDefault="009F2A17" w:rsidP="002D5A78">
      <w:pPr>
        <w:pStyle w:val="EndNoteBibliography"/>
        <w:spacing w:after="0"/>
        <w:ind w:left="360" w:hanging="360"/>
      </w:pPr>
      <w:r w:rsidRPr="009F2A17">
        <w:t>2.</w:t>
      </w:r>
      <w:r w:rsidRPr="009F2A17">
        <w:tab/>
      </w:r>
      <w:r w:rsidRPr="009F2A17">
        <w:rPr>
          <w:i/>
        </w:rPr>
        <w:t>IBM MarketScan Research Databases User Guide: Commercial Claims and Encounters Database and Medicare Supplemental and Coordination of Benefits Database. Data Year 2018 Edition</w:t>
      </w:r>
      <w:r w:rsidRPr="009F2A17">
        <w:t xml:space="preserve">. 2018. </w:t>
      </w:r>
    </w:p>
    <w:p w14:paraId="64DA5E55" w14:textId="77777777" w:rsidR="009F2A17" w:rsidRPr="009F2A17" w:rsidRDefault="009F2A17" w:rsidP="002D5A78">
      <w:pPr>
        <w:pStyle w:val="EndNoteBibliography"/>
        <w:spacing w:after="0"/>
        <w:ind w:left="360" w:hanging="360"/>
      </w:pPr>
      <w:r w:rsidRPr="009F2A17">
        <w:t>3.</w:t>
      </w:r>
      <w:r w:rsidRPr="009F2A17">
        <w:tab/>
        <w:t xml:space="preserve">Khuu D, Eberhard ML, Bristow BN, et al. Economic impact of malaria-related hospitalizations in the United States, 2000-2014. </w:t>
      </w:r>
      <w:r w:rsidRPr="009F2A17">
        <w:rPr>
          <w:i/>
        </w:rPr>
        <w:t>J Infect Public Health</w:t>
      </w:r>
      <w:r w:rsidRPr="009F2A17">
        <w:t>. May-Jun 2019;12(3):424-433. doi:10.1016/j.jiph.2018.11.010</w:t>
      </w:r>
    </w:p>
    <w:p w14:paraId="5AC9AD39" w14:textId="50BBC08F" w:rsidR="009F2A17" w:rsidRPr="009F2A17" w:rsidRDefault="009F2A17" w:rsidP="002D5A78">
      <w:pPr>
        <w:pStyle w:val="EndNoteBibliography"/>
        <w:spacing w:after="0"/>
        <w:ind w:left="360" w:hanging="360"/>
      </w:pPr>
      <w:r w:rsidRPr="009F2A17">
        <w:t>4.</w:t>
      </w:r>
      <w:r w:rsidRPr="009F2A17">
        <w:tab/>
        <w:t xml:space="preserve">CDC. Malaria: treatment of malaria: guidelines for clinicians (United States). Centers for Disease Control and Prevention. Updated September 30, 2022. Accessed January 4, 2022. </w:t>
      </w:r>
      <w:hyperlink r:id="rId19" w:history="1">
        <w:r w:rsidRPr="009F2A17">
          <w:rPr>
            <w:rStyle w:val="Hyperlink"/>
          </w:rPr>
          <w:t>https://www.cdc.gov/malaria/diagnosis_treatment/clinicians1.html</w:t>
        </w:r>
      </w:hyperlink>
    </w:p>
    <w:p w14:paraId="61A834CF" w14:textId="00B8B477" w:rsidR="009F2A17" w:rsidRPr="009F2A17" w:rsidRDefault="009F2A17" w:rsidP="002D5A78">
      <w:pPr>
        <w:pStyle w:val="EndNoteBibliography"/>
        <w:ind w:left="360" w:hanging="360"/>
      </w:pPr>
      <w:r w:rsidRPr="009F2A17">
        <w:t>5.</w:t>
      </w:r>
      <w:r w:rsidRPr="009F2A17">
        <w:tab/>
        <w:t xml:space="preserve">CPI for All Urban Consumers (CPI-U), U.S. city average, Medical care. U.S. Bureau of Labor Statistics. Accessed February 5, 2022. </w:t>
      </w:r>
      <w:hyperlink r:id="rId20" w:history="1">
        <w:r w:rsidRPr="009F2A17">
          <w:rPr>
            <w:rStyle w:val="Hyperlink"/>
          </w:rPr>
          <w:t>https://data.bls.gov/cgi-bin/surveymost?cu</w:t>
        </w:r>
      </w:hyperlink>
    </w:p>
    <w:p w14:paraId="55C00197" w14:textId="06075082" w:rsidR="00063982" w:rsidRDefault="00063982" w:rsidP="002D5A78">
      <w:pPr>
        <w:spacing w:line="360" w:lineRule="auto"/>
        <w:ind w:left="360" w:hanging="360"/>
      </w:pPr>
      <w:r>
        <w:fldChar w:fldCharType="end"/>
      </w:r>
      <w:r w:rsidR="00ED3C2A">
        <w:fldChar w:fldCharType="begin"/>
      </w:r>
      <w:r w:rsidR="00ED3C2A">
        <w:instrText xml:space="preserve"> ADDIN </w:instrText>
      </w:r>
      <w:r w:rsidR="00ED3C2A">
        <w:fldChar w:fldCharType="end"/>
      </w:r>
    </w:p>
    <w:sectPr w:rsidR="0006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B8E3E" w14:textId="77777777" w:rsidR="000075E8" w:rsidRDefault="000075E8" w:rsidP="001F2D10">
      <w:pPr>
        <w:spacing w:after="0" w:line="240" w:lineRule="auto"/>
      </w:pPr>
      <w:r>
        <w:separator/>
      </w:r>
    </w:p>
  </w:endnote>
  <w:endnote w:type="continuationSeparator" w:id="0">
    <w:p w14:paraId="4F56851E" w14:textId="77777777" w:rsidR="000075E8" w:rsidRDefault="000075E8" w:rsidP="001F2D10">
      <w:pPr>
        <w:spacing w:after="0" w:line="240" w:lineRule="auto"/>
      </w:pPr>
      <w:r>
        <w:continuationSeparator/>
      </w:r>
    </w:p>
  </w:endnote>
  <w:endnote w:type="continuationNotice" w:id="1">
    <w:p w14:paraId="6B09F94B" w14:textId="77777777" w:rsidR="000075E8" w:rsidRDefault="00007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8B15" w14:textId="77777777" w:rsidR="00842AD3" w:rsidRDefault="00842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03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8C759" w14:textId="591EB404" w:rsidR="00F665C7" w:rsidRDefault="00F665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A5940" w14:textId="77777777" w:rsidR="00F665C7" w:rsidRDefault="00F665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4B3" w14:textId="77777777" w:rsidR="00842AD3" w:rsidRDefault="00842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BE50" w14:textId="77777777" w:rsidR="000075E8" w:rsidRDefault="000075E8" w:rsidP="001F2D10">
      <w:pPr>
        <w:spacing w:after="0" w:line="240" w:lineRule="auto"/>
      </w:pPr>
      <w:r>
        <w:separator/>
      </w:r>
    </w:p>
  </w:footnote>
  <w:footnote w:type="continuationSeparator" w:id="0">
    <w:p w14:paraId="7E6EFA1B" w14:textId="77777777" w:rsidR="000075E8" w:rsidRDefault="000075E8" w:rsidP="001F2D10">
      <w:pPr>
        <w:spacing w:after="0" w:line="240" w:lineRule="auto"/>
      </w:pPr>
      <w:r>
        <w:continuationSeparator/>
      </w:r>
    </w:p>
  </w:footnote>
  <w:footnote w:type="continuationNotice" w:id="1">
    <w:p w14:paraId="33B4D414" w14:textId="77777777" w:rsidR="000075E8" w:rsidRDefault="000075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85035" w14:textId="77777777" w:rsidR="00842AD3" w:rsidRDefault="00842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E906" w14:textId="77777777" w:rsidR="00842AD3" w:rsidRDefault="00842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D165" w14:textId="77777777" w:rsidR="00842AD3" w:rsidRDefault="00842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75D9E"/>
    <w:multiLevelType w:val="hybridMultilevel"/>
    <w:tmpl w:val="C9CA08E4"/>
    <w:lvl w:ilvl="0" w:tplc="52BC5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C5609"/>
    <w:multiLevelType w:val="hybridMultilevel"/>
    <w:tmpl w:val="9B92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519333">
    <w:abstractNumId w:val="0"/>
  </w:num>
  <w:num w:numId="2" w16cid:durableId="700715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rvxx5xepft2a4edp9dvrv5ltvwzxz5xtape&quot;&gt;My EndNote Library&lt;record-ids&gt;&lt;item&gt;46&lt;/item&gt;&lt;item&gt;68&lt;/item&gt;&lt;item&gt;91&lt;/item&gt;&lt;item&gt;97&lt;/item&gt;&lt;item&gt;201&lt;/item&gt;&lt;/record-ids&gt;&lt;/item&gt;&lt;/Libraries&gt;"/>
  </w:docVars>
  <w:rsids>
    <w:rsidRoot w:val="00063982"/>
    <w:rsid w:val="00000CE2"/>
    <w:rsid w:val="000012B9"/>
    <w:rsid w:val="0000182C"/>
    <w:rsid w:val="00002226"/>
    <w:rsid w:val="00002C9F"/>
    <w:rsid w:val="000043BA"/>
    <w:rsid w:val="00004605"/>
    <w:rsid w:val="0000551D"/>
    <w:rsid w:val="0000713A"/>
    <w:rsid w:val="000075E8"/>
    <w:rsid w:val="00010992"/>
    <w:rsid w:val="00010CAF"/>
    <w:rsid w:val="000129E2"/>
    <w:rsid w:val="00012A29"/>
    <w:rsid w:val="00012F09"/>
    <w:rsid w:val="000138C7"/>
    <w:rsid w:val="00013C30"/>
    <w:rsid w:val="00013E33"/>
    <w:rsid w:val="00014BA5"/>
    <w:rsid w:val="00015AF8"/>
    <w:rsid w:val="0001606E"/>
    <w:rsid w:val="00016392"/>
    <w:rsid w:val="00016403"/>
    <w:rsid w:val="00020261"/>
    <w:rsid w:val="000205B7"/>
    <w:rsid w:val="000207F5"/>
    <w:rsid w:val="00021A17"/>
    <w:rsid w:val="00021D73"/>
    <w:rsid w:val="0002355D"/>
    <w:rsid w:val="000246B9"/>
    <w:rsid w:val="00024809"/>
    <w:rsid w:val="00024943"/>
    <w:rsid w:val="00025C5D"/>
    <w:rsid w:val="00027615"/>
    <w:rsid w:val="00027F27"/>
    <w:rsid w:val="00027F3F"/>
    <w:rsid w:val="00031439"/>
    <w:rsid w:val="00031A92"/>
    <w:rsid w:val="000326D8"/>
    <w:rsid w:val="00034AB9"/>
    <w:rsid w:val="000351A8"/>
    <w:rsid w:val="00035DA0"/>
    <w:rsid w:val="0003625D"/>
    <w:rsid w:val="00036264"/>
    <w:rsid w:val="00036B3E"/>
    <w:rsid w:val="00036E6F"/>
    <w:rsid w:val="0004049E"/>
    <w:rsid w:val="0004071F"/>
    <w:rsid w:val="0004075F"/>
    <w:rsid w:val="00040AAD"/>
    <w:rsid w:val="00042D95"/>
    <w:rsid w:val="000440E7"/>
    <w:rsid w:val="0004527F"/>
    <w:rsid w:val="000452A2"/>
    <w:rsid w:val="000456E8"/>
    <w:rsid w:val="00046463"/>
    <w:rsid w:val="00047208"/>
    <w:rsid w:val="00053119"/>
    <w:rsid w:val="00053C00"/>
    <w:rsid w:val="00054191"/>
    <w:rsid w:val="000555BD"/>
    <w:rsid w:val="00055FA8"/>
    <w:rsid w:val="00056A15"/>
    <w:rsid w:val="0006038E"/>
    <w:rsid w:val="00061202"/>
    <w:rsid w:val="000623BE"/>
    <w:rsid w:val="00063982"/>
    <w:rsid w:val="00063ED8"/>
    <w:rsid w:val="00065886"/>
    <w:rsid w:val="00065CC0"/>
    <w:rsid w:val="00067E9E"/>
    <w:rsid w:val="000717C1"/>
    <w:rsid w:val="00071F69"/>
    <w:rsid w:val="000725A0"/>
    <w:rsid w:val="00072E92"/>
    <w:rsid w:val="0007309E"/>
    <w:rsid w:val="0007316D"/>
    <w:rsid w:val="000733D1"/>
    <w:rsid w:val="00074152"/>
    <w:rsid w:val="000741DC"/>
    <w:rsid w:val="00074602"/>
    <w:rsid w:val="0007566E"/>
    <w:rsid w:val="000766E9"/>
    <w:rsid w:val="00076B2C"/>
    <w:rsid w:val="0008020E"/>
    <w:rsid w:val="00082751"/>
    <w:rsid w:val="00084CEE"/>
    <w:rsid w:val="00084D08"/>
    <w:rsid w:val="00086B24"/>
    <w:rsid w:val="00087063"/>
    <w:rsid w:val="0008745F"/>
    <w:rsid w:val="00090314"/>
    <w:rsid w:val="00090672"/>
    <w:rsid w:val="00090756"/>
    <w:rsid w:val="00091356"/>
    <w:rsid w:val="00092D7A"/>
    <w:rsid w:val="00092ECF"/>
    <w:rsid w:val="0009309D"/>
    <w:rsid w:val="00093EB2"/>
    <w:rsid w:val="0009415E"/>
    <w:rsid w:val="00094E64"/>
    <w:rsid w:val="00095DED"/>
    <w:rsid w:val="000A06D8"/>
    <w:rsid w:val="000A0FD9"/>
    <w:rsid w:val="000A1484"/>
    <w:rsid w:val="000A2CEE"/>
    <w:rsid w:val="000A3F6F"/>
    <w:rsid w:val="000A418D"/>
    <w:rsid w:val="000A4384"/>
    <w:rsid w:val="000A4454"/>
    <w:rsid w:val="000A60EB"/>
    <w:rsid w:val="000A7379"/>
    <w:rsid w:val="000A7F1A"/>
    <w:rsid w:val="000B0083"/>
    <w:rsid w:val="000B091D"/>
    <w:rsid w:val="000B25B5"/>
    <w:rsid w:val="000B271F"/>
    <w:rsid w:val="000B28C3"/>
    <w:rsid w:val="000B394E"/>
    <w:rsid w:val="000B4945"/>
    <w:rsid w:val="000B54DE"/>
    <w:rsid w:val="000B6996"/>
    <w:rsid w:val="000B6CB0"/>
    <w:rsid w:val="000C2D97"/>
    <w:rsid w:val="000C32A4"/>
    <w:rsid w:val="000C38A6"/>
    <w:rsid w:val="000C3D4F"/>
    <w:rsid w:val="000C4589"/>
    <w:rsid w:val="000C561A"/>
    <w:rsid w:val="000C6BC4"/>
    <w:rsid w:val="000C6D1A"/>
    <w:rsid w:val="000C6D39"/>
    <w:rsid w:val="000D00EB"/>
    <w:rsid w:val="000D02A8"/>
    <w:rsid w:val="000D0979"/>
    <w:rsid w:val="000D1FE8"/>
    <w:rsid w:val="000D237E"/>
    <w:rsid w:val="000D2973"/>
    <w:rsid w:val="000D39FC"/>
    <w:rsid w:val="000D3BFF"/>
    <w:rsid w:val="000D4763"/>
    <w:rsid w:val="000D4B20"/>
    <w:rsid w:val="000D4F57"/>
    <w:rsid w:val="000D550A"/>
    <w:rsid w:val="000D588A"/>
    <w:rsid w:val="000D5E09"/>
    <w:rsid w:val="000D6116"/>
    <w:rsid w:val="000D6FB1"/>
    <w:rsid w:val="000D7285"/>
    <w:rsid w:val="000D72C5"/>
    <w:rsid w:val="000D7AA3"/>
    <w:rsid w:val="000E0405"/>
    <w:rsid w:val="000E0A5A"/>
    <w:rsid w:val="000E1D0A"/>
    <w:rsid w:val="000E2449"/>
    <w:rsid w:val="000E5387"/>
    <w:rsid w:val="000E66E5"/>
    <w:rsid w:val="000E68BD"/>
    <w:rsid w:val="000E791B"/>
    <w:rsid w:val="000F0ED4"/>
    <w:rsid w:val="000F1C21"/>
    <w:rsid w:val="000F3C14"/>
    <w:rsid w:val="000F514D"/>
    <w:rsid w:val="000F5AE9"/>
    <w:rsid w:val="000F5BA3"/>
    <w:rsid w:val="000F753A"/>
    <w:rsid w:val="0010373E"/>
    <w:rsid w:val="00103E2E"/>
    <w:rsid w:val="00103F13"/>
    <w:rsid w:val="001049BE"/>
    <w:rsid w:val="0010577B"/>
    <w:rsid w:val="00106FB1"/>
    <w:rsid w:val="0011112A"/>
    <w:rsid w:val="00111263"/>
    <w:rsid w:val="0011189A"/>
    <w:rsid w:val="0011259A"/>
    <w:rsid w:val="00113D9F"/>
    <w:rsid w:val="00114297"/>
    <w:rsid w:val="001142FA"/>
    <w:rsid w:val="0011627E"/>
    <w:rsid w:val="00117BAA"/>
    <w:rsid w:val="00120B10"/>
    <w:rsid w:val="00120B6A"/>
    <w:rsid w:val="00124F90"/>
    <w:rsid w:val="001256E0"/>
    <w:rsid w:val="00125882"/>
    <w:rsid w:val="00126E26"/>
    <w:rsid w:val="00127A8F"/>
    <w:rsid w:val="00127E4D"/>
    <w:rsid w:val="00130C4D"/>
    <w:rsid w:val="0013118A"/>
    <w:rsid w:val="001313FF"/>
    <w:rsid w:val="0013195E"/>
    <w:rsid w:val="00133652"/>
    <w:rsid w:val="0013572C"/>
    <w:rsid w:val="00136241"/>
    <w:rsid w:val="00136C65"/>
    <w:rsid w:val="00137C6F"/>
    <w:rsid w:val="00137FFE"/>
    <w:rsid w:val="00141064"/>
    <w:rsid w:val="00143627"/>
    <w:rsid w:val="0014386A"/>
    <w:rsid w:val="00144237"/>
    <w:rsid w:val="00145531"/>
    <w:rsid w:val="00150ABD"/>
    <w:rsid w:val="00154400"/>
    <w:rsid w:val="00155BA4"/>
    <w:rsid w:val="00155BD1"/>
    <w:rsid w:val="00157E38"/>
    <w:rsid w:val="00161779"/>
    <w:rsid w:val="00161DDB"/>
    <w:rsid w:val="00162001"/>
    <w:rsid w:val="00164489"/>
    <w:rsid w:val="0016520D"/>
    <w:rsid w:val="001657CA"/>
    <w:rsid w:val="00167A03"/>
    <w:rsid w:val="0017056D"/>
    <w:rsid w:val="001717D7"/>
    <w:rsid w:val="00173528"/>
    <w:rsid w:val="00173B8C"/>
    <w:rsid w:val="001740A1"/>
    <w:rsid w:val="00174281"/>
    <w:rsid w:val="00174BBE"/>
    <w:rsid w:val="00174E35"/>
    <w:rsid w:val="00176220"/>
    <w:rsid w:val="001762FE"/>
    <w:rsid w:val="0017681A"/>
    <w:rsid w:val="00176D56"/>
    <w:rsid w:val="00177CAB"/>
    <w:rsid w:val="00180B37"/>
    <w:rsid w:val="00181F94"/>
    <w:rsid w:val="001823BC"/>
    <w:rsid w:val="0018339C"/>
    <w:rsid w:val="00183F0F"/>
    <w:rsid w:val="00185011"/>
    <w:rsid w:val="00190119"/>
    <w:rsid w:val="001922CA"/>
    <w:rsid w:val="0019429A"/>
    <w:rsid w:val="00194380"/>
    <w:rsid w:val="001951DF"/>
    <w:rsid w:val="001960EF"/>
    <w:rsid w:val="00196D19"/>
    <w:rsid w:val="00196E79"/>
    <w:rsid w:val="00197273"/>
    <w:rsid w:val="00197ACC"/>
    <w:rsid w:val="00197C18"/>
    <w:rsid w:val="001A0491"/>
    <w:rsid w:val="001A058E"/>
    <w:rsid w:val="001A0A29"/>
    <w:rsid w:val="001A2561"/>
    <w:rsid w:val="001A357B"/>
    <w:rsid w:val="001A3B92"/>
    <w:rsid w:val="001A5C17"/>
    <w:rsid w:val="001A69F0"/>
    <w:rsid w:val="001B059D"/>
    <w:rsid w:val="001B0B64"/>
    <w:rsid w:val="001B147D"/>
    <w:rsid w:val="001B1D52"/>
    <w:rsid w:val="001B1E40"/>
    <w:rsid w:val="001B2104"/>
    <w:rsid w:val="001B2720"/>
    <w:rsid w:val="001B2818"/>
    <w:rsid w:val="001B4CFB"/>
    <w:rsid w:val="001B54C6"/>
    <w:rsid w:val="001B6A96"/>
    <w:rsid w:val="001B7C88"/>
    <w:rsid w:val="001C0BA9"/>
    <w:rsid w:val="001C1169"/>
    <w:rsid w:val="001C3120"/>
    <w:rsid w:val="001C6A83"/>
    <w:rsid w:val="001D0733"/>
    <w:rsid w:val="001D0A72"/>
    <w:rsid w:val="001D0E49"/>
    <w:rsid w:val="001D3DF1"/>
    <w:rsid w:val="001D6FF4"/>
    <w:rsid w:val="001D72A2"/>
    <w:rsid w:val="001D7B2C"/>
    <w:rsid w:val="001E031F"/>
    <w:rsid w:val="001E227B"/>
    <w:rsid w:val="001E2909"/>
    <w:rsid w:val="001E3B24"/>
    <w:rsid w:val="001E45DD"/>
    <w:rsid w:val="001E5A8C"/>
    <w:rsid w:val="001E6FD2"/>
    <w:rsid w:val="001F0B1A"/>
    <w:rsid w:val="001F2625"/>
    <w:rsid w:val="001F2D10"/>
    <w:rsid w:val="001F45CB"/>
    <w:rsid w:val="001F4C84"/>
    <w:rsid w:val="001F58CA"/>
    <w:rsid w:val="001F7F52"/>
    <w:rsid w:val="002004D5"/>
    <w:rsid w:val="00201B18"/>
    <w:rsid w:val="00202141"/>
    <w:rsid w:val="00203051"/>
    <w:rsid w:val="002043F6"/>
    <w:rsid w:val="002060CB"/>
    <w:rsid w:val="00206111"/>
    <w:rsid w:val="00206841"/>
    <w:rsid w:val="00207D5F"/>
    <w:rsid w:val="0021016C"/>
    <w:rsid w:val="002102CF"/>
    <w:rsid w:val="00210638"/>
    <w:rsid w:val="002106CE"/>
    <w:rsid w:val="002107BE"/>
    <w:rsid w:val="00211558"/>
    <w:rsid w:val="00211904"/>
    <w:rsid w:val="00212C38"/>
    <w:rsid w:val="0021340C"/>
    <w:rsid w:val="00213B8E"/>
    <w:rsid w:val="0021484E"/>
    <w:rsid w:val="00215251"/>
    <w:rsid w:val="00215593"/>
    <w:rsid w:val="00215CC1"/>
    <w:rsid w:val="00216062"/>
    <w:rsid w:val="002218EA"/>
    <w:rsid w:val="002227B3"/>
    <w:rsid w:val="0022298E"/>
    <w:rsid w:val="00223BF5"/>
    <w:rsid w:val="0022460D"/>
    <w:rsid w:val="00225275"/>
    <w:rsid w:val="00226122"/>
    <w:rsid w:val="00227CCE"/>
    <w:rsid w:val="00227ECF"/>
    <w:rsid w:val="00230CF0"/>
    <w:rsid w:val="00232C6A"/>
    <w:rsid w:val="00233251"/>
    <w:rsid w:val="00233E81"/>
    <w:rsid w:val="00234B54"/>
    <w:rsid w:val="00235421"/>
    <w:rsid w:val="00235B69"/>
    <w:rsid w:val="00236581"/>
    <w:rsid w:val="0023727F"/>
    <w:rsid w:val="0023784C"/>
    <w:rsid w:val="0023793A"/>
    <w:rsid w:val="00237BF7"/>
    <w:rsid w:val="00240525"/>
    <w:rsid w:val="00240A35"/>
    <w:rsid w:val="00240B80"/>
    <w:rsid w:val="002422C5"/>
    <w:rsid w:val="00242D07"/>
    <w:rsid w:val="00242D6F"/>
    <w:rsid w:val="00244AFA"/>
    <w:rsid w:val="00244C4F"/>
    <w:rsid w:val="002459E4"/>
    <w:rsid w:val="00246C5B"/>
    <w:rsid w:val="00246EBE"/>
    <w:rsid w:val="002471BF"/>
    <w:rsid w:val="00250633"/>
    <w:rsid w:val="002506EA"/>
    <w:rsid w:val="002518E1"/>
    <w:rsid w:val="0025242D"/>
    <w:rsid w:val="00252E86"/>
    <w:rsid w:val="00254069"/>
    <w:rsid w:val="00255D24"/>
    <w:rsid w:val="00256238"/>
    <w:rsid w:val="00256466"/>
    <w:rsid w:val="0026152E"/>
    <w:rsid w:val="00262861"/>
    <w:rsid w:val="00262AF3"/>
    <w:rsid w:val="002633B3"/>
    <w:rsid w:val="0026417D"/>
    <w:rsid w:val="00265378"/>
    <w:rsid w:val="00266433"/>
    <w:rsid w:val="00266914"/>
    <w:rsid w:val="002669CB"/>
    <w:rsid w:val="00267CFA"/>
    <w:rsid w:val="002703B6"/>
    <w:rsid w:val="002712CF"/>
    <w:rsid w:val="00271958"/>
    <w:rsid w:val="00272410"/>
    <w:rsid w:val="002725F5"/>
    <w:rsid w:val="002728D8"/>
    <w:rsid w:val="00273EF2"/>
    <w:rsid w:val="0027607C"/>
    <w:rsid w:val="00277A8D"/>
    <w:rsid w:val="00277DEB"/>
    <w:rsid w:val="002806AB"/>
    <w:rsid w:val="00280AE9"/>
    <w:rsid w:val="00281926"/>
    <w:rsid w:val="00281D95"/>
    <w:rsid w:val="0028213D"/>
    <w:rsid w:val="0028282D"/>
    <w:rsid w:val="002830A6"/>
    <w:rsid w:val="00283692"/>
    <w:rsid w:val="0028425C"/>
    <w:rsid w:val="00284DE1"/>
    <w:rsid w:val="00285B01"/>
    <w:rsid w:val="00285E42"/>
    <w:rsid w:val="0028608D"/>
    <w:rsid w:val="0028682D"/>
    <w:rsid w:val="0028772F"/>
    <w:rsid w:val="00290295"/>
    <w:rsid w:val="002908F7"/>
    <w:rsid w:val="00290B1D"/>
    <w:rsid w:val="00290E0D"/>
    <w:rsid w:val="00292B92"/>
    <w:rsid w:val="00292EBD"/>
    <w:rsid w:val="00294500"/>
    <w:rsid w:val="002967DA"/>
    <w:rsid w:val="00296A02"/>
    <w:rsid w:val="002A0E53"/>
    <w:rsid w:val="002A30F3"/>
    <w:rsid w:val="002A33D1"/>
    <w:rsid w:val="002A560C"/>
    <w:rsid w:val="002A6593"/>
    <w:rsid w:val="002A694F"/>
    <w:rsid w:val="002A7B07"/>
    <w:rsid w:val="002B1A4D"/>
    <w:rsid w:val="002B1CC2"/>
    <w:rsid w:val="002B24E4"/>
    <w:rsid w:val="002B2C41"/>
    <w:rsid w:val="002B434E"/>
    <w:rsid w:val="002B4A40"/>
    <w:rsid w:val="002B5664"/>
    <w:rsid w:val="002B5DDF"/>
    <w:rsid w:val="002B7251"/>
    <w:rsid w:val="002C2571"/>
    <w:rsid w:val="002C2808"/>
    <w:rsid w:val="002C2A7A"/>
    <w:rsid w:val="002C348C"/>
    <w:rsid w:val="002C39B7"/>
    <w:rsid w:val="002C5CF0"/>
    <w:rsid w:val="002C6427"/>
    <w:rsid w:val="002C6F88"/>
    <w:rsid w:val="002C7279"/>
    <w:rsid w:val="002D0881"/>
    <w:rsid w:val="002D32C9"/>
    <w:rsid w:val="002D4959"/>
    <w:rsid w:val="002D583F"/>
    <w:rsid w:val="002D5A78"/>
    <w:rsid w:val="002D6872"/>
    <w:rsid w:val="002D6F71"/>
    <w:rsid w:val="002D72E1"/>
    <w:rsid w:val="002D7403"/>
    <w:rsid w:val="002D779F"/>
    <w:rsid w:val="002D7A47"/>
    <w:rsid w:val="002D7E6A"/>
    <w:rsid w:val="002E111B"/>
    <w:rsid w:val="002E1A85"/>
    <w:rsid w:val="002E1E57"/>
    <w:rsid w:val="002E2082"/>
    <w:rsid w:val="002E5049"/>
    <w:rsid w:val="002E5F00"/>
    <w:rsid w:val="002E7052"/>
    <w:rsid w:val="002F1839"/>
    <w:rsid w:val="002F2717"/>
    <w:rsid w:val="002F28E3"/>
    <w:rsid w:val="002F2EA4"/>
    <w:rsid w:val="002F5105"/>
    <w:rsid w:val="002F73F5"/>
    <w:rsid w:val="002F741F"/>
    <w:rsid w:val="003008FB"/>
    <w:rsid w:val="003020EE"/>
    <w:rsid w:val="0030251C"/>
    <w:rsid w:val="003027C3"/>
    <w:rsid w:val="003036C0"/>
    <w:rsid w:val="00303EEF"/>
    <w:rsid w:val="00306315"/>
    <w:rsid w:val="00306899"/>
    <w:rsid w:val="0030789D"/>
    <w:rsid w:val="00310586"/>
    <w:rsid w:val="003105D3"/>
    <w:rsid w:val="0031170A"/>
    <w:rsid w:val="00311C38"/>
    <w:rsid w:val="00312017"/>
    <w:rsid w:val="00312839"/>
    <w:rsid w:val="00312A8C"/>
    <w:rsid w:val="00312D1B"/>
    <w:rsid w:val="00315F56"/>
    <w:rsid w:val="00320C06"/>
    <w:rsid w:val="00320DE4"/>
    <w:rsid w:val="003211C7"/>
    <w:rsid w:val="0032165A"/>
    <w:rsid w:val="00321686"/>
    <w:rsid w:val="00322C12"/>
    <w:rsid w:val="00323057"/>
    <w:rsid w:val="003236FF"/>
    <w:rsid w:val="00323CEE"/>
    <w:rsid w:val="00323D03"/>
    <w:rsid w:val="003243E1"/>
    <w:rsid w:val="003267A8"/>
    <w:rsid w:val="003267FD"/>
    <w:rsid w:val="003269F8"/>
    <w:rsid w:val="003272C2"/>
    <w:rsid w:val="00327CE6"/>
    <w:rsid w:val="003311E9"/>
    <w:rsid w:val="00331C05"/>
    <w:rsid w:val="00333CB3"/>
    <w:rsid w:val="00333DEE"/>
    <w:rsid w:val="003355D0"/>
    <w:rsid w:val="003360FD"/>
    <w:rsid w:val="00336B7B"/>
    <w:rsid w:val="00337147"/>
    <w:rsid w:val="003378DA"/>
    <w:rsid w:val="0034151E"/>
    <w:rsid w:val="003416EE"/>
    <w:rsid w:val="00341D15"/>
    <w:rsid w:val="0034397C"/>
    <w:rsid w:val="00344696"/>
    <w:rsid w:val="003448FB"/>
    <w:rsid w:val="00345367"/>
    <w:rsid w:val="00345524"/>
    <w:rsid w:val="00345A74"/>
    <w:rsid w:val="00347E88"/>
    <w:rsid w:val="003503CB"/>
    <w:rsid w:val="00350528"/>
    <w:rsid w:val="00350F50"/>
    <w:rsid w:val="0035149E"/>
    <w:rsid w:val="00351653"/>
    <w:rsid w:val="00351C30"/>
    <w:rsid w:val="003544A1"/>
    <w:rsid w:val="003550A3"/>
    <w:rsid w:val="003550B3"/>
    <w:rsid w:val="003558B1"/>
    <w:rsid w:val="003571B8"/>
    <w:rsid w:val="00357D42"/>
    <w:rsid w:val="00357D81"/>
    <w:rsid w:val="003631C6"/>
    <w:rsid w:val="0036325C"/>
    <w:rsid w:val="003637C2"/>
    <w:rsid w:val="0036430B"/>
    <w:rsid w:val="0036677F"/>
    <w:rsid w:val="003667A9"/>
    <w:rsid w:val="003673E3"/>
    <w:rsid w:val="00367968"/>
    <w:rsid w:val="00367CF0"/>
    <w:rsid w:val="003722CB"/>
    <w:rsid w:val="00373AB9"/>
    <w:rsid w:val="00374A44"/>
    <w:rsid w:val="0037582A"/>
    <w:rsid w:val="00375F79"/>
    <w:rsid w:val="0037699B"/>
    <w:rsid w:val="00377CA0"/>
    <w:rsid w:val="00377D77"/>
    <w:rsid w:val="003806F4"/>
    <w:rsid w:val="00380ACE"/>
    <w:rsid w:val="00380F9A"/>
    <w:rsid w:val="003812E3"/>
    <w:rsid w:val="0038224A"/>
    <w:rsid w:val="00384173"/>
    <w:rsid w:val="00384B9F"/>
    <w:rsid w:val="00385596"/>
    <w:rsid w:val="00385F11"/>
    <w:rsid w:val="00386B1B"/>
    <w:rsid w:val="00386CE6"/>
    <w:rsid w:val="00387B7A"/>
    <w:rsid w:val="00391111"/>
    <w:rsid w:val="0039204E"/>
    <w:rsid w:val="003921A0"/>
    <w:rsid w:val="003936EF"/>
    <w:rsid w:val="003938DB"/>
    <w:rsid w:val="003940AB"/>
    <w:rsid w:val="00394F8B"/>
    <w:rsid w:val="003959AF"/>
    <w:rsid w:val="0039626E"/>
    <w:rsid w:val="003971EB"/>
    <w:rsid w:val="003A04E2"/>
    <w:rsid w:val="003A2B8F"/>
    <w:rsid w:val="003A358A"/>
    <w:rsid w:val="003A45C4"/>
    <w:rsid w:val="003A598F"/>
    <w:rsid w:val="003A5BC2"/>
    <w:rsid w:val="003A5CAE"/>
    <w:rsid w:val="003A630A"/>
    <w:rsid w:val="003A7740"/>
    <w:rsid w:val="003B041C"/>
    <w:rsid w:val="003B0FD5"/>
    <w:rsid w:val="003B3072"/>
    <w:rsid w:val="003B3405"/>
    <w:rsid w:val="003B3858"/>
    <w:rsid w:val="003C172E"/>
    <w:rsid w:val="003C3E8A"/>
    <w:rsid w:val="003C5461"/>
    <w:rsid w:val="003C5CBC"/>
    <w:rsid w:val="003C6D3B"/>
    <w:rsid w:val="003C74AC"/>
    <w:rsid w:val="003C7790"/>
    <w:rsid w:val="003D0EAE"/>
    <w:rsid w:val="003D16E9"/>
    <w:rsid w:val="003D1A70"/>
    <w:rsid w:val="003D2260"/>
    <w:rsid w:val="003D335C"/>
    <w:rsid w:val="003D391E"/>
    <w:rsid w:val="003D41E2"/>
    <w:rsid w:val="003D45B5"/>
    <w:rsid w:val="003D4E6E"/>
    <w:rsid w:val="003D5880"/>
    <w:rsid w:val="003D72C2"/>
    <w:rsid w:val="003E27EF"/>
    <w:rsid w:val="003E288F"/>
    <w:rsid w:val="003E39CA"/>
    <w:rsid w:val="003E3C31"/>
    <w:rsid w:val="003E4626"/>
    <w:rsid w:val="003E5C41"/>
    <w:rsid w:val="003E7867"/>
    <w:rsid w:val="003E7D66"/>
    <w:rsid w:val="003F0974"/>
    <w:rsid w:val="003F17F0"/>
    <w:rsid w:val="003F2387"/>
    <w:rsid w:val="003F2583"/>
    <w:rsid w:val="003F25F1"/>
    <w:rsid w:val="003F2A1A"/>
    <w:rsid w:val="003F2E43"/>
    <w:rsid w:val="003F39FE"/>
    <w:rsid w:val="003F3DBD"/>
    <w:rsid w:val="003F3FCE"/>
    <w:rsid w:val="003F4AF8"/>
    <w:rsid w:val="003F701F"/>
    <w:rsid w:val="003F7925"/>
    <w:rsid w:val="003F7DE9"/>
    <w:rsid w:val="00400805"/>
    <w:rsid w:val="00400B9F"/>
    <w:rsid w:val="004022AF"/>
    <w:rsid w:val="0040261C"/>
    <w:rsid w:val="00402800"/>
    <w:rsid w:val="00403585"/>
    <w:rsid w:val="00403A3A"/>
    <w:rsid w:val="004040DC"/>
    <w:rsid w:val="004040EF"/>
    <w:rsid w:val="00405353"/>
    <w:rsid w:val="0040602F"/>
    <w:rsid w:val="00406EA8"/>
    <w:rsid w:val="00407091"/>
    <w:rsid w:val="0041093A"/>
    <w:rsid w:val="004109AC"/>
    <w:rsid w:val="00411832"/>
    <w:rsid w:val="00411C09"/>
    <w:rsid w:val="0041215E"/>
    <w:rsid w:val="004122A6"/>
    <w:rsid w:val="00412BCD"/>
    <w:rsid w:val="004140D0"/>
    <w:rsid w:val="00414DBF"/>
    <w:rsid w:val="0041608B"/>
    <w:rsid w:val="00416121"/>
    <w:rsid w:val="00416539"/>
    <w:rsid w:val="00420B57"/>
    <w:rsid w:val="004214CA"/>
    <w:rsid w:val="0042195C"/>
    <w:rsid w:val="00421B24"/>
    <w:rsid w:val="004223F3"/>
    <w:rsid w:val="0042243B"/>
    <w:rsid w:val="00422AF7"/>
    <w:rsid w:val="00422F24"/>
    <w:rsid w:val="00425224"/>
    <w:rsid w:val="0042635B"/>
    <w:rsid w:val="0043202A"/>
    <w:rsid w:val="00432082"/>
    <w:rsid w:val="0043224D"/>
    <w:rsid w:val="004326D0"/>
    <w:rsid w:val="00435A09"/>
    <w:rsid w:val="00435C64"/>
    <w:rsid w:val="004364CC"/>
    <w:rsid w:val="004368B1"/>
    <w:rsid w:val="00436D5F"/>
    <w:rsid w:val="004400B0"/>
    <w:rsid w:val="004406BC"/>
    <w:rsid w:val="0044132B"/>
    <w:rsid w:val="004440E3"/>
    <w:rsid w:val="00444DC2"/>
    <w:rsid w:val="0044646C"/>
    <w:rsid w:val="0044654F"/>
    <w:rsid w:val="00446E73"/>
    <w:rsid w:val="004470AE"/>
    <w:rsid w:val="00450B4A"/>
    <w:rsid w:val="00450CD4"/>
    <w:rsid w:val="00451A9C"/>
    <w:rsid w:val="00452340"/>
    <w:rsid w:val="00453C2D"/>
    <w:rsid w:val="00453F8A"/>
    <w:rsid w:val="00454BA1"/>
    <w:rsid w:val="00455090"/>
    <w:rsid w:val="0045607F"/>
    <w:rsid w:val="00461703"/>
    <w:rsid w:val="00463BAA"/>
    <w:rsid w:val="00463C8C"/>
    <w:rsid w:val="00465371"/>
    <w:rsid w:val="0046577F"/>
    <w:rsid w:val="0046639C"/>
    <w:rsid w:val="00466D57"/>
    <w:rsid w:val="0046702B"/>
    <w:rsid w:val="00467AB3"/>
    <w:rsid w:val="00467CA2"/>
    <w:rsid w:val="00471C4F"/>
    <w:rsid w:val="0047304B"/>
    <w:rsid w:val="00476787"/>
    <w:rsid w:val="00476FCB"/>
    <w:rsid w:val="00477E93"/>
    <w:rsid w:val="0048163E"/>
    <w:rsid w:val="00482DF0"/>
    <w:rsid w:val="004840CF"/>
    <w:rsid w:val="00484629"/>
    <w:rsid w:val="004848EF"/>
    <w:rsid w:val="00486B63"/>
    <w:rsid w:val="00486CF1"/>
    <w:rsid w:val="004873CC"/>
    <w:rsid w:val="0049117E"/>
    <w:rsid w:val="00493CD8"/>
    <w:rsid w:val="00494158"/>
    <w:rsid w:val="00495671"/>
    <w:rsid w:val="004956E1"/>
    <w:rsid w:val="0049613D"/>
    <w:rsid w:val="0049799B"/>
    <w:rsid w:val="004A063F"/>
    <w:rsid w:val="004A147A"/>
    <w:rsid w:val="004A21E4"/>
    <w:rsid w:val="004A26C5"/>
    <w:rsid w:val="004A2DB8"/>
    <w:rsid w:val="004A2DD5"/>
    <w:rsid w:val="004A3664"/>
    <w:rsid w:val="004A6F2D"/>
    <w:rsid w:val="004A70ED"/>
    <w:rsid w:val="004B0107"/>
    <w:rsid w:val="004B0109"/>
    <w:rsid w:val="004B0C91"/>
    <w:rsid w:val="004B0FE7"/>
    <w:rsid w:val="004B15D3"/>
    <w:rsid w:val="004B2E46"/>
    <w:rsid w:val="004B43BD"/>
    <w:rsid w:val="004B4EC3"/>
    <w:rsid w:val="004B6074"/>
    <w:rsid w:val="004C037C"/>
    <w:rsid w:val="004C2153"/>
    <w:rsid w:val="004C310C"/>
    <w:rsid w:val="004C33FD"/>
    <w:rsid w:val="004C3A44"/>
    <w:rsid w:val="004C697F"/>
    <w:rsid w:val="004C6FA4"/>
    <w:rsid w:val="004C704D"/>
    <w:rsid w:val="004D08B2"/>
    <w:rsid w:val="004D1E26"/>
    <w:rsid w:val="004D2980"/>
    <w:rsid w:val="004D2D99"/>
    <w:rsid w:val="004D31C0"/>
    <w:rsid w:val="004D3E45"/>
    <w:rsid w:val="004D4362"/>
    <w:rsid w:val="004D5E7E"/>
    <w:rsid w:val="004D600E"/>
    <w:rsid w:val="004D62FE"/>
    <w:rsid w:val="004D6896"/>
    <w:rsid w:val="004E0248"/>
    <w:rsid w:val="004E3016"/>
    <w:rsid w:val="004E3B04"/>
    <w:rsid w:val="004E3C47"/>
    <w:rsid w:val="004E42C1"/>
    <w:rsid w:val="004E438B"/>
    <w:rsid w:val="004E4611"/>
    <w:rsid w:val="004E46EB"/>
    <w:rsid w:val="004E4873"/>
    <w:rsid w:val="004E49FC"/>
    <w:rsid w:val="004E548F"/>
    <w:rsid w:val="004E55FC"/>
    <w:rsid w:val="004E577E"/>
    <w:rsid w:val="004E5C76"/>
    <w:rsid w:val="004E5D03"/>
    <w:rsid w:val="004E5DD5"/>
    <w:rsid w:val="004E7CE9"/>
    <w:rsid w:val="004F1367"/>
    <w:rsid w:val="004F1C73"/>
    <w:rsid w:val="004F415B"/>
    <w:rsid w:val="004F6C9E"/>
    <w:rsid w:val="004F7A5D"/>
    <w:rsid w:val="004F7EF5"/>
    <w:rsid w:val="004F7FE0"/>
    <w:rsid w:val="0050056E"/>
    <w:rsid w:val="00500F79"/>
    <w:rsid w:val="00501448"/>
    <w:rsid w:val="00502777"/>
    <w:rsid w:val="0050360E"/>
    <w:rsid w:val="00503720"/>
    <w:rsid w:val="00503BDA"/>
    <w:rsid w:val="00504D80"/>
    <w:rsid w:val="005063FE"/>
    <w:rsid w:val="00506DC5"/>
    <w:rsid w:val="00507CAB"/>
    <w:rsid w:val="00507DBF"/>
    <w:rsid w:val="00510824"/>
    <w:rsid w:val="00510852"/>
    <w:rsid w:val="00510AA8"/>
    <w:rsid w:val="00510E98"/>
    <w:rsid w:val="00511A88"/>
    <w:rsid w:val="005136D9"/>
    <w:rsid w:val="00513858"/>
    <w:rsid w:val="005156F5"/>
    <w:rsid w:val="005174E1"/>
    <w:rsid w:val="00517807"/>
    <w:rsid w:val="00517ACB"/>
    <w:rsid w:val="00520676"/>
    <w:rsid w:val="00520ED9"/>
    <w:rsid w:val="005211BB"/>
    <w:rsid w:val="005212D3"/>
    <w:rsid w:val="005240D1"/>
    <w:rsid w:val="00525112"/>
    <w:rsid w:val="005266CF"/>
    <w:rsid w:val="0052776D"/>
    <w:rsid w:val="005279D1"/>
    <w:rsid w:val="0053002F"/>
    <w:rsid w:val="00530253"/>
    <w:rsid w:val="0053033F"/>
    <w:rsid w:val="00530737"/>
    <w:rsid w:val="00531861"/>
    <w:rsid w:val="005320B3"/>
    <w:rsid w:val="00532CCC"/>
    <w:rsid w:val="005344DC"/>
    <w:rsid w:val="00537361"/>
    <w:rsid w:val="005374C6"/>
    <w:rsid w:val="005379E2"/>
    <w:rsid w:val="0054107D"/>
    <w:rsid w:val="0054250B"/>
    <w:rsid w:val="00542D51"/>
    <w:rsid w:val="005433DD"/>
    <w:rsid w:val="00543553"/>
    <w:rsid w:val="00544D23"/>
    <w:rsid w:val="005452B6"/>
    <w:rsid w:val="00547382"/>
    <w:rsid w:val="005504FA"/>
    <w:rsid w:val="005505C9"/>
    <w:rsid w:val="00551CFD"/>
    <w:rsid w:val="00552DBD"/>
    <w:rsid w:val="0055591F"/>
    <w:rsid w:val="00556E8E"/>
    <w:rsid w:val="00557E6F"/>
    <w:rsid w:val="005608EC"/>
    <w:rsid w:val="00560BD4"/>
    <w:rsid w:val="00563463"/>
    <w:rsid w:val="005644CF"/>
    <w:rsid w:val="0056544D"/>
    <w:rsid w:val="00565871"/>
    <w:rsid w:val="00570587"/>
    <w:rsid w:val="00572EC2"/>
    <w:rsid w:val="00573649"/>
    <w:rsid w:val="00573A2E"/>
    <w:rsid w:val="0058077A"/>
    <w:rsid w:val="005807AA"/>
    <w:rsid w:val="00581033"/>
    <w:rsid w:val="00581C83"/>
    <w:rsid w:val="00582257"/>
    <w:rsid w:val="005830BB"/>
    <w:rsid w:val="005854EB"/>
    <w:rsid w:val="00585946"/>
    <w:rsid w:val="00586378"/>
    <w:rsid w:val="00586F9C"/>
    <w:rsid w:val="00590E2D"/>
    <w:rsid w:val="00592777"/>
    <w:rsid w:val="00593DC5"/>
    <w:rsid w:val="005949B6"/>
    <w:rsid w:val="00594CB4"/>
    <w:rsid w:val="005952A9"/>
    <w:rsid w:val="00595430"/>
    <w:rsid w:val="0059557A"/>
    <w:rsid w:val="0059598B"/>
    <w:rsid w:val="005A021C"/>
    <w:rsid w:val="005A12AE"/>
    <w:rsid w:val="005A240F"/>
    <w:rsid w:val="005A5096"/>
    <w:rsid w:val="005A5E40"/>
    <w:rsid w:val="005A6A53"/>
    <w:rsid w:val="005B0CD0"/>
    <w:rsid w:val="005B24E2"/>
    <w:rsid w:val="005B2889"/>
    <w:rsid w:val="005B3185"/>
    <w:rsid w:val="005B3417"/>
    <w:rsid w:val="005B3652"/>
    <w:rsid w:val="005B7230"/>
    <w:rsid w:val="005C07FD"/>
    <w:rsid w:val="005C08A6"/>
    <w:rsid w:val="005C2C87"/>
    <w:rsid w:val="005C3021"/>
    <w:rsid w:val="005C3539"/>
    <w:rsid w:val="005C469D"/>
    <w:rsid w:val="005C4B31"/>
    <w:rsid w:val="005C5E92"/>
    <w:rsid w:val="005C697D"/>
    <w:rsid w:val="005C6CF0"/>
    <w:rsid w:val="005C74F1"/>
    <w:rsid w:val="005D04AF"/>
    <w:rsid w:val="005D0C39"/>
    <w:rsid w:val="005D1978"/>
    <w:rsid w:val="005D2C08"/>
    <w:rsid w:val="005D3170"/>
    <w:rsid w:val="005D348F"/>
    <w:rsid w:val="005D375B"/>
    <w:rsid w:val="005D4BFB"/>
    <w:rsid w:val="005D53FA"/>
    <w:rsid w:val="005D5872"/>
    <w:rsid w:val="005D59DA"/>
    <w:rsid w:val="005D5E5A"/>
    <w:rsid w:val="005E021D"/>
    <w:rsid w:val="005E0C1D"/>
    <w:rsid w:val="005E1146"/>
    <w:rsid w:val="005E18DF"/>
    <w:rsid w:val="005E390C"/>
    <w:rsid w:val="005E39B0"/>
    <w:rsid w:val="005E3B86"/>
    <w:rsid w:val="005E3D15"/>
    <w:rsid w:val="005E40FF"/>
    <w:rsid w:val="005E465A"/>
    <w:rsid w:val="005E4E90"/>
    <w:rsid w:val="005E532D"/>
    <w:rsid w:val="005E5A93"/>
    <w:rsid w:val="005E5E9E"/>
    <w:rsid w:val="005E5F9A"/>
    <w:rsid w:val="005E7386"/>
    <w:rsid w:val="005E7692"/>
    <w:rsid w:val="005F302A"/>
    <w:rsid w:val="005F3B63"/>
    <w:rsid w:val="005F3EA7"/>
    <w:rsid w:val="005F578C"/>
    <w:rsid w:val="005F5F9D"/>
    <w:rsid w:val="005F6138"/>
    <w:rsid w:val="005F681E"/>
    <w:rsid w:val="005F79C2"/>
    <w:rsid w:val="006005BD"/>
    <w:rsid w:val="006018A9"/>
    <w:rsid w:val="0060233F"/>
    <w:rsid w:val="006026B6"/>
    <w:rsid w:val="00602829"/>
    <w:rsid w:val="00602D0D"/>
    <w:rsid w:val="006030D6"/>
    <w:rsid w:val="0060326B"/>
    <w:rsid w:val="00604660"/>
    <w:rsid w:val="006049D8"/>
    <w:rsid w:val="006052FF"/>
    <w:rsid w:val="006055AF"/>
    <w:rsid w:val="00606612"/>
    <w:rsid w:val="00606B7C"/>
    <w:rsid w:val="00610289"/>
    <w:rsid w:val="00610512"/>
    <w:rsid w:val="00610DFB"/>
    <w:rsid w:val="00611725"/>
    <w:rsid w:val="006130A6"/>
    <w:rsid w:val="006136FD"/>
    <w:rsid w:val="00613A6F"/>
    <w:rsid w:val="006147ED"/>
    <w:rsid w:val="00616DFA"/>
    <w:rsid w:val="006177EB"/>
    <w:rsid w:val="00617D32"/>
    <w:rsid w:val="006210E0"/>
    <w:rsid w:val="00621D61"/>
    <w:rsid w:val="0062450D"/>
    <w:rsid w:val="00624C8B"/>
    <w:rsid w:val="00625508"/>
    <w:rsid w:val="00625521"/>
    <w:rsid w:val="00626915"/>
    <w:rsid w:val="00630ACC"/>
    <w:rsid w:val="00630B82"/>
    <w:rsid w:val="00630DF4"/>
    <w:rsid w:val="00631A73"/>
    <w:rsid w:val="00631EA4"/>
    <w:rsid w:val="006325A7"/>
    <w:rsid w:val="00633261"/>
    <w:rsid w:val="006334D5"/>
    <w:rsid w:val="006335BD"/>
    <w:rsid w:val="0063418A"/>
    <w:rsid w:val="006343CB"/>
    <w:rsid w:val="00634587"/>
    <w:rsid w:val="00635C2B"/>
    <w:rsid w:val="00635D76"/>
    <w:rsid w:val="00635F91"/>
    <w:rsid w:val="00636292"/>
    <w:rsid w:val="00637783"/>
    <w:rsid w:val="006378F1"/>
    <w:rsid w:val="006405C9"/>
    <w:rsid w:val="00641FD9"/>
    <w:rsid w:val="00642E60"/>
    <w:rsid w:val="00644035"/>
    <w:rsid w:val="00644064"/>
    <w:rsid w:val="0064490C"/>
    <w:rsid w:val="006450DB"/>
    <w:rsid w:val="00645AC6"/>
    <w:rsid w:val="0064660D"/>
    <w:rsid w:val="00647BE3"/>
    <w:rsid w:val="00650688"/>
    <w:rsid w:val="0065197B"/>
    <w:rsid w:val="00655C31"/>
    <w:rsid w:val="00656B6F"/>
    <w:rsid w:val="0065764D"/>
    <w:rsid w:val="00657B55"/>
    <w:rsid w:val="006606AB"/>
    <w:rsid w:val="00660BB6"/>
    <w:rsid w:val="00663184"/>
    <w:rsid w:val="0066322C"/>
    <w:rsid w:val="006643D9"/>
    <w:rsid w:val="0066584F"/>
    <w:rsid w:val="00665F11"/>
    <w:rsid w:val="00665F33"/>
    <w:rsid w:val="006664A6"/>
    <w:rsid w:val="00667BDA"/>
    <w:rsid w:val="00667F55"/>
    <w:rsid w:val="00670351"/>
    <w:rsid w:val="00670AEA"/>
    <w:rsid w:val="00671292"/>
    <w:rsid w:val="00671502"/>
    <w:rsid w:val="006715F1"/>
    <w:rsid w:val="006717A3"/>
    <w:rsid w:val="00672622"/>
    <w:rsid w:val="00673C83"/>
    <w:rsid w:val="0067466D"/>
    <w:rsid w:val="00675170"/>
    <w:rsid w:val="006751EF"/>
    <w:rsid w:val="00676BEC"/>
    <w:rsid w:val="006778E1"/>
    <w:rsid w:val="00677B70"/>
    <w:rsid w:val="00680619"/>
    <w:rsid w:val="00680A14"/>
    <w:rsid w:val="0068169F"/>
    <w:rsid w:val="006823FB"/>
    <w:rsid w:val="00682AE9"/>
    <w:rsid w:val="006833ED"/>
    <w:rsid w:val="006845AB"/>
    <w:rsid w:val="006854D2"/>
    <w:rsid w:val="00686CE7"/>
    <w:rsid w:val="00687408"/>
    <w:rsid w:val="00690449"/>
    <w:rsid w:val="00690BD2"/>
    <w:rsid w:val="0069220D"/>
    <w:rsid w:val="006961F7"/>
    <w:rsid w:val="00696FE3"/>
    <w:rsid w:val="00697654"/>
    <w:rsid w:val="00697A09"/>
    <w:rsid w:val="006A3485"/>
    <w:rsid w:val="006A392E"/>
    <w:rsid w:val="006A420C"/>
    <w:rsid w:val="006A426A"/>
    <w:rsid w:val="006A5F80"/>
    <w:rsid w:val="006A6285"/>
    <w:rsid w:val="006A70FC"/>
    <w:rsid w:val="006A7A09"/>
    <w:rsid w:val="006B184B"/>
    <w:rsid w:val="006B2E5D"/>
    <w:rsid w:val="006B3356"/>
    <w:rsid w:val="006B4330"/>
    <w:rsid w:val="006B489C"/>
    <w:rsid w:val="006B4FFE"/>
    <w:rsid w:val="006B53D9"/>
    <w:rsid w:val="006B6EEE"/>
    <w:rsid w:val="006B7EBA"/>
    <w:rsid w:val="006C0AEF"/>
    <w:rsid w:val="006C2959"/>
    <w:rsid w:val="006C4AC1"/>
    <w:rsid w:val="006C5425"/>
    <w:rsid w:val="006C62A4"/>
    <w:rsid w:val="006C7CD0"/>
    <w:rsid w:val="006D08A5"/>
    <w:rsid w:val="006D0EEF"/>
    <w:rsid w:val="006D0FE6"/>
    <w:rsid w:val="006D11CF"/>
    <w:rsid w:val="006D1479"/>
    <w:rsid w:val="006D26CD"/>
    <w:rsid w:val="006D281B"/>
    <w:rsid w:val="006D5A9E"/>
    <w:rsid w:val="006D5E20"/>
    <w:rsid w:val="006D5F4D"/>
    <w:rsid w:val="006D62E5"/>
    <w:rsid w:val="006D72A8"/>
    <w:rsid w:val="006E152F"/>
    <w:rsid w:val="006E1D85"/>
    <w:rsid w:val="006E2677"/>
    <w:rsid w:val="006E2FBE"/>
    <w:rsid w:val="006E37BA"/>
    <w:rsid w:val="006E46AF"/>
    <w:rsid w:val="006E4A58"/>
    <w:rsid w:val="006E61D6"/>
    <w:rsid w:val="006F0599"/>
    <w:rsid w:val="006F0D37"/>
    <w:rsid w:val="006F1162"/>
    <w:rsid w:val="006F18E6"/>
    <w:rsid w:val="006F27AC"/>
    <w:rsid w:val="006F30B9"/>
    <w:rsid w:val="006F409B"/>
    <w:rsid w:val="006F4D25"/>
    <w:rsid w:val="006F77F8"/>
    <w:rsid w:val="006F77FF"/>
    <w:rsid w:val="00700B6B"/>
    <w:rsid w:val="00703629"/>
    <w:rsid w:val="00703C16"/>
    <w:rsid w:val="00703C99"/>
    <w:rsid w:val="007048F0"/>
    <w:rsid w:val="00704A44"/>
    <w:rsid w:val="00705751"/>
    <w:rsid w:val="00706745"/>
    <w:rsid w:val="007070B4"/>
    <w:rsid w:val="00710245"/>
    <w:rsid w:val="0071286F"/>
    <w:rsid w:val="00712DDA"/>
    <w:rsid w:val="007133AE"/>
    <w:rsid w:val="00714715"/>
    <w:rsid w:val="00714AD9"/>
    <w:rsid w:val="00715588"/>
    <w:rsid w:val="0071579B"/>
    <w:rsid w:val="00716823"/>
    <w:rsid w:val="00716CD5"/>
    <w:rsid w:val="00717299"/>
    <w:rsid w:val="00720300"/>
    <w:rsid w:val="0072203B"/>
    <w:rsid w:val="00722292"/>
    <w:rsid w:val="0072290C"/>
    <w:rsid w:val="00722E18"/>
    <w:rsid w:val="00722E4E"/>
    <w:rsid w:val="0072436A"/>
    <w:rsid w:val="00724A03"/>
    <w:rsid w:val="007256DA"/>
    <w:rsid w:val="00725C97"/>
    <w:rsid w:val="007267B4"/>
    <w:rsid w:val="007310C3"/>
    <w:rsid w:val="00731FED"/>
    <w:rsid w:val="00732B6A"/>
    <w:rsid w:val="00733F68"/>
    <w:rsid w:val="00734246"/>
    <w:rsid w:val="00734441"/>
    <w:rsid w:val="007349D9"/>
    <w:rsid w:val="00736FD2"/>
    <w:rsid w:val="00737051"/>
    <w:rsid w:val="0073741B"/>
    <w:rsid w:val="0074064F"/>
    <w:rsid w:val="00740A9A"/>
    <w:rsid w:val="00740E1F"/>
    <w:rsid w:val="00740EF4"/>
    <w:rsid w:val="00741709"/>
    <w:rsid w:val="00743A60"/>
    <w:rsid w:val="0074409A"/>
    <w:rsid w:val="00747335"/>
    <w:rsid w:val="00747959"/>
    <w:rsid w:val="00747EA2"/>
    <w:rsid w:val="00747EBA"/>
    <w:rsid w:val="007504F7"/>
    <w:rsid w:val="00750699"/>
    <w:rsid w:val="00750EAF"/>
    <w:rsid w:val="007521F1"/>
    <w:rsid w:val="00753257"/>
    <w:rsid w:val="00753659"/>
    <w:rsid w:val="00753A57"/>
    <w:rsid w:val="00756198"/>
    <w:rsid w:val="00756466"/>
    <w:rsid w:val="007569E4"/>
    <w:rsid w:val="00757A7C"/>
    <w:rsid w:val="00757ECF"/>
    <w:rsid w:val="007601B1"/>
    <w:rsid w:val="00760C75"/>
    <w:rsid w:val="007617F6"/>
    <w:rsid w:val="0076269C"/>
    <w:rsid w:val="00762F9B"/>
    <w:rsid w:val="00763031"/>
    <w:rsid w:val="007632A8"/>
    <w:rsid w:val="0076382C"/>
    <w:rsid w:val="00764D81"/>
    <w:rsid w:val="00765D43"/>
    <w:rsid w:val="007676FE"/>
    <w:rsid w:val="00770BE7"/>
    <w:rsid w:val="00770E66"/>
    <w:rsid w:val="0077121B"/>
    <w:rsid w:val="00771691"/>
    <w:rsid w:val="0077259C"/>
    <w:rsid w:val="00772F2B"/>
    <w:rsid w:val="007732E7"/>
    <w:rsid w:val="007742E7"/>
    <w:rsid w:val="0077495E"/>
    <w:rsid w:val="007751EF"/>
    <w:rsid w:val="00775818"/>
    <w:rsid w:val="00777CC0"/>
    <w:rsid w:val="00781995"/>
    <w:rsid w:val="00781D0B"/>
    <w:rsid w:val="00781E5F"/>
    <w:rsid w:val="00782911"/>
    <w:rsid w:val="00783293"/>
    <w:rsid w:val="007832D9"/>
    <w:rsid w:val="0078413C"/>
    <w:rsid w:val="00786542"/>
    <w:rsid w:val="00787560"/>
    <w:rsid w:val="007875EC"/>
    <w:rsid w:val="00787898"/>
    <w:rsid w:val="0079020D"/>
    <w:rsid w:val="00790A97"/>
    <w:rsid w:val="00790E45"/>
    <w:rsid w:val="00790FB4"/>
    <w:rsid w:val="0079202C"/>
    <w:rsid w:val="00792EC1"/>
    <w:rsid w:val="00793256"/>
    <w:rsid w:val="00793F76"/>
    <w:rsid w:val="00794186"/>
    <w:rsid w:val="007946C4"/>
    <w:rsid w:val="0079591C"/>
    <w:rsid w:val="007961C1"/>
    <w:rsid w:val="00796FCB"/>
    <w:rsid w:val="00797277"/>
    <w:rsid w:val="00797D8F"/>
    <w:rsid w:val="00797F07"/>
    <w:rsid w:val="007A0F8D"/>
    <w:rsid w:val="007A140E"/>
    <w:rsid w:val="007A2FE5"/>
    <w:rsid w:val="007A5213"/>
    <w:rsid w:val="007A5E3D"/>
    <w:rsid w:val="007A63C9"/>
    <w:rsid w:val="007A65E0"/>
    <w:rsid w:val="007B0F2E"/>
    <w:rsid w:val="007B2089"/>
    <w:rsid w:val="007B3ABB"/>
    <w:rsid w:val="007B46CC"/>
    <w:rsid w:val="007B59F4"/>
    <w:rsid w:val="007B66C4"/>
    <w:rsid w:val="007B6DF6"/>
    <w:rsid w:val="007B7127"/>
    <w:rsid w:val="007B75D2"/>
    <w:rsid w:val="007C0899"/>
    <w:rsid w:val="007C0ED2"/>
    <w:rsid w:val="007C1811"/>
    <w:rsid w:val="007C29AB"/>
    <w:rsid w:val="007C2E8D"/>
    <w:rsid w:val="007C2EE9"/>
    <w:rsid w:val="007C4012"/>
    <w:rsid w:val="007C4119"/>
    <w:rsid w:val="007C4BE3"/>
    <w:rsid w:val="007D0731"/>
    <w:rsid w:val="007D0E48"/>
    <w:rsid w:val="007D1B58"/>
    <w:rsid w:val="007D2573"/>
    <w:rsid w:val="007D39B0"/>
    <w:rsid w:val="007D3E7D"/>
    <w:rsid w:val="007D42EB"/>
    <w:rsid w:val="007D4476"/>
    <w:rsid w:val="007D4F17"/>
    <w:rsid w:val="007D5591"/>
    <w:rsid w:val="007D65AA"/>
    <w:rsid w:val="007D72D7"/>
    <w:rsid w:val="007D7B1C"/>
    <w:rsid w:val="007D7D53"/>
    <w:rsid w:val="007D7E19"/>
    <w:rsid w:val="007E04CC"/>
    <w:rsid w:val="007E11AB"/>
    <w:rsid w:val="007E2119"/>
    <w:rsid w:val="007E3006"/>
    <w:rsid w:val="007E414A"/>
    <w:rsid w:val="007E4E96"/>
    <w:rsid w:val="007E526D"/>
    <w:rsid w:val="007E61FB"/>
    <w:rsid w:val="007E6310"/>
    <w:rsid w:val="007E6487"/>
    <w:rsid w:val="007E66CF"/>
    <w:rsid w:val="007E6BBC"/>
    <w:rsid w:val="007E7082"/>
    <w:rsid w:val="007E754B"/>
    <w:rsid w:val="007F0DFC"/>
    <w:rsid w:val="007F11EC"/>
    <w:rsid w:val="007F144F"/>
    <w:rsid w:val="007F1599"/>
    <w:rsid w:val="007F1BA1"/>
    <w:rsid w:val="007F2268"/>
    <w:rsid w:val="007F37C3"/>
    <w:rsid w:val="007F5AEC"/>
    <w:rsid w:val="007F5F93"/>
    <w:rsid w:val="007F6D2B"/>
    <w:rsid w:val="007F6F73"/>
    <w:rsid w:val="007F72B9"/>
    <w:rsid w:val="008009B3"/>
    <w:rsid w:val="0080214B"/>
    <w:rsid w:val="00802979"/>
    <w:rsid w:val="00803490"/>
    <w:rsid w:val="00803CFE"/>
    <w:rsid w:val="00804BD7"/>
    <w:rsid w:val="008063BC"/>
    <w:rsid w:val="00806F53"/>
    <w:rsid w:val="00811762"/>
    <w:rsid w:val="008119C9"/>
    <w:rsid w:val="00812E1D"/>
    <w:rsid w:val="00813FDC"/>
    <w:rsid w:val="00814917"/>
    <w:rsid w:val="00814EDB"/>
    <w:rsid w:val="00814FB3"/>
    <w:rsid w:val="008163C3"/>
    <w:rsid w:val="00817D67"/>
    <w:rsid w:val="00821966"/>
    <w:rsid w:val="00821A1D"/>
    <w:rsid w:val="00821AFA"/>
    <w:rsid w:val="0082280E"/>
    <w:rsid w:val="008228F9"/>
    <w:rsid w:val="00823029"/>
    <w:rsid w:val="008259ED"/>
    <w:rsid w:val="0082673F"/>
    <w:rsid w:val="00830826"/>
    <w:rsid w:val="0083100A"/>
    <w:rsid w:val="00831BB2"/>
    <w:rsid w:val="008320AF"/>
    <w:rsid w:val="00832881"/>
    <w:rsid w:val="00833582"/>
    <w:rsid w:val="008338E0"/>
    <w:rsid w:val="00834161"/>
    <w:rsid w:val="00834F6A"/>
    <w:rsid w:val="0083592E"/>
    <w:rsid w:val="00836DDB"/>
    <w:rsid w:val="00842AD3"/>
    <w:rsid w:val="00843B1D"/>
    <w:rsid w:val="0084433B"/>
    <w:rsid w:val="00844EAF"/>
    <w:rsid w:val="00845289"/>
    <w:rsid w:val="00847596"/>
    <w:rsid w:val="00850246"/>
    <w:rsid w:val="00850B39"/>
    <w:rsid w:val="00851663"/>
    <w:rsid w:val="00851725"/>
    <w:rsid w:val="00851C1C"/>
    <w:rsid w:val="00851D3C"/>
    <w:rsid w:val="00852C87"/>
    <w:rsid w:val="00852F80"/>
    <w:rsid w:val="00853092"/>
    <w:rsid w:val="00854076"/>
    <w:rsid w:val="008540D9"/>
    <w:rsid w:val="00854DD3"/>
    <w:rsid w:val="00855134"/>
    <w:rsid w:val="00855516"/>
    <w:rsid w:val="008559D8"/>
    <w:rsid w:val="00855E9A"/>
    <w:rsid w:val="008568E2"/>
    <w:rsid w:val="00856962"/>
    <w:rsid w:val="00856ECD"/>
    <w:rsid w:val="00856F16"/>
    <w:rsid w:val="00860397"/>
    <w:rsid w:val="008606DC"/>
    <w:rsid w:val="008608F7"/>
    <w:rsid w:val="008612D1"/>
    <w:rsid w:val="008616F1"/>
    <w:rsid w:val="00861A69"/>
    <w:rsid w:val="0086213C"/>
    <w:rsid w:val="00862383"/>
    <w:rsid w:val="008630AF"/>
    <w:rsid w:val="0086322A"/>
    <w:rsid w:val="00863511"/>
    <w:rsid w:val="00864A1F"/>
    <w:rsid w:val="00864ADB"/>
    <w:rsid w:val="00864DF8"/>
    <w:rsid w:val="0086570E"/>
    <w:rsid w:val="00866794"/>
    <w:rsid w:val="00866C13"/>
    <w:rsid w:val="00866F58"/>
    <w:rsid w:val="00867795"/>
    <w:rsid w:val="00870BDF"/>
    <w:rsid w:val="00870F2C"/>
    <w:rsid w:val="00871116"/>
    <w:rsid w:val="008717AF"/>
    <w:rsid w:val="00872538"/>
    <w:rsid w:val="00872920"/>
    <w:rsid w:val="00872A93"/>
    <w:rsid w:val="00873D2D"/>
    <w:rsid w:val="00874669"/>
    <w:rsid w:val="00874D4B"/>
    <w:rsid w:val="00874F17"/>
    <w:rsid w:val="00875D42"/>
    <w:rsid w:val="00875F79"/>
    <w:rsid w:val="0087765D"/>
    <w:rsid w:val="00877B73"/>
    <w:rsid w:val="008800DD"/>
    <w:rsid w:val="00880BCE"/>
    <w:rsid w:val="008810BD"/>
    <w:rsid w:val="00882442"/>
    <w:rsid w:val="00882E7F"/>
    <w:rsid w:val="00883608"/>
    <w:rsid w:val="008845AB"/>
    <w:rsid w:val="00884ADA"/>
    <w:rsid w:val="00884ED9"/>
    <w:rsid w:val="008852C3"/>
    <w:rsid w:val="008919F7"/>
    <w:rsid w:val="00893956"/>
    <w:rsid w:val="00894415"/>
    <w:rsid w:val="00895D3F"/>
    <w:rsid w:val="008971E2"/>
    <w:rsid w:val="008A2208"/>
    <w:rsid w:val="008A38EC"/>
    <w:rsid w:val="008A4BD3"/>
    <w:rsid w:val="008A6BFA"/>
    <w:rsid w:val="008B013C"/>
    <w:rsid w:val="008B0D3F"/>
    <w:rsid w:val="008B139C"/>
    <w:rsid w:val="008B1E20"/>
    <w:rsid w:val="008B3A40"/>
    <w:rsid w:val="008B4739"/>
    <w:rsid w:val="008B598F"/>
    <w:rsid w:val="008B5B84"/>
    <w:rsid w:val="008B6270"/>
    <w:rsid w:val="008B68B1"/>
    <w:rsid w:val="008B7074"/>
    <w:rsid w:val="008C0192"/>
    <w:rsid w:val="008C146B"/>
    <w:rsid w:val="008C155A"/>
    <w:rsid w:val="008C1CB2"/>
    <w:rsid w:val="008C2038"/>
    <w:rsid w:val="008C3326"/>
    <w:rsid w:val="008C460B"/>
    <w:rsid w:val="008C52E1"/>
    <w:rsid w:val="008C545E"/>
    <w:rsid w:val="008C5E87"/>
    <w:rsid w:val="008C63E2"/>
    <w:rsid w:val="008C75DB"/>
    <w:rsid w:val="008D081D"/>
    <w:rsid w:val="008D0E83"/>
    <w:rsid w:val="008D2284"/>
    <w:rsid w:val="008D2883"/>
    <w:rsid w:val="008D386B"/>
    <w:rsid w:val="008D529E"/>
    <w:rsid w:val="008D5BE4"/>
    <w:rsid w:val="008D6467"/>
    <w:rsid w:val="008D6E73"/>
    <w:rsid w:val="008D71FB"/>
    <w:rsid w:val="008D7EA0"/>
    <w:rsid w:val="008E055D"/>
    <w:rsid w:val="008E14A8"/>
    <w:rsid w:val="008E14CA"/>
    <w:rsid w:val="008E24AA"/>
    <w:rsid w:val="008E28B5"/>
    <w:rsid w:val="008E2E6D"/>
    <w:rsid w:val="008E2EC0"/>
    <w:rsid w:val="008E3A54"/>
    <w:rsid w:val="008E40EC"/>
    <w:rsid w:val="008E48E2"/>
    <w:rsid w:val="008E5494"/>
    <w:rsid w:val="008E5740"/>
    <w:rsid w:val="008E5C5C"/>
    <w:rsid w:val="008E6D86"/>
    <w:rsid w:val="008E73FE"/>
    <w:rsid w:val="008E7CD7"/>
    <w:rsid w:val="008F0679"/>
    <w:rsid w:val="008F08BE"/>
    <w:rsid w:val="008F1D10"/>
    <w:rsid w:val="008F4681"/>
    <w:rsid w:val="008F553D"/>
    <w:rsid w:val="008F68D6"/>
    <w:rsid w:val="008F7AC6"/>
    <w:rsid w:val="00900269"/>
    <w:rsid w:val="00900FB7"/>
    <w:rsid w:val="00902818"/>
    <w:rsid w:val="00902C12"/>
    <w:rsid w:val="00903077"/>
    <w:rsid w:val="009033BD"/>
    <w:rsid w:val="009037DF"/>
    <w:rsid w:val="00904E78"/>
    <w:rsid w:val="00905017"/>
    <w:rsid w:val="00905A5D"/>
    <w:rsid w:val="00905CDA"/>
    <w:rsid w:val="0090635A"/>
    <w:rsid w:val="009073CF"/>
    <w:rsid w:val="00907778"/>
    <w:rsid w:val="00907996"/>
    <w:rsid w:val="00910C32"/>
    <w:rsid w:val="00911C01"/>
    <w:rsid w:val="009138B6"/>
    <w:rsid w:val="0091656E"/>
    <w:rsid w:val="009200CD"/>
    <w:rsid w:val="009201FB"/>
    <w:rsid w:val="009203C6"/>
    <w:rsid w:val="00920630"/>
    <w:rsid w:val="00920F46"/>
    <w:rsid w:val="0092108A"/>
    <w:rsid w:val="009213C6"/>
    <w:rsid w:val="0092167C"/>
    <w:rsid w:val="00921EFF"/>
    <w:rsid w:val="009233D8"/>
    <w:rsid w:val="00925375"/>
    <w:rsid w:val="00925426"/>
    <w:rsid w:val="00925473"/>
    <w:rsid w:val="00925799"/>
    <w:rsid w:val="0092589B"/>
    <w:rsid w:val="0092632D"/>
    <w:rsid w:val="00927B9B"/>
    <w:rsid w:val="009304C2"/>
    <w:rsid w:val="00930E05"/>
    <w:rsid w:val="0093102B"/>
    <w:rsid w:val="009318E9"/>
    <w:rsid w:val="00932406"/>
    <w:rsid w:val="0093286D"/>
    <w:rsid w:val="00932B21"/>
    <w:rsid w:val="00934252"/>
    <w:rsid w:val="009368D5"/>
    <w:rsid w:val="0094051E"/>
    <w:rsid w:val="009406E1"/>
    <w:rsid w:val="009411E0"/>
    <w:rsid w:val="00942323"/>
    <w:rsid w:val="00942B6E"/>
    <w:rsid w:val="009463E0"/>
    <w:rsid w:val="0094742D"/>
    <w:rsid w:val="0094759E"/>
    <w:rsid w:val="00952568"/>
    <w:rsid w:val="00956BA8"/>
    <w:rsid w:val="00957744"/>
    <w:rsid w:val="00957FA4"/>
    <w:rsid w:val="00960A16"/>
    <w:rsid w:val="00961870"/>
    <w:rsid w:val="009628EB"/>
    <w:rsid w:val="00962E07"/>
    <w:rsid w:val="00962FA1"/>
    <w:rsid w:val="00963075"/>
    <w:rsid w:val="009642C8"/>
    <w:rsid w:val="00964573"/>
    <w:rsid w:val="00965E68"/>
    <w:rsid w:val="00966120"/>
    <w:rsid w:val="00967371"/>
    <w:rsid w:val="0097032C"/>
    <w:rsid w:val="0097037E"/>
    <w:rsid w:val="00970618"/>
    <w:rsid w:val="00970F0B"/>
    <w:rsid w:val="00973827"/>
    <w:rsid w:val="00973E19"/>
    <w:rsid w:val="00974680"/>
    <w:rsid w:val="00974DE0"/>
    <w:rsid w:val="00975E6E"/>
    <w:rsid w:val="009762FA"/>
    <w:rsid w:val="00976F70"/>
    <w:rsid w:val="0097765D"/>
    <w:rsid w:val="00980B08"/>
    <w:rsid w:val="00981A97"/>
    <w:rsid w:val="00983CD5"/>
    <w:rsid w:val="00983D95"/>
    <w:rsid w:val="00984A4C"/>
    <w:rsid w:val="00984DBA"/>
    <w:rsid w:val="009853F1"/>
    <w:rsid w:val="00985696"/>
    <w:rsid w:val="00986535"/>
    <w:rsid w:val="009872E9"/>
    <w:rsid w:val="009906BE"/>
    <w:rsid w:val="00990CCD"/>
    <w:rsid w:val="0099124C"/>
    <w:rsid w:val="00993E4E"/>
    <w:rsid w:val="00995180"/>
    <w:rsid w:val="009953A7"/>
    <w:rsid w:val="00995712"/>
    <w:rsid w:val="00996259"/>
    <w:rsid w:val="0099660B"/>
    <w:rsid w:val="0099675B"/>
    <w:rsid w:val="00997785"/>
    <w:rsid w:val="009A0123"/>
    <w:rsid w:val="009A095F"/>
    <w:rsid w:val="009A0C7D"/>
    <w:rsid w:val="009A409A"/>
    <w:rsid w:val="009A4D3D"/>
    <w:rsid w:val="009A59EF"/>
    <w:rsid w:val="009A5BF0"/>
    <w:rsid w:val="009A7D11"/>
    <w:rsid w:val="009B050B"/>
    <w:rsid w:val="009B0A00"/>
    <w:rsid w:val="009B15F0"/>
    <w:rsid w:val="009B2200"/>
    <w:rsid w:val="009B22FE"/>
    <w:rsid w:val="009B2C3F"/>
    <w:rsid w:val="009B56DF"/>
    <w:rsid w:val="009B5D13"/>
    <w:rsid w:val="009B6382"/>
    <w:rsid w:val="009B6EE5"/>
    <w:rsid w:val="009B7B13"/>
    <w:rsid w:val="009C086E"/>
    <w:rsid w:val="009C3115"/>
    <w:rsid w:val="009C3AF4"/>
    <w:rsid w:val="009C3FCF"/>
    <w:rsid w:val="009C53D1"/>
    <w:rsid w:val="009C5BFC"/>
    <w:rsid w:val="009D04D4"/>
    <w:rsid w:val="009D1343"/>
    <w:rsid w:val="009D1661"/>
    <w:rsid w:val="009D1ABE"/>
    <w:rsid w:val="009D20D0"/>
    <w:rsid w:val="009D29CA"/>
    <w:rsid w:val="009D368E"/>
    <w:rsid w:val="009D3CDD"/>
    <w:rsid w:val="009D57EC"/>
    <w:rsid w:val="009D5C8A"/>
    <w:rsid w:val="009D63E4"/>
    <w:rsid w:val="009D667D"/>
    <w:rsid w:val="009D67D5"/>
    <w:rsid w:val="009D7180"/>
    <w:rsid w:val="009E0671"/>
    <w:rsid w:val="009E27CE"/>
    <w:rsid w:val="009E2C32"/>
    <w:rsid w:val="009E2E64"/>
    <w:rsid w:val="009E421B"/>
    <w:rsid w:val="009E473C"/>
    <w:rsid w:val="009E52EB"/>
    <w:rsid w:val="009E583D"/>
    <w:rsid w:val="009F053F"/>
    <w:rsid w:val="009F142F"/>
    <w:rsid w:val="009F1839"/>
    <w:rsid w:val="009F211B"/>
    <w:rsid w:val="009F2A17"/>
    <w:rsid w:val="009F37B7"/>
    <w:rsid w:val="009F3A25"/>
    <w:rsid w:val="009F4F6C"/>
    <w:rsid w:val="009F5AB6"/>
    <w:rsid w:val="009F5BFF"/>
    <w:rsid w:val="009F668A"/>
    <w:rsid w:val="009F697F"/>
    <w:rsid w:val="009F6EB0"/>
    <w:rsid w:val="00A000C3"/>
    <w:rsid w:val="00A006AC"/>
    <w:rsid w:val="00A00738"/>
    <w:rsid w:val="00A00C68"/>
    <w:rsid w:val="00A01059"/>
    <w:rsid w:val="00A01159"/>
    <w:rsid w:val="00A02620"/>
    <w:rsid w:val="00A04936"/>
    <w:rsid w:val="00A0699D"/>
    <w:rsid w:val="00A128F0"/>
    <w:rsid w:val="00A129B8"/>
    <w:rsid w:val="00A12DBC"/>
    <w:rsid w:val="00A14F93"/>
    <w:rsid w:val="00A14FAC"/>
    <w:rsid w:val="00A15D75"/>
    <w:rsid w:val="00A20FAD"/>
    <w:rsid w:val="00A225EA"/>
    <w:rsid w:val="00A22A33"/>
    <w:rsid w:val="00A2310F"/>
    <w:rsid w:val="00A23B09"/>
    <w:rsid w:val="00A23EB7"/>
    <w:rsid w:val="00A2401F"/>
    <w:rsid w:val="00A24F3C"/>
    <w:rsid w:val="00A27962"/>
    <w:rsid w:val="00A302E3"/>
    <w:rsid w:val="00A31CAE"/>
    <w:rsid w:val="00A31D67"/>
    <w:rsid w:val="00A32098"/>
    <w:rsid w:val="00A34908"/>
    <w:rsid w:val="00A34A3E"/>
    <w:rsid w:val="00A35AEF"/>
    <w:rsid w:val="00A36234"/>
    <w:rsid w:val="00A36BD9"/>
    <w:rsid w:val="00A37256"/>
    <w:rsid w:val="00A4238A"/>
    <w:rsid w:val="00A4288A"/>
    <w:rsid w:val="00A43DB8"/>
    <w:rsid w:val="00A43FC2"/>
    <w:rsid w:val="00A44151"/>
    <w:rsid w:val="00A44D6E"/>
    <w:rsid w:val="00A4569E"/>
    <w:rsid w:val="00A45B5E"/>
    <w:rsid w:val="00A4634C"/>
    <w:rsid w:val="00A46D24"/>
    <w:rsid w:val="00A471C1"/>
    <w:rsid w:val="00A5039A"/>
    <w:rsid w:val="00A5149A"/>
    <w:rsid w:val="00A518C6"/>
    <w:rsid w:val="00A52CD6"/>
    <w:rsid w:val="00A53CCC"/>
    <w:rsid w:val="00A5454F"/>
    <w:rsid w:val="00A54BD4"/>
    <w:rsid w:val="00A56627"/>
    <w:rsid w:val="00A57BC7"/>
    <w:rsid w:val="00A617EE"/>
    <w:rsid w:val="00A61CCA"/>
    <w:rsid w:val="00A620BF"/>
    <w:rsid w:val="00A62A25"/>
    <w:rsid w:val="00A62E52"/>
    <w:rsid w:val="00A637D0"/>
    <w:rsid w:val="00A6660A"/>
    <w:rsid w:val="00A70503"/>
    <w:rsid w:val="00A725C5"/>
    <w:rsid w:val="00A736F7"/>
    <w:rsid w:val="00A73913"/>
    <w:rsid w:val="00A7559F"/>
    <w:rsid w:val="00A758B3"/>
    <w:rsid w:val="00A76FD3"/>
    <w:rsid w:val="00A77297"/>
    <w:rsid w:val="00A81815"/>
    <w:rsid w:val="00A84DE3"/>
    <w:rsid w:val="00A863A6"/>
    <w:rsid w:val="00A869C9"/>
    <w:rsid w:val="00A87172"/>
    <w:rsid w:val="00A87509"/>
    <w:rsid w:val="00A90045"/>
    <w:rsid w:val="00A90109"/>
    <w:rsid w:val="00A90164"/>
    <w:rsid w:val="00A905CC"/>
    <w:rsid w:val="00A915AD"/>
    <w:rsid w:val="00A92A41"/>
    <w:rsid w:val="00A94B9C"/>
    <w:rsid w:val="00A95B86"/>
    <w:rsid w:val="00A9653F"/>
    <w:rsid w:val="00A9682C"/>
    <w:rsid w:val="00A979D7"/>
    <w:rsid w:val="00A97F9E"/>
    <w:rsid w:val="00AA0244"/>
    <w:rsid w:val="00AA1FD6"/>
    <w:rsid w:val="00AA3179"/>
    <w:rsid w:val="00AA3459"/>
    <w:rsid w:val="00AA45FF"/>
    <w:rsid w:val="00AA4C3E"/>
    <w:rsid w:val="00AA6D3E"/>
    <w:rsid w:val="00AA719E"/>
    <w:rsid w:val="00AB05D6"/>
    <w:rsid w:val="00AB1C1B"/>
    <w:rsid w:val="00AB2437"/>
    <w:rsid w:val="00AB2CDF"/>
    <w:rsid w:val="00AB3F36"/>
    <w:rsid w:val="00AB449F"/>
    <w:rsid w:val="00AB58EF"/>
    <w:rsid w:val="00AC0200"/>
    <w:rsid w:val="00AC02EC"/>
    <w:rsid w:val="00AC07ED"/>
    <w:rsid w:val="00AC0BC7"/>
    <w:rsid w:val="00AC13DA"/>
    <w:rsid w:val="00AC18AD"/>
    <w:rsid w:val="00AC2169"/>
    <w:rsid w:val="00AC67FD"/>
    <w:rsid w:val="00AC7C88"/>
    <w:rsid w:val="00AD0980"/>
    <w:rsid w:val="00AD2643"/>
    <w:rsid w:val="00AD4550"/>
    <w:rsid w:val="00AD5E2E"/>
    <w:rsid w:val="00AD66EB"/>
    <w:rsid w:val="00AD6C94"/>
    <w:rsid w:val="00AD76D4"/>
    <w:rsid w:val="00AE12F8"/>
    <w:rsid w:val="00AE1452"/>
    <w:rsid w:val="00AE187F"/>
    <w:rsid w:val="00AE23B7"/>
    <w:rsid w:val="00AE2B42"/>
    <w:rsid w:val="00AE2FD8"/>
    <w:rsid w:val="00AE338C"/>
    <w:rsid w:val="00AE5F80"/>
    <w:rsid w:val="00AE653A"/>
    <w:rsid w:val="00AE6596"/>
    <w:rsid w:val="00AF005D"/>
    <w:rsid w:val="00AF009D"/>
    <w:rsid w:val="00AF15AA"/>
    <w:rsid w:val="00AF2944"/>
    <w:rsid w:val="00AF3074"/>
    <w:rsid w:val="00AF43F4"/>
    <w:rsid w:val="00AF5CCB"/>
    <w:rsid w:val="00AF6AEE"/>
    <w:rsid w:val="00AF70C6"/>
    <w:rsid w:val="00AF7774"/>
    <w:rsid w:val="00B0127B"/>
    <w:rsid w:val="00B012FC"/>
    <w:rsid w:val="00B01BFB"/>
    <w:rsid w:val="00B01C2D"/>
    <w:rsid w:val="00B057A8"/>
    <w:rsid w:val="00B05E09"/>
    <w:rsid w:val="00B06DB0"/>
    <w:rsid w:val="00B070D9"/>
    <w:rsid w:val="00B079F5"/>
    <w:rsid w:val="00B07A6D"/>
    <w:rsid w:val="00B1072E"/>
    <w:rsid w:val="00B11A2F"/>
    <w:rsid w:val="00B12B79"/>
    <w:rsid w:val="00B13299"/>
    <w:rsid w:val="00B133C6"/>
    <w:rsid w:val="00B14566"/>
    <w:rsid w:val="00B14A70"/>
    <w:rsid w:val="00B16932"/>
    <w:rsid w:val="00B17243"/>
    <w:rsid w:val="00B17AB9"/>
    <w:rsid w:val="00B20149"/>
    <w:rsid w:val="00B201B2"/>
    <w:rsid w:val="00B20F54"/>
    <w:rsid w:val="00B211ED"/>
    <w:rsid w:val="00B216C5"/>
    <w:rsid w:val="00B253E4"/>
    <w:rsid w:val="00B255CB"/>
    <w:rsid w:val="00B25912"/>
    <w:rsid w:val="00B2592D"/>
    <w:rsid w:val="00B26096"/>
    <w:rsid w:val="00B26EE6"/>
    <w:rsid w:val="00B27E10"/>
    <w:rsid w:val="00B27F73"/>
    <w:rsid w:val="00B308F2"/>
    <w:rsid w:val="00B30AA0"/>
    <w:rsid w:val="00B32D1A"/>
    <w:rsid w:val="00B32F61"/>
    <w:rsid w:val="00B33519"/>
    <w:rsid w:val="00B33CF8"/>
    <w:rsid w:val="00B3423A"/>
    <w:rsid w:val="00B35549"/>
    <w:rsid w:val="00B3602D"/>
    <w:rsid w:val="00B41CC6"/>
    <w:rsid w:val="00B44957"/>
    <w:rsid w:val="00B4641E"/>
    <w:rsid w:val="00B47A2E"/>
    <w:rsid w:val="00B47FBB"/>
    <w:rsid w:val="00B50CB2"/>
    <w:rsid w:val="00B513FB"/>
    <w:rsid w:val="00B52581"/>
    <w:rsid w:val="00B53519"/>
    <w:rsid w:val="00B5361A"/>
    <w:rsid w:val="00B54559"/>
    <w:rsid w:val="00B5572A"/>
    <w:rsid w:val="00B55F4C"/>
    <w:rsid w:val="00B567EE"/>
    <w:rsid w:val="00B57BA9"/>
    <w:rsid w:val="00B60763"/>
    <w:rsid w:val="00B61461"/>
    <w:rsid w:val="00B63C90"/>
    <w:rsid w:val="00B64842"/>
    <w:rsid w:val="00B64C2C"/>
    <w:rsid w:val="00B65C0A"/>
    <w:rsid w:val="00B65E2F"/>
    <w:rsid w:val="00B665F4"/>
    <w:rsid w:val="00B66A71"/>
    <w:rsid w:val="00B66C62"/>
    <w:rsid w:val="00B66DDA"/>
    <w:rsid w:val="00B670AE"/>
    <w:rsid w:val="00B67561"/>
    <w:rsid w:val="00B718DA"/>
    <w:rsid w:val="00B71C70"/>
    <w:rsid w:val="00B731C1"/>
    <w:rsid w:val="00B7399A"/>
    <w:rsid w:val="00B76160"/>
    <w:rsid w:val="00B764C8"/>
    <w:rsid w:val="00B76AD4"/>
    <w:rsid w:val="00B76D41"/>
    <w:rsid w:val="00B77A3F"/>
    <w:rsid w:val="00B805DD"/>
    <w:rsid w:val="00B82A20"/>
    <w:rsid w:val="00B843FA"/>
    <w:rsid w:val="00B84CC7"/>
    <w:rsid w:val="00B8537B"/>
    <w:rsid w:val="00B865E6"/>
    <w:rsid w:val="00B86809"/>
    <w:rsid w:val="00B86E31"/>
    <w:rsid w:val="00B87919"/>
    <w:rsid w:val="00B9169A"/>
    <w:rsid w:val="00B921F2"/>
    <w:rsid w:val="00B925DC"/>
    <w:rsid w:val="00B9293E"/>
    <w:rsid w:val="00B92A81"/>
    <w:rsid w:val="00B93388"/>
    <w:rsid w:val="00B9359B"/>
    <w:rsid w:val="00B9387E"/>
    <w:rsid w:val="00B94261"/>
    <w:rsid w:val="00B9516D"/>
    <w:rsid w:val="00B95385"/>
    <w:rsid w:val="00B97D8C"/>
    <w:rsid w:val="00BA004D"/>
    <w:rsid w:val="00BA0AD2"/>
    <w:rsid w:val="00BA0C25"/>
    <w:rsid w:val="00BA0F2B"/>
    <w:rsid w:val="00BA1024"/>
    <w:rsid w:val="00BA113F"/>
    <w:rsid w:val="00BA12C3"/>
    <w:rsid w:val="00BA1532"/>
    <w:rsid w:val="00BA17FF"/>
    <w:rsid w:val="00BA1A7E"/>
    <w:rsid w:val="00BA2805"/>
    <w:rsid w:val="00BA4B5C"/>
    <w:rsid w:val="00BA5269"/>
    <w:rsid w:val="00BB09A0"/>
    <w:rsid w:val="00BB30F0"/>
    <w:rsid w:val="00BB33B4"/>
    <w:rsid w:val="00BB3AFD"/>
    <w:rsid w:val="00BB5D76"/>
    <w:rsid w:val="00BB5DD2"/>
    <w:rsid w:val="00BB68F1"/>
    <w:rsid w:val="00BB6A96"/>
    <w:rsid w:val="00BB79D6"/>
    <w:rsid w:val="00BC17F5"/>
    <w:rsid w:val="00BC2043"/>
    <w:rsid w:val="00BC241E"/>
    <w:rsid w:val="00BC319F"/>
    <w:rsid w:val="00BC4044"/>
    <w:rsid w:val="00BC4E12"/>
    <w:rsid w:val="00BC5B5A"/>
    <w:rsid w:val="00BC6BBD"/>
    <w:rsid w:val="00BC6F16"/>
    <w:rsid w:val="00BC7AF3"/>
    <w:rsid w:val="00BD035E"/>
    <w:rsid w:val="00BD1CF6"/>
    <w:rsid w:val="00BD2146"/>
    <w:rsid w:val="00BD2B9C"/>
    <w:rsid w:val="00BD3B22"/>
    <w:rsid w:val="00BD68CB"/>
    <w:rsid w:val="00BD740D"/>
    <w:rsid w:val="00BD77D7"/>
    <w:rsid w:val="00BE058C"/>
    <w:rsid w:val="00BE2424"/>
    <w:rsid w:val="00BE2605"/>
    <w:rsid w:val="00BE33DD"/>
    <w:rsid w:val="00BE3867"/>
    <w:rsid w:val="00BE69C3"/>
    <w:rsid w:val="00BE73D1"/>
    <w:rsid w:val="00BF15FC"/>
    <w:rsid w:val="00BF174B"/>
    <w:rsid w:val="00BF1CAC"/>
    <w:rsid w:val="00BF1FF0"/>
    <w:rsid w:val="00BF3B97"/>
    <w:rsid w:val="00BF4DB0"/>
    <w:rsid w:val="00BF54CD"/>
    <w:rsid w:val="00BF59D8"/>
    <w:rsid w:val="00BF61A9"/>
    <w:rsid w:val="00BF6479"/>
    <w:rsid w:val="00BF6C0A"/>
    <w:rsid w:val="00C001DE"/>
    <w:rsid w:val="00C00CE4"/>
    <w:rsid w:val="00C00F6E"/>
    <w:rsid w:val="00C027FF"/>
    <w:rsid w:val="00C0323D"/>
    <w:rsid w:val="00C03688"/>
    <w:rsid w:val="00C049D0"/>
    <w:rsid w:val="00C056CE"/>
    <w:rsid w:val="00C0673F"/>
    <w:rsid w:val="00C07549"/>
    <w:rsid w:val="00C07CAD"/>
    <w:rsid w:val="00C10F28"/>
    <w:rsid w:val="00C116D0"/>
    <w:rsid w:val="00C120EB"/>
    <w:rsid w:val="00C12773"/>
    <w:rsid w:val="00C12D30"/>
    <w:rsid w:val="00C1354D"/>
    <w:rsid w:val="00C13AA3"/>
    <w:rsid w:val="00C13F88"/>
    <w:rsid w:val="00C15009"/>
    <w:rsid w:val="00C1615B"/>
    <w:rsid w:val="00C165D3"/>
    <w:rsid w:val="00C16F0B"/>
    <w:rsid w:val="00C2030B"/>
    <w:rsid w:val="00C20381"/>
    <w:rsid w:val="00C211D7"/>
    <w:rsid w:val="00C21420"/>
    <w:rsid w:val="00C217F3"/>
    <w:rsid w:val="00C22999"/>
    <w:rsid w:val="00C22E2D"/>
    <w:rsid w:val="00C22FEF"/>
    <w:rsid w:val="00C238DD"/>
    <w:rsid w:val="00C25387"/>
    <w:rsid w:val="00C2601A"/>
    <w:rsid w:val="00C2640C"/>
    <w:rsid w:val="00C26BD7"/>
    <w:rsid w:val="00C26F26"/>
    <w:rsid w:val="00C2733C"/>
    <w:rsid w:val="00C27A10"/>
    <w:rsid w:val="00C30DF9"/>
    <w:rsid w:val="00C3124C"/>
    <w:rsid w:val="00C356E6"/>
    <w:rsid w:val="00C40158"/>
    <w:rsid w:val="00C4088C"/>
    <w:rsid w:val="00C42BA6"/>
    <w:rsid w:val="00C42F3B"/>
    <w:rsid w:val="00C436D4"/>
    <w:rsid w:val="00C459CE"/>
    <w:rsid w:val="00C46668"/>
    <w:rsid w:val="00C46FF7"/>
    <w:rsid w:val="00C4721E"/>
    <w:rsid w:val="00C506C5"/>
    <w:rsid w:val="00C507AD"/>
    <w:rsid w:val="00C50C05"/>
    <w:rsid w:val="00C51D9B"/>
    <w:rsid w:val="00C51F71"/>
    <w:rsid w:val="00C527F5"/>
    <w:rsid w:val="00C5324B"/>
    <w:rsid w:val="00C54B6C"/>
    <w:rsid w:val="00C552DB"/>
    <w:rsid w:val="00C55ADE"/>
    <w:rsid w:val="00C55F66"/>
    <w:rsid w:val="00C56633"/>
    <w:rsid w:val="00C57273"/>
    <w:rsid w:val="00C5757F"/>
    <w:rsid w:val="00C5794C"/>
    <w:rsid w:val="00C57C53"/>
    <w:rsid w:val="00C6166C"/>
    <w:rsid w:val="00C61D44"/>
    <w:rsid w:val="00C61EBC"/>
    <w:rsid w:val="00C626E6"/>
    <w:rsid w:val="00C6277E"/>
    <w:rsid w:val="00C62DBE"/>
    <w:rsid w:val="00C63A3C"/>
    <w:rsid w:val="00C64832"/>
    <w:rsid w:val="00C65FC5"/>
    <w:rsid w:val="00C667F3"/>
    <w:rsid w:val="00C66C0E"/>
    <w:rsid w:val="00C6750A"/>
    <w:rsid w:val="00C678E0"/>
    <w:rsid w:val="00C67F8F"/>
    <w:rsid w:val="00C67FE6"/>
    <w:rsid w:val="00C72DBD"/>
    <w:rsid w:val="00C731C0"/>
    <w:rsid w:val="00C73C57"/>
    <w:rsid w:val="00C749E9"/>
    <w:rsid w:val="00C751A9"/>
    <w:rsid w:val="00C75420"/>
    <w:rsid w:val="00C763DB"/>
    <w:rsid w:val="00C77FA0"/>
    <w:rsid w:val="00C81B84"/>
    <w:rsid w:val="00C81CCB"/>
    <w:rsid w:val="00C81E90"/>
    <w:rsid w:val="00C82245"/>
    <w:rsid w:val="00C825F3"/>
    <w:rsid w:val="00C827AB"/>
    <w:rsid w:val="00C835A5"/>
    <w:rsid w:val="00C8399B"/>
    <w:rsid w:val="00C86DA1"/>
    <w:rsid w:val="00C8750A"/>
    <w:rsid w:val="00C87DAB"/>
    <w:rsid w:val="00C90E68"/>
    <w:rsid w:val="00C90EAF"/>
    <w:rsid w:val="00C91D8A"/>
    <w:rsid w:val="00C92FFC"/>
    <w:rsid w:val="00C93FAC"/>
    <w:rsid w:val="00C94058"/>
    <w:rsid w:val="00C94B83"/>
    <w:rsid w:val="00C950D3"/>
    <w:rsid w:val="00C96799"/>
    <w:rsid w:val="00C96880"/>
    <w:rsid w:val="00C96DCF"/>
    <w:rsid w:val="00C974D0"/>
    <w:rsid w:val="00C97B13"/>
    <w:rsid w:val="00CA0871"/>
    <w:rsid w:val="00CA1D4A"/>
    <w:rsid w:val="00CA24E8"/>
    <w:rsid w:val="00CA4331"/>
    <w:rsid w:val="00CA4B58"/>
    <w:rsid w:val="00CA5AD8"/>
    <w:rsid w:val="00CA69E6"/>
    <w:rsid w:val="00CB00A2"/>
    <w:rsid w:val="00CB00E7"/>
    <w:rsid w:val="00CB1C62"/>
    <w:rsid w:val="00CB23A1"/>
    <w:rsid w:val="00CB2774"/>
    <w:rsid w:val="00CB328A"/>
    <w:rsid w:val="00CB347A"/>
    <w:rsid w:val="00CB3D1B"/>
    <w:rsid w:val="00CB3DEB"/>
    <w:rsid w:val="00CB5201"/>
    <w:rsid w:val="00CB589A"/>
    <w:rsid w:val="00CB5B85"/>
    <w:rsid w:val="00CB6ECB"/>
    <w:rsid w:val="00CB7A8F"/>
    <w:rsid w:val="00CC01E0"/>
    <w:rsid w:val="00CC075E"/>
    <w:rsid w:val="00CC07D4"/>
    <w:rsid w:val="00CC0DB7"/>
    <w:rsid w:val="00CC1215"/>
    <w:rsid w:val="00CC16CD"/>
    <w:rsid w:val="00CC2A25"/>
    <w:rsid w:val="00CC52C4"/>
    <w:rsid w:val="00CC63A4"/>
    <w:rsid w:val="00CC645B"/>
    <w:rsid w:val="00CC767E"/>
    <w:rsid w:val="00CD121B"/>
    <w:rsid w:val="00CD17A5"/>
    <w:rsid w:val="00CD2929"/>
    <w:rsid w:val="00CD2D69"/>
    <w:rsid w:val="00CD42DF"/>
    <w:rsid w:val="00CD54F7"/>
    <w:rsid w:val="00CD564B"/>
    <w:rsid w:val="00CD5753"/>
    <w:rsid w:val="00CD6111"/>
    <w:rsid w:val="00CD63DD"/>
    <w:rsid w:val="00CD6C89"/>
    <w:rsid w:val="00CD74F3"/>
    <w:rsid w:val="00CE0ABE"/>
    <w:rsid w:val="00CE0D0B"/>
    <w:rsid w:val="00CE0DB2"/>
    <w:rsid w:val="00CE14D6"/>
    <w:rsid w:val="00CE27E8"/>
    <w:rsid w:val="00CE294A"/>
    <w:rsid w:val="00CE420D"/>
    <w:rsid w:val="00CE5258"/>
    <w:rsid w:val="00CE5CAF"/>
    <w:rsid w:val="00CE5CD4"/>
    <w:rsid w:val="00CE5E7F"/>
    <w:rsid w:val="00CE62D1"/>
    <w:rsid w:val="00CF1049"/>
    <w:rsid w:val="00CF1827"/>
    <w:rsid w:val="00CF29F2"/>
    <w:rsid w:val="00CF2F51"/>
    <w:rsid w:val="00CF30CA"/>
    <w:rsid w:val="00CF3622"/>
    <w:rsid w:val="00CF39F6"/>
    <w:rsid w:val="00CF4293"/>
    <w:rsid w:val="00CF56B3"/>
    <w:rsid w:val="00CF6A7D"/>
    <w:rsid w:val="00CF6FE0"/>
    <w:rsid w:val="00D0322A"/>
    <w:rsid w:val="00D04836"/>
    <w:rsid w:val="00D04B29"/>
    <w:rsid w:val="00D052A8"/>
    <w:rsid w:val="00D058ED"/>
    <w:rsid w:val="00D0654A"/>
    <w:rsid w:val="00D0739A"/>
    <w:rsid w:val="00D0787A"/>
    <w:rsid w:val="00D11041"/>
    <w:rsid w:val="00D11071"/>
    <w:rsid w:val="00D117A4"/>
    <w:rsid w:val="00D119BB"/>
    <w:rsid w:val="00D13524"/>
    <w:rsid w:val="00D137FE"/>
    <w:rsid w:val="00D13BED"/>
    <w:rsid w:val="00D140F4"/>
    <w:rsid w:val="00D14821"/>
    <w:rsid w:val="00D16B18"/>
    <w:rsid w:val="00D179C2"/>
    <w:rsid w:val="00D206F0"/>
    <w:rsid w:val="00D20BBB"/>
    <w:rsid w:val="00D21868"/>
    <w:rsid w:val="00D21930"/>
    <w:rsid w:val="00D2405F"/>
    <w:rsid w:val="00D248B1"/>
    <w:rsid w:val="00D2733E"/>
    <w:rsid w:val="00D2738D"/>
    <w:rsid w:val="00D2750E"/>
    <w:rsid w:val="00D30FFF"/>
    <w:rsid w:val="00D32ABC"/>
    <w:rsid w:val="00D32BB3"/>
    <w:rsid w:val="00D3306B"/>
    <w:rsid w:val="00D3314F"/>
    <w:rsid w:val="00D33307"/>
    <w:rsid w:val="00D34AB4"/>
    <w:rsid w:val="00D34B2C"/>
    <w:rsid w:val="00D34F76"/>
    <w:rsid w:val="00D35442"/>
    <w:rsid w:val="00D41592"/>
    <w:rsid w:val="00D424CF"/>
    <w:rsid w:val="00D425EC"/>
    <w:rsid w:val="00D43906"/>
    <w:rsid w:val="00D44118"/>
    <w:rsid w:val="00D4479A"/>
    <w:rsid w:val="00D448BC"/>
    <w:rsid w:val="00D46CBB"/>
    <w:rsid w:val="00D46ED6"/>
    <w:rsid w:val="00D46FF7"/>
    <w:rsid w:val="00D475D3"/>
    <w:rsid w:val="00D50274"/>
    <w:rsid w:val="00D5094C"/>
    <w:rsid w:val="00D522BF"/>
    <w:rsid w:val="00D52A70"/>
    <w:rsid w:val="00D54763"/>
    <w:rsid w:val="00D551EB"/>
    <w:rsid w:val="00D55562"/>
    <w:rsid w:val="00D55932"/>
    <w:rsid w:val="00D5595C"/>
    <w:rsid w:val="00D55EBF"/>
    <w:rsid w:val="00D569B7"/>
    <w:rsid w:val="00D5752C"/>
    <w:rsid w:val="00D57CE3"/>
    <w:rsid w:val="00D60BF9"/>
    <w:rsid w:val="00D62F62"/>
    <w:rsid w:val="00D637C6"/>
    <w:rsid w:val="00D640E6"/>
    <w:rsid w:val="00D65AD0"/>
    <w:rsid w:val="00D661CF"/>
    <w:rsid w:val="00D66813"/>
    <w:rsid w:val="00D6686D"/>
    <w:rsid w:val="00D672F9"/>
    <w:rsid w:val="00D6777F"/>
    <w:rsid w:val="00D73271"/>
    <w:rsid w:val="00D74AF7"/>
    <w:rsid w:val="00D75695"/>
    <w:rsid w:val="00D7713F"/>
    <w:rsid w:val="00D775DD"/>
    <w:rsid w:val="00D7794C"/>
    <w:rsid w:val="00D77F87"/>
    <w:rsid w:val="00D80FBB"/>
    <w:rsid w:val="00D81F36"/>
    <w:rsid w:val="00D81FDC"/>
    <w:rsid w:val="00D82697"/>
    <w:rsid w:val="00D830D9"/>
    <w:rsid w:val="00D855A0"/>
    <w:rsid w:val="00D87E12"/>
    <w:rsid w:val="00D9042C"/>
    <w:rsid w:val="00D908AD"/>
    <w:rsid w:val="00D92CB6"/>
    <w:rsid w:val="00D945FB"/>
    <w:rsid w:val="00D94609"/>
    <w:rsid w:val="00D950D4"/>
    <w:rsid w:val="00D95EB6"/>
    <w:rsid w:val="00D9622F"/>
    <w:rsid w:val="00D96A2E"/>
    <w:rsid w:val="00DA0EC5"/>
    <w:rsid w:val="00DA1A27"/>
    <w:rsid w:val="00DA4FF4"/>
    <w:rsid w:val="00DA54F5"/>
    <w:rsid w:val="00DA5965"/>
    <w:rsid w:val="00DA6520"/>
    <w:rsid w:val="00DA6E35"/>
    <w:rsid w:val="00DA7414"/>
    <w:rsid w:val="00DA7499"/>
    <w:rsid w:val="00DA7E98"/>
    <w:rsid w:val="00DB0144"/>
    <w:rsid w:val="00DB1AD2"/>
    <w:rsid w:val="00DB3268"/>
    <w:rsid w:val="00DB39D9"/>
    <w:rsid w:val="00DB4B54"/>
    <w:rsid w:val="00DB52DE"/>
    <w:rsid w:val="00DB5A8F"/>
    <w:rsid w:val="00DB5B23"/>
    <w:rsid w:val="00DB5F82"/>
    <w:rsid w:val="00DC0B93"/>
    <w:rsid w:val="00DC1805"/>
    <w:rsid w:val="00DC1A7D"/>
    <w:rsid w:val="00DC1F11"/>
    <w:rsid w:val="00DC2627"/>
    <w:rsid w:val="00DC6230"/>
    <w:rsid w:val="00DC6B34"/>
    <w:rsid w:val="00DC722C"/>
    <w:rsid w:val="00DC7310"/>
    <w:rsid w:val="00DD0A70"/>
    <w:rsid w:val="00DD1092"/>
    <w:rsid w:val="00DD26A1"/>
    <w:rsid w:val="00DD27DA"/>
    <w:rsid w:val="00DD29B9"/>
    <w:rsid w:val="00DD2EF7"/>
    <w:rsid w:val="00DD43E0"/>
    <w:rsid w:val="00DD51B8"/>
    <w:rsid w:val="00DD564E"/>
    <w:rsid w:val="00DD6FAA"/>
    <w:rsid w:val="00DE06A6"/>
    <w:rsid w:val="00DE0F51"/>
    <w:rsid w:val="00DE1EE7"/>
    <w:rsid w:val="00DE25A9"/>
    <w:rsid w:val="00DE3EDB"/>
    <w:rsid w:val="00DE3F54"/>
    <w:rsid w:val="00DE4E78"/>
    <w:rsid w:val="00DE51B7"/>
    <w:rsid w:val="00DE52BE"/>
    <w:rsid w:val="00DE52C6"/>
    <w:rsid w:val="00DE584E"/>
    <w:rsid w:val="00DE5B66"/>
    <w:rsid w:val="00DE5D29"/>
    <w:rsid w:val="00DF1045"/>
    <w:rsid w:val="00DF1AB6"/>
    <w:rsid w:val="00DF3A2D"/>
    <w:rsid w:val="00DF3BD3"/>
    <w:rsid w:val="00DF3F4C"/>
    <w:rsid w:val="00DF4056"/>
    <w:rsid w:val="00DF4CBC"/>
    <w:rsid w:val="00DF52AB"/>
    <w:rsid w:val="00DF5712"/>
    <w:rsid w:val="00DF6C55"/>
    <w:rsid w:val="00DF6F8D"/>
    <w:rsid w:val="00E02BC9"/>
    <w:rsid w:val="00E0320B"/>
    <w:rsid w:val="00E03B49"/>
    <w:rsid w:val="00E05455"/>
    <w:rsid w:val="00E05531"/>
    <w:rsid w:val="00E057AE"/>
    <w:rsid w:val="00E05A5B"/>
    <w:rsid w:val="00E0660B"/>
    <w:rsid w:val="00E104B5"/>
    <w:rsid w:val="00E10C38"/>
    <w:rsid w:val="00E10F8D"/>
    <w:rsid w:val="00E115B8"/>
    <w:rsid w:val="00E125C6"/>
    <w:rsid w:val="00E1261E"/>
    <w:rsid w:val="00E141D8"/>
    <w:rsid w:val="00E142D2"/>
    <w:rsid w:val="00E143F4"/>
    <w:rsid w:val="00E14471"/>
    <w:rsid w:val="00E144DC"/>
    <w:rsid w:val="00E14F41"/>
    <w:rsid w:val="00E15893"/>
    <w:rsid w:val="00E16A8D"/>
    <w:rsid w:val="00E16EB9"/>
    <w:rsid w:val="00E172CD"/>
    <w:rsid w:val="00E202B7"/>
    <w:rsid w:val="00E2108C"/>
    <w:rsid w:val="00E210CD"/>
    <w:rsid w:val="00E229D8"/>
    <w:rsid w:val="00E22A9C"/>
    <w:rsid w:val="00E22AA9"/>
    <w:rsid w:val="00E240E8"/>
    <w:rsid w:val="00E248D8"/>
    <w:rsid w:val="00E24B7B"/>
    <w:rsid w:val="00E24F2C"/>
    <w:rsid w:val="00E25E41"/>
    <w:rsid w:val="00E270D9"/>
    <w:rsid w:val="00E30377"/>
    <w:rsid w:val="00E30F67"/>
    <w:rsid w:val="00E313A0"/>
    <w:rsid w:val="00E32631"/>
    <w:rsid w:val="00E33112"/>
    <w:rsid w:val="00E33854"/>
    <w:rsid w:val="00E349B3"/>
    <w:rsid w:val="00E3586F"/>
    <w:rsid w:val="00E37071"/>
    <w:rsid w:val="00E377F4"/>
    <w:rsid w:val="00E40708"/>
    <w:rsid w:val="00E41569"/>
    <w:rsid w:val="00E4168B"/>
    <w:rsid w:val="00E42880"/>
    <w:rsid w:val="00E43650"/>
    <w:rsid w:val="00E44AFE"/>
    <w:rsid w:val="00E450D1"/>
    <w:rsid w:val="00E4605E"/>
    <w:rsid w:val="00E463FC"/>
    <w:rsid w:val="00E46D37"/>
    <w:rsid w:val="00E46F97"/>
    <w:rsid w:val="00E47154"/>
    <w:rsid w:val="00E50129"/>
    <w:rsid w:val="00E50C46"/>
    <w:rsid w:val="00E50E71"/>
    <w:rsid w:val="00E53930"/>
    <w:rsid w:val="00E545A0"/>
    <w:rsid w:val="00E54A76"/>
    <w:rsid w:val="00E574EA"/>
    <w:rsid w:val="00E57511"/>
    <w:rsid w:val="00E60039"/>
    <w:rsid w:val="00E6418C"/>
    <w:rsid w:val="00E64A19"/>
    <w:rsid w:val="00E64C83"/>
    <w:rsid w:val="00E66D3C"/>
    <w:rsid w:val="00E7078F"/>
    <w:rsid w:val="00E718DA"/>
    <w:rsid w:val="00E7449F"/>
    <w:rsid w:val="00E74C5C"/>
    <w:rsid w:val="00E75EEE"/>
    <w:rsid w:val="00E761AF"/>
    <w:rsid w:val="00E774BB"/>
    <w:rsid w:val="00E80C0D"/>
    <w:rsid w:val="00E80FCE"/>
    <w:rsid w:val="00E81413"/>
    <w:rsid w:val="00E82509"/>
    <w:rsid w:val="00E82AEA"/>
    <w:rsid w:val="00E82D7B"/>
    <w:rsid w:val="00E83888"/>
    <w:rsid w:val="00E83B94"/>
    <w:rsid w:val="00E844F5"/>
    <w:rsid w:val="00E84BA9"/>
    <w:rsid w:val="00E84D54"/>
    <w:rsid w:val="00E86CC0"/>
    <w:rsid w:val="00E907F3"/>
    <w:rsid w:val="00E90A9B"/>
    <w:rsid w:val="00E90B23"/>
    <w:rsid w:val="00E92B8D"/>
    <w:rsid w:val="00E9551F"/>
    <w:rsid w:val="00E96373"/>
    <w:rsid w:val="00E96B8C"/>
    <w:rsid w:val="00EA0B73"/>
    <w:rsid w:val="00EA15D6"/>
    <w:rsid w:val="00EA15E4"/>
    <w:rsid w:val="00EA1C06"/>
    <w:rsid w:val="00EA1DB2"/>
    <w:rsid w:val="00EA1F4F"/>
    <w:rsid w:val="00EA2E3F"/>
    <w:rsid w:val="00EA2E54"/>
    <w:rsid w:val="00EA328E"/>
    <w:rsid w:val="00EA3881"/>
    <w:rsid w:val="00EA41D9"/>
    <w:rsid w:val="00EA47B7"/>
    <w:rsid w:val="00EA5D2C"/>
    <w:rsid w:val="00EA69E9"/>
    <w:rsid w:val="00EB00F4"/>
    <w:rsid w:val="00EB035C"/>
    <w:rsid w:val="00EB059A"/>
    <w:rsid w:val="00EB1CD7"/>
    <w:rsid w:val="00EB33CE"/>
    <w:rsid w:val="00EB4296"/>
    <w:rsid w:val="00EB48E6"/>
    <w:rsid w:val="00EB665D"/>
    <w:rsid w:val="00EB73FE"/>
    <w:rsid w:val="00EC005C"/>
    <w:rsid w:val="00EC05E2"/>
    <w:rsid w:val="00EC1608"/>
    <w:rsid w:val="00EC1764"/>
    <w:rsid w:val="00EC3A8A"/>
    <w:rsid w:val="00EC48C0"/>
    <w:rsid w:val="00EC5D9B"/>
    <w:rsid w:val="00EC6B73"/>
    <w:rsid w:val="00ED11AC"/>
    <w:rsid w:val="00ED1256"/>
    <w:rsid w:val="00ED15C9"/>
    <w:rsid w:val="00ED1D41"/>
    <w:rsid w:val="00ED253D"/>
    <w:rsid w:val="00ED25AD"/>
    <w:rsid w:val="00ED30EB"/>
    <w:rsid w:val="00ED3C2A"/>
    <w:rsid w:val="00ED3CE4"/>
    <w:rsid w:val="00ED4389"/>
    <w:rsid w:val="00ED58DB"/>
    <w:rsid w:val="00ED5C6E"/>
    <w:rsid w:val="00EE01D3"/>
    <w:rsid w:val="00EE039C"/>
    <w:rsid w:val="00EE0C26"/>
    <w:rsid w:val="00EE123A"/>
    <w:rsid w:val="00EE16AC"/>
    <w:rsid w:val="00EE1BB8"/>
    <w:rsid w:val="00EE2D62"/>
    <w:rsid w:val="00EE3056"/>
    <w:rsid w:val="00EE3A4C"/>
    <w:rsid w:val="00EE450C"/>
    <w:rsid w:val="00EE4AC3"/>
    <w:rsid w:val="00EE5635"/>
    <w:rsid w:val="00EE5FC6"/>
    <w:rsid w:val="00EF02DE"/>
    <w:rsid w:val="00EF03F0"/>
    <w:rsid w:val="00EF0480"/>
    <w:rsid w:val="00EF12A3"/>
    <w:rsid w:val="00EF1A60"/>
    <w:rsid w:val="00EF3D1A"/>
    <w:rsid w:val="00EF4DEF"/>
    <w:rsid w:val="00EF6553"/>
    <w:rsid w:val="00F001E0"/>
    <w:rsid w:val="00F011FC"/>
    <w:rsid w:val="00F01563"/>
    <w:rsid w:val="00F028AE"/>
    <w:rsid w:val="00F03556"/>
    <w:rsid w:val="00F035B5"/>
    <w:rsid w:val="00F03FD3"/>
    <w:rsid w:val="00F04CE1"/>
    <w:rsid w:val="00F10643"/>
    <w:rsid w:val="00F1273C"/>
    <w:rsid w:val="00F12B1B"/>
    <w:rsid w:val="00F13C60"/>
    <w:rsid w:val="00F153EB"/>
    <w:rsid w:val="00F16340"/>
    <w:rsid w:val="00F17315"/>
    <w:rsid w:val="00F1739B"/>
    <w:rsid w:val="00F232DE"/>
    <w:rsid w:val="00F24829"/>
    <w:rsid w:val="00F24F80"/>
    <w:rsid w:val="00F27321"/>
    <w:rsid w:val="00F275D2"/>
    <w:rsid w:val="00F2777F"/>
    <w:rsid w:val="00F27B18"/>
    <w:rsid w:val="00F3078C"/>
    <w:rsid w:val="00F3089B"/>
    <w:rsid w:val="00F32565"/>
    <w:rsid w:val="00F32CCC"/>
    <w:rsid w:val="00F32FDB"/>
    <w:rsid w:val="00F37096"/>
    <w:rsid w:val="00F37302"/>
    <w:rsid w:val="00F37359"/>
    <w:rsid w:val="00F373E4"/>
    <w:rsid w:val="00F3752B"/>
    <w:rsid w:val="00F4042E"/>
    <w:rsid w:val="00F407EF"/>
    <w:rsid w:val="00F41027"/>
    <w:rsid w:val="00F4138F"/>
    <w:rsid w:val="00F41657"/>
    <w:rsid w:val="00F425A9"/>
    <w:rsid w:val="00F44159"/>
    <w:rsid w:val="00F46062"/>
    <w:rsid w:val="00F471FA"/>
    <w:rsid w:val="00F50417"/>
    <w:rsid w:val="00F51F55"/>
    <w:rsid w:val="00F53951"/>
    <w:rsid w:val="00F544D2"/>
    <w:rsid w:val="00F55794"/>
    <w:rsid w:val="00F55A91"/>
    <w:rsid w:val="00F579AF"/>
    <w:rsid w:val="00F62217"/>
    <w:rsid w:val="00F62672"/>
    <w:rsid w:val="00F660CA"/>
    <w:rsid w:val="00F665C7"/>
    <w:rsid w:val="00F66A4F"/>
    <w:rsid w:val="00F66DD2"/>
    <w:rsid w:val="00F67052"/>
    <w:rsid w:val="00F70BBF"/>
    <w:rsid w:val="00F7162C"/>
    <w:rsid w:val="00F72B76"/>
    <w:rsid w:val="00F72BE2"/>
    <w:rsid w:val="00F73A1E"/>
    <w:rsid w:val="00F74137"/>
    <w:rsid w:val="00F74789"/>
    <w:rsid w:val="00F74805"/>
    <w:rsid w:val="00F74D84"/>
    <w:rsid w:val="00F75447"/>
    <w:rsid w:val="00F767F2"/>
    <w:rsid w:val="00F773E4"/>
    <w:rsid w:val="00F81962"/>
    <w:rsid w:val="00F827F9"/>
    <w:rsid w:val="00F82CBA"/>
    <w:rsid w:val="00F83359"/>
    <w:rsid w:val="00F83D9C"/>
    <w:rsid w:val="00F83E18"/>
    <w:rsid w:val="00F87CC1"/>
    <w:rsid w:val="00F940F8"/>
    <w:rsid w:val="00F94AEA"/>
    <w:rsid w:val="00F95210"/>
    <w:rsid w:val="00F95BE3"/>
    <w:rsid w:val="00F95CD8"/>
    <w:rsid w:val="00F95CFA"/>
    <w:rsid w:val="00F96BF5"/>
    <w:rsid w:val="00F97A7B"/>
    <w:rsid w:val="00FA1047"/>
    <w:rsid w:val="00FA1833"/>
    <w:rsid w:val="00FA1B11"/>
    <w:rsid w:val="00FA2608"/>
    <w:rsid w:val="00FA2AF4"/>
    <w:rsid w:val="00FA4E9A"/>
    <w:rsid w:val="00FA516B"/>
    <w:rsid w:val="00FB0F3C"/>
    <w:rsid w:val="00FB24A2"/>
    <w:rsid w:val="00FB2E00"/>
    <w:rsid w:val="00FB38E7"/>
    <w:rsid w:val="00FB54FF"/>
    <w:rsid w:val="00FB61FA"/>
    <w:rsid w:val="00FB6328"/>
    <w:rsid w:val="00FB6878"/>
    <w:rsid w:val="00FC1B8B"/>
    <w:rsid w:val="00FC2E65"/>
    <w:rsid w:val="00FC309A"/>
    <w:rsid w:val="00FC35FD"/>
    <w:rsid w:val="00FC40FB"/>
    <w:rsid w:val="00FC4455"/>
    <w:rsid w:val="00FC4F56"/>
    <w:rsid w:val="00FC5110"/>
    <w:rsid w:val="00FC52CC"/>
    <w:rsid w:val="00FC5D76"/>
    <w:rsid w:val="00FC61A4"/>
    <w:rsid w:val="00FC63DE"/>
    <w:rsid w:val="00FC7176"/>
    <w:rsid w:val="00FC73FE"/>
    <w:rsid w:val="00FC74C8"/>
    <w:rsid w:val="00FD01CA"/>
    <w:rsid w:val="00FD08B8"/>
    <w:rsid w:val="00FD25A8"/>
    <w:rsid w:val="00FD2B06"/>
    <w:rsid w:val="00FD36E9"/>
    <w:rsid w:val="00FD3922"/>
    <w:rsid w:val="00FD4A08"/>
    <w:rsid w:val="00FD4F2E"/>
    <w:rsid w:val="00FD51C2"/>
    <w:rsid w:val="00FD5821"/>
    <w:rsid w:val="00FD585A"/>
    <w:rsid w:val="00FD6647"/>
    <w:rsid w:val="00FD77B6"/>
    <w:rsid w:val="00FD7E6C"/>
    <w:rsid w:val="00FE0B51"/>
    <w:rsid w:val="00FE2694"/>
    <w:rsid w:val="00FE3935"/>
    <w:rsid w:val="00FE509B"/>
    <w:rsid w:val="00FE624B"/>
    <w:rsid w:val="00FF2619"/>
    <w:rsid w:val="00FF34B9"/>
    <w:rsid w:val="00FF38EF"/>
    <w:rsid w:val="00FF3B21"/>
    <w:rsid w:val="00FF3B22"/>
    <w:rsid w:val="00FF3F79"/>
    <w:rsid w:val="00FF4075"/>
    <w:rsid w:val="00FF4785"/>
    <w:rsid w:val="00FF5B92"/>
    <w:rsid w:val="00FF5F55"/>
    <w:rsid w:val="04B03C8B"/>
    <w:rsid w:val="08B7552B"/>
    <w:rsid w:val="0C365CC9"/>
    <w:rsid w:val="0E1C8F85"/>
    <w:rsid w:val="171C6156"/>
    <w:rsid w:val="17D865B7"/>
    <w:rsid w:val="1D095C30"/>
    <w:rsid w:val="204BE3A2"/>
    <w:rsid w:val="27519636"/>
    <w:rsid w:val="32DE69DB"/>
    <w:rsid w:val="33352B9F"/>
    <w:rsid w:val="37A480DB"/>
    <w:rsid w:val="419629B0"/>
    <w:rsid w:val="5533CECB"/>
    <w:rsid w:val="58C537AE"/>
    <w:rsid w:val="5D0F93A9"/>
    <w:rsid w:val="621F8F1F"/>
    <w:rsid w:val="6F140E86"/>
    <w:rsid w:val="738C94BC"/>
    <w:rsid w:val="77089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4C3690"/>
  <w15:chartTrackingRefBased/>
  <w15:docId w15:val="{FF8238DE-170F-4354-8568-31D278A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0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7EB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7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06398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398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6398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3982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63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639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40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E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04"/>
  </w:style>
  <w:style w:type="paragraph" w:styleId="Footer">
    <w:name w:val="footer"/>
    <w:basedOn w:val="Normal"/>
    <w:link w:val="FooterChar"/>
    <w:uiPriority w:val="99"/>
    <w:unhideWhenUsed/>
    <w:rsid w:val="004E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04"/>
  </w:style>
  <w:style w:type="paragraph" w:styleId="Revision">
    <w:name w:val="Revision"/>
    <w:hidden/>
    <w:uiPriority w:val="99"/>
    <w:semiHidden/>
    <w:rsid w:val="00ED3C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7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5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D3DF1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F83D9C"/>
    <w:rPr>
      <w:color w:val="2B579A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F7F52"/>
  </w:style>
  <w:style w:type="character" w:styleId="LineNumber">
    <w:name w:val="line number"/>
    <w:basedOn w:val="DefaultParagraphFont"/>
    <w:uiPriority w:val="99"/>
    <w:semiHidden/>
    <w:unhideWhenUsed/>
    <w:rsid w:val="00803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s://www.ibm.com/downloads/cas/OWZWJ0Q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data.bls.gov/cgi-bin/surveymost?c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census.gov/geo/pdfs/maps-data/maps/reference/us_regdiv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https://www.cdc.gov/malaria/diagnosis_treatment/clinicians1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3729</Words>
  <Characters>21258</Characters>
  <Application>Microsoft Office Word</Application>
  <DocSecurity>0</DocSecurity>
  <Lines>177</Lines>
  <Paragraphs>49</Paragraphs>
  <ScaleCrop>false</ScaleCrop>
  <Company/>
  <LinksUpToDate>false</LinksUpToDate>
  <CharactersWithSpaces>24938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Joohyun (CDC/DDID/NCEZID/DGMQ)</dc:creator>
  <cp:keywords/>
  <dc:description/>
  <cp:lastModifiedBy>Park, Joohyun (CDC/DDID/NCEZID/DGMQ)</cp:lastModifiedBy>
  <cp:revision>5</cp:revision>
  <dcterms:created xsi:type="dcterms:W3CDTF">2023-02-02T00:40:00Z</dcterms:created>
  <dcterms:modified xsi:type="dcterms:W3CDTF">2023-02-02T00:43:00Z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2022-06-27T18:10:38Z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2512b01f-24c0-44a3-b7ea-a8fa5c38f86f</vt:lpwstr>
  </property>
  <property fmtid="{D5CDD505-2E9C-101B-9397-08002B2CF9AE}" pid="8" name="MSIP_Label_7b94a7b8-f06c-4dfe-bdcc-9b548fd58c31_ContentBits">
    <vt:lpwstr>0</vt:lpwstr>
  </property>
</Properties>
</file>