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4" w:rsidRDefault="00B41E34" w:rsidP="00B41E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</w:t>
      </w:r>
      <w:r w:rsidR="00F24BD8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F24BD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Participant characteristics overall, </w:t>
      </w:r>
      <w:bookmarkStart w:id="0" w:name="_Hlk56781430"/>
      <w:r>
        <w:rPr>
          <w:rFonts w:ascii="Times New Roman" w:hAnsi="Times New Roman" w:cs="Times New Roman"/>
          <w:sz w:val="24"/>
          <w:szCs w:val="24"/>
        </w:rPr>
        <w:t>by pre-pregnancy substance use status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(may include individuals with SUD), by pre-pregnancy substance use status in women without any SUD, and by SUD status in the past 12 months </w:t>
      </w:r>
    </w:p>
    <w:tbl>
      <w:tblPr>
        <w:tblStyle w:val="TableGrid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5074"/>
        <w:gridCol w:w="1080"/>
        <w:gridCol w:w="1080"/>
        <w:gridCol w:w="1170"/>
        <w:gridCol w:w="1170"/>
        <w:gridCol w:w="1170"/>
        <w:gridCol w:w="1087"/>
        <w:gridCol w:w="1073"/>
      </w:tblGrid>
      <w:tr w:rsidR="00B41E34" w:rsidRPr="00310542" w:rsidTr="00CD74D4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Prepregnancy</w:t>
            </w:r>
            <w:proofErr w:type="spellEnd"/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Substance Use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a,c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Prepregnancy</w:t>
            </w:r>
            <w:proofErr w:type="spellEnd"/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Substance Use, Excluding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Women with </w:t>
            </w: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SUD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a,c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Substance Use Disorder </w:t>
            </w:r>
            <w:proofErr w:type="spellStart"/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b,c</w:t>
            </w:r>
            <w:proofErr w:type="spellEnd"/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n=1115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B41E34" w:rsidRPr="00310542" w:rsidTr="00CD74D4"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Maternal Characteristics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n=677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n=431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B41E34" w:rsidRPr="00E50007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n=514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1E34" w:rsidRPr="00E50007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n=422</w:t>
            </w:r>
          </w:p>
        </w:tc>
        <w:tc>
          <w:tcPr>
            <w:tcW w:w="1087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n=172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E34" w:rsidRPr="00310542" w:rsidRDefault="00B41E34" w:rsidP="00CD7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n=941</w:t>
            </w:r>
          </w:p>
        </w:tc>
      </w:tr>
      <w:tr w:rsidR="00B41E34" w:rsidRPr="00310542" w:rsidTr="00CD74D4"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Age (years)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≤ 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34.9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53.6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52.3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56.8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≥ 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23.0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18.7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20.9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Race/Ethnicity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White non-Hispanic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44.9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Black non-Hispanic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37.4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41.3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997F5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Less than high 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High school degree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36.0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Some college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24.4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29.0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25.7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College degree or higher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43.3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37.9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Married or living as married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53.8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46.2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34.9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53.6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Received public assistance in past year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37.7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51.7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54.1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41.3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First pregnancy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32.9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36.6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28.4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Child and family services case 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14.9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Depression or anxiety (self-report)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20.7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44.8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Pain or discomfort (self-report)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49.2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52.4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44.3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46.4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Neighborhood is safe 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86.1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92.6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90.3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74.1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91.5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Lives with someone using non-prescribed drugs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Partner has a problem with substance use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20.9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Friends have a problem with substance use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16.9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49.4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Parents have a problem with substance use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43.6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 xml:space="preserve">Tobacco use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28.1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11.8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44.8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</w:tr>
      <w:tr w:rsidR="00B41E34" w:rsidRPr="00310542" w:rsidTr="00CD74D4">
        <w:tc>
          <w:tcPr>
            <w:tcW w:w="10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E34" w:rsidRPr="00E50007" w:rsidRDefault="00B41E34" w:rsidP="00CD74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b/>
                <w:sz w:val="24"/>
                <w:szCs w:val="24"/>
              </w:rPr>
              <w:t>Pregnancy characteristics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Pregnancy self-reported to be: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At the right time (vs. OK or wrong time)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63.9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Intended (vs. changing intentions or unintended)</w:t>
            </w:r>
            <w:r w:rsidRPr="00310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bottom"/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34.3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54.2</w:t>
            </w:r>
          </w:p>
        </w:tc>
      </w:tr>
      <w:tr w:rsidR="00B41E34" w:rsidRPr="00310542" w:rsidTr="00CD74D4">
        <w:tc>
          <w:tcPr>
            <w:tcW w:w="5310" w:type="dxa"/>
            <w:gridSpan w:val="2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Pregnancy trimester at study enrollment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34.8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32.0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32.7</w:t>
            </w:r>
          </w:p>
        </w:tc>
      </w:tr>
      <w:tr w:rsidR="00B41E34" w:rsidRPr="00310542" w:rsidTr="00CD74D4">
        <w:tc>
          <w:tcPr>
            <w:tcW w:w="236" w:type="dxa"/>
          </w:tcPr>
          <w:p w:rsidR="00B41E34" w:rsidRPr="00310542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hideMark/>
          </w:tcPr>
          <w:p w:rsidR="00B41E34" w:rsidRPr="00310542" w:rsidRDefault="00B41E34" w:rsidP="00CD7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41E34" w:rsidRPr="00E50007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1073" w:type="dxa"/>
          </w:tcPr>
          <w:p w:rsidR="00B41E34" w:rsidRPr="00310542" w:rsidRDefault="00B41E34" w:rsidP="00CD7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42">
              <w:rPr>
                <w:rFonts w:ascii="Times New Roman" w:hAnsi="Times New Roman" w:cs="Times New Roman"/>
                <w:b/>
                <w:sz w:val="24"/>
                <w:szCs w:val="24"/>
              </w:rPr>
              <w:t>32.5</w:t>
            </w:r>
          </w:p>
        </w:tc>
      </w:tr>
      <w:tr w:rsidR="00B41E34" w:rsidRPr="00310542" w:rsidTr="00CD74D4">
        <w:tc>
          <w:tcPr>
            <w:tcW w:w="13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E34" w:rsidRPr="00E50007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Bold indicates significance at the p &lt; 0.05 level; table displays row percentages and the total row displays column percentages</w:t>
            </w:r>
          </w:p>
          <w:p w:rsidR="00B41E34" w:rsidRPr="00E50007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 xml:space="preserve"> Includes either self-report of use in the month prior to pregnancy or positive urine drug test at the prenatal visit of study enrollment of alcohol, amphetamines, barbiturates, cocaine, marijuana, and </w:t>
            </w:r>
            <w:proofErr w:type="spellStart"/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opioids</w:t>
            </w:r>
            <w:proofErr w:type="spellEnd"/>
          </w:p>
          <w:p w:rsidR="00B41E34" w:rsidRPr="00E50007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 xml:space="preserve"> Includes alcohol, marijuana, heroin, prescription drug, and stimulant use disorders</w:t>
            </w:r>
          </w:p>
          <w:p w:rsidR="00B41E34" w:rsidRPr="00E50007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c </w:t>
            </w: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>Missing data includes 20 child and family services case, 339 neighborhood safety, 9 pregnancy timing, 9 pregnancy intention in the total column; additionally, 2 individuals are missing all data in the SUD column and 7 individuals are missing all data in the substance use column</w:t>
            </w:r>
          </w:p>
          <w:p w:rsidR="00B41E34" w:rsidRPr="00E50007" w:rsidRDefault="00B41E34" w:rsidP="00C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E50007">
              <w:rPr>
                <w:rFonts w:ascii="Times New Roman" w:hAnsi="Times New Roman" w:cs="Times New Roman"/>
                <w:sz w:val="24"/>
                <w:szCs w:val="24"/>
              </w:rPr>
              <w:t xml:space="preserve"> Includes Arab ethnicity or American Indian/Alaska Native, Asian, Native Hawaiian or other Pacific Islander, or unknown race</w:t>
            </w:r>
          </w:p>
        </w:tc>
      </w:tr>
    </w:tbl>
    <w:p w:rsidR="00B41E34" w:rsidRDefault="00B41E34" w:rsidP="00B41E34">
      <w:pPr>
        <w:sectPr w:rsidR="00B41E34" w:rsidSect="006F5D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:rsidR="00A84C95" w:rsidRDefault="00EA7C45" w:rsidP="00EA7C45"/>
    <w:sectPr w:rsidR="00A84C95" w:rsidSect="00B41E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34" w:rsidRDefault="00B41E34" w:rsidP="00B41E34">
      <w:pPr>
        <w:spacing w:after="0" w:line="240" w:lineRule="auto"/>
      </w:pPr>
      <w:r>
        <w:separator/>
      </w:r>
    </w:p>
  </w:endnote>
  <w:endnote w:type="continuationSeparator" w:id="0">
    <w:p w:rsidR="00B41E34" w:rsidRDefault="00B41E34" w:rsidP="00B4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E" w:rsidRDefault="00EA7C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E" w:rsidRDefault="00EA7C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E" w:rsidRDefault="00EA7C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34" w:rsidRDefault="00B41E34" w:rsidP="00B41E34">
      <w:pPr>
        <w:spacing w:after="0" w:line="240" w:lineRule="auto"/>
      </w:pPr>
      <w:r>
        <w:separator/>
      </w:r>
    </w:p>
  </w:footnote>
  <w:footnote w:type="continuationSeparator" w:id="0">
    <w:p w:rsidR="00B41E34" w:rsidRDefault="00B41E34" w:rsidP="00B4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E" w:rsidRDefault="00EA7C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E" w:rsidRDefault="00EA7C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E" w:rsidRDefault="00EA7C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6D90F14"/>
    <w:multiLevelType w:val="hybridMultilevel"/>
    <w:tmpl w:val="3B80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930D0"/>
    <w:multiLevelType w:val="hybridMultilevel"/>
    <w:tmpl w:val="8B32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35CA"/>
    <w:multiLevelType w:val="hybridMultilevel"/>
    <w:tmpl w:val="8F20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D14506"/>
    <w:multiLevelType w:val="hybridMultilevel"/>
    <w:tmpl w:val="563A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55F5B"/>
    <w:multiLevelType w:val="hybridMultilevel"/>
    <w:tmpl w:val="FC30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34493"/>
    <w:multiLevelType w:val="hybridMultilevel"/>
    <w:tmpl w:val="DF3C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C1302"/>
    <w:multiLevelType w:val="hybridMultilevel"/>
    <w:tmpl w:val="D56C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41E34"/>
    <w:rsid w:val="0010458F"/>
    <w:rsid w:val="004A3DC1"/>
    <w:rsid w:val="004F7C38"/>
    <w:rsid w:val="005D7825"/>
    <w:rsid w:val="009B6484"/>
    <w:rsid w:val="00B045C1"/>
    <w:rsid w:val="00B41E34"/>
    <w:rsid w:val="00EA7C45"/>
    <w:rsid w:val="00F2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E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1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E34"/>
    <w:rPr>
      <w:b/>
      <w:bCs/>
      <w:sz w:val="20"/>
      <w:szCs w:val="20"/>
    </w:rPr>
  </w:style>
  <w:style w:type="numbering" w:customStyle="1" w:styleId="Singlepunch">
    <w:name w:val="Single punch"/>
    <w:rsid w:val="00B41E34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B41E34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41E34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41E34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B41E34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41E34"/>
    <w:rPr>
      <w:rFonts w:ascii="Times New Roman" w:hAnsi="Times New Roman" w:cs="Times New Roman"/>
      <w:noProof/>
      <w:sz w:val="24"/>
    </w:rPr>
  </w:style>
  <w:style w:type="table" w:styleId="TableGrid">
    <w:name w:val="Table Grid"/>
    <w:basedOn w:val="TableNormal"/>
    <w:uiPriority w:val="39"/>
    <w:rsid w:val="00B4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41E34"/>
  </w:style>
  <w:style w:type="paragraph" w:customStyle="1" w:styleId="Default">
    <w:name w:val="Default"/>
    <w:rsid w:val="00B4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1E34"/>
    <w:rPr>
      <w:i/>
      <w:iCs/>
    </w:rPr>
  </w:style>
  <w:style w:type="paragraph" w:styleId="Revision">
    <w:name w:val="Revision"/>
    <w:hidden/>
    <w:uiPriority w:val="99"/>
    <w:semiHidden/>
    <w:rsid w:val="00B41E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34"/>
  </w:style>
  <w:style w:type="paragraph" w:styleId="Footer">
    <w:name w:val="footer"/>
    <w:basedOn w:val="Normal"/>
    <w:link w:val="FooterChar"/>
    <w:uiPriority w:val="99"/>
    <w:unhideWhenUsed/>
    <w:rsid w:val="00B4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3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E34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B41E34"/>
  </w:style>
  <w:style w:type="character" w:styleId="FollowedHyperlink">
    <w:name w:val="FollowedHyperlink"/>
    <w:basedOn w:val="DefaultParagraphFont"/>
    <w:uiPriority w:val="99"/>
    <w:semiHidden/>
    <w:unhideWhenUsed/>
    <w:rsid w:val="00B41E34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B41E34"/>
  </w:style>
  <w:style w:type="character" w:customStyle="1" w:styleId="articletitle">
    <w:name w:val="articletitle"/>
    <w:basedOn w:val="DefaultParagraphFont"/>
    <w:rsid w:val="00B41E34"/>
  </w:style>
  <w:style w:type="character" w:customStyle="1" w:styleId="journaltitle">
    <w:name w:val="journaltitle"/>
    <w:basedOn w:val="DefaultParagraphFont"/>
    <w:rsid w:val="00B41E34"/>
  </w:style>
  <w:style w:type="character" w:customStyle="1" w:styleId="pubyear">
    <w:name w:val="pubyear"/>
    <w:basedOn w:val="DefaultParagraphFont"/>
    <w:rsid w:val="00B41E34"/>
  </w:style>
  <w:style w:type="character" w:customStyle="1" w:styleId="vol">
    <w:name w:val="vol"/>
    <w:basedOn w:val="DefaultParagraphFont"/>
    <w:rsid w:val="00B41E34"/>
  </w:style>
  <w:style w:type="character" w:customStyle="1" w:styleId="pagefirst">
    <w:name w:val="pagefirst"/>
    <w:basedOn w:val="DefaultParagraphFont"/>
    <w:rsid w:val="00B41E34"/>
  </w:style>
  <w:style w:type="character" w:customStyle="1" w:styleId="pagelast">
    <w:name w:val="pagelast"/>
    <w:basedOn w:val="DefaultParagraphFont"/>
    <w:rsid w:val="00B4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5956FE57FE4C9A6FBF08B76EFDCD" ma:contentTypeVersion="9" ma:contentTypeDescription="Create a new document." ma:contentTypeScope="" ma:versionID="151d08292cb0aa100140a64a908bde71">
  <xsd:schema xmlns:xsd="http://www.w3.org/2001/XMLSchema" xmlns:xs="http://www.w3.org/2001/XMLSchema" xmlns:p="http://schemas.microsoft.com/office/2006/metadata/properties" xmlns:ns1="http://schemas.microsoft.com/sharepoint/v3" xmlns:ns2="fb539ba5-3771-4744-94d7-9509e313b7d8" targetNamespace="http://schemas.microsoft.com/office/2006/metadata/properties" ma:root="true" ma:fieldsID="8049788c1f0be1f5ba27ece860af656e" ns1:_="" ns2:_="">
    <xsd:import namespace="http://schemas.microsoft.com/sharepoint/v3"/>
    <xsd:import namespace="fb539ba5-3771-4744-94d7-9509e313b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9ba5-3771-4744-94d7-9509e313b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9711F-7B61-42D0-A543-C2F6BEAA401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fb539ba5-3771-4744-94d7-9509e313b7d8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45AAFB-9B76-47E5-85C7-2B2F8EE5C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6FB2-55E4-4C7D-981F-8F0B4496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39ba5-3771-4744-94d7-9509e313b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2674</Characters>
  <Application>Microsoft Office Word</Application>
  <DocSecurity>0</DocSecurity>
  <Lines>22</Lines>
  <Paragraphs>6</Paragraphs>
  <ScaleCrop>false</ScaleCrop>
  <Company>Centers for Disease Control and Prevention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Levecke, Madison (CDC/DDNID/NCCDPHP/DRH)</dc:creator>
  <cp:lastModifiedBy>xml</cp:lastModifiedBy>
  <cp:revision>2</cp:revision>
  <dcterms:created xsi:type="dcterms:W3CDTF">2022-03-23T09:44:00Z</dcterms:created>
  <dcterms:modified xsi:type="dcterms:W3CDTF">2022-03-23T09:44:00Z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2021-07-16T14:42:49Z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44259b22-4ada-4f19-8071-c936435652a9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0x01010016FC5956FE57FE4C9A6FBF08B76EFDCD</vt:lpwstr>
  </property>
</Properties>
</file>