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F482" w14:textId="237E8105" w:rsidR="00551B5F" w:rsidRPr="00AD74C8" w:rsidRDefault="00224D3A" w:rsidP="0055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S3</w:t>
      </w:r>
      <w:r w:rsidRPr="00AD74C8">
        <w:rPr>
          <w:rFonts w:ascii="Times New Roman" w:hAnsi="Times New Roman" w:cs="Times New Roman"/>
          <w:sz w:val="24"/>
          <w:szCs w:val="24"/>
        </w:rPr>
        <w:t>: Incidence rate ratios (IRR)</w:t>
      </w:r>
      <w:r>
        <w:rPr>
          <w:rFonts w:ascii="Times New Roman" w:hAnsi="Times New Roman" w:cs="Times New Roman"/>
          <w:sz w:val="24"/>
          <w:szCs w:val="24"/>
        </w:rPr>
        <w:t xml:space="preserve"> by number of vaccines administered, vaccine-type (HPV vs. non-HPV) and </w:t>
      </w:r>
      <w:r w:rsidRPr="005B43D8">
        <w:rPr>
          <w:rFonts w:ascii="Times New Roman" w:hAnsi="Times New Roman" w:cs="Times New Roman"/>
          <w:sz w:val="24"/>
          <w:szCs w:val="24"/>
        </w:rPr>
        <w:t>vaccine-associated</w:t>
      </w:r>
      <w:r w:rsidRPr="005B43D8">
        <w:rPr>
          <w:rFonts w:ascii="Times New Roman" w:hAnsi="Times New Roman" w:cs="Times New Roman"/>
          <w:sz w:val="24"/>
          <w:szCs w:val="24"/>
        </w:rPr>
        <w:t xml:space="preserve"> </w:t>
      </w:r>
      <w:r w:rsidR="00551B5F" w:rsidRPr="005B43D8">
        <w:rPr>
          <w:rFonts w:ascii="Times New Roman" w:hAnsi="Times New Roman" w:cs="Times New Roman"/>
          <w:sz w:val="24"/>
          <w:szCs w:val="24"/>
        </w:rPr>
        <w:t>vs. venipuncture-associated syncope</w:t>
      </w:r>
      <w:r w:rsidR="00551B5F">
        <w:rPr>
          <w:rFonts w:ascii="Times New Roman" w:hAnsi="Times New Roman" w:cs="Times New Roman"/>
          <w:sz w:val="24"/>
          <w:szCs w:val="24"/>
        </w:rPr>
        <w:t>, 2013-2019, Vaccine Safety Datalink.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85"/>
        <w:gridCol w:w="3060"/>
        <w:gridCol w:w="1800"/>
        <w:gridCol w:w="1800"/>
        <w:gridCol w:w="900"/>
        <w:gridCol w:w="1260"/>
        <w:gridCol w:w="1260"/>
        <w:gridCol w:w="1260"/>
      </w:tblGrid>
      <w:tr w:rsidR="00551B5F" w:rsidRPr="00AD74C8" w14:paraId="108DA339" w14:textId="77777777" w:rsidTr="00D05B74">
        <w:trPr>
          <w:trHeight w:val="723"/>
        </w:trPr>
        <w:tc>
          <w:tcPr>
            <w:tcW w:w="1885" w:type="dxa"/>
          </w:tcPr>
          <w:p w14:paraId="18FFF7B8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</w:t>
            </w:r>
          </w:p>
        </w:tc>
        <w:tc>
          <w:tcPr>
            <w:tcW w:w="3060" w:type="dxa"/>
          </w:tcPr>
          <w:p w14:paraId="2ECF152D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Comparison groups</w:t>
            </w:r>
          </w:p>
        </w:tc>
        <w:tc>
          <w:tcPr>
            <w:tcW w:w="1800" w:type="dxa"/>
          </w:tcPr>
          <w:p w14:paraId="596C3630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Syncope events</w:t>
            </w:r>
          </w:p>
        </w:tc>
        <w:tc>
          <w:tcPr>
            <w:tcW w:w="1800" w:type="dxa"/>
          </w:tcPr>
          <w:p w14:paraId="2767BD49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Vaccine events</w:t>
            </w:r>
          </w:p>
        </w:tc>
        <w:tc>
          <w:tcPr>
            <w:tcW w:w="900" w:type="dxa"/>
          </w:tcPr>
          <w:p w14:paraId="51D557EF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</w:t>
            </w:r>
          </w:p>
        </w:tc>
        <w:tc>
          <w:tcPr>
            <w:tcW w:w="1260" w:type="dxa"/>
          </w:tcPr>
          <w:p w14:paraId="009B516E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CI</w:t>
            </w:r>
          </w:p>
        </w:tc>
        <w:tc>
          <w:tcPr>
            <w:tcW w:w="1260" w:type="dxa"/>
          </w:tcPr>
          <w:p w14:paraId="618FA820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CI</w:t>
            </w:r>
          </w:p>
        </w:tc>
        <w:tc>
          <w:tcPr>
            <w:tcW w:w="1260" w:type="dxa"/>
          </w:tcPr>
          <w:p w14:paraId="5F31B22F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551B5F" w:rsidRPr="00AD74C8" w14:paraId="5031468B" w14:textId="77777777" w:rsidTr="00D05B74">
        <w:trPr>
          <w:trHeight w:val="709"/>
        </w:trPr>
        <w:tc>
          <w:tcPr>
            <w:tcW w:w="1885" w:type="dxa"/>
          </w:tcPr>
          <w:p w14:paraId="24BB75A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3060" w:type="dxa"/>
          </w:tcPr>
          <w:p w14:paraId="469C9CF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</w:p>
          <w:p w14:paraId="013EBD2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vaccines</w:t>
            </w:r>
          </w:p>
        </w:tc>
        <w:tc>
          <w:tcPr>
            <w:tcW w:w="1800" w:type="dxa"/>
          </w:tcPr>
          <w:p w14:paraId="5EEA1EB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6A9EF4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14:paraId="504D926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139311</w:t>
            </w:r>
          </w:p>
          <w:p w14:paraId="4AF6F6F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33172</w:t>
            </w:r>
          </w:p>
        </w:tc>
        <w:tc>
          <w:tcPr>
            <w:tcW w:w="900" w:type="dxa"/>
          </w:tcPr>
          <w:p w14:paraId="7F6DA21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70C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260" w:type="dxa"/>
          </w:tcPr>
          <w:p w14:paraId="1BC6F6F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0AD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260" w:type="dxa"/>
          </w:tcPr>
          <w:p w14:paraId="72388FA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DB2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260" w:type="dxa"/>
          </w:tcPr>
          <w:p w14:paraId="5FA14CCD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0C2D43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0.010</w:t>
            </w:r>
          </w:p>
        </w:tc>
      </w:tr>
      <w:tr w:rsidR="00551B5F" w:rsidRPr="00AD74C8" w14:paraId="6D190477" w14:textId="77777777" w:rsidTr="00D05B74">
        <w:trPr>
          <w:trHeight w:val="361"/>
        </w:trPr>
        <w:tc>
          <w:tcPr>
            <w:tcW w:w="1885" w:type="dxa"/>
          </w:tcPr>
          <w:p w14:paraId="0D6C2F3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5C405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  <w:r w:rsidRPr="00AD74C8">
              <w:rPr>
                <w:rFonts w:ascii="Times New Roman" w:hAnsi="Times New Roman" w:cs="Times New Roman"/>
                <w:sz w:val="24"/>
                <w:szCs w:val="24"/>
              </w:rPr>
              <w:br/>
              <w:t>3 or more vaccines</w:t>
            </w:r>
          </w:p>
        </w:tc>
        <w:tc>
          <w:tcPr>
            <w:tcW w:w="1800" w:type="dxa"/>
          </w:tcPr>
          <w:p w14:paraId="101C86D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16DEC6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61120BE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139311</w:t>
            </w:r>
          </w:p>
          <w:p w14:paraId="0C5F350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25159</w:t>
            </w:r>
          </w:p>
        </w:tc>
        <w:tc>
          <w:tcPr>
            <w:tcW w:w="900" w:type="dxa"/>
          </w:tcPr>
          <w:p w14:paraId="3B82D39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B431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6.59</w:t>
            </w:r>
          </w:p>
        </w:tc>
        <w:tc>
          <w:tcPr>
            <w:tcW w:w="1260" w:type="dxa"/>
          </w:tcPr>
          <w:p w14:paraId="56495B9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827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260" w:type="dxa"/>
          </w:tcPr>
          <w:p w14:paraId="607C29A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F9B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11.91</w:t>
            </w:r>
          </w:p>
        </w:tc>
        <w:tc>
          <w:tcPr>
            <w:tcW w:w="1260" w:type="dxa"/>
          </w:tcPr>
          <w:p w14:paraId="21B763C3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AE7BD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551B5F" w:rsidRPr="00AD74C8" w14:paraId="36163C72" w14:textId="77777777" w:rsidTr="00D05B74">
        <w:trPr>
          <w:trHeight w:val="361"/>
        </w:trPr>
        <w:tc>
          <w:tcPr>
            <w:tcW w:w="1885" w:type="dxa"/>
          </w:tcPr>
          <w:p w14:paraId="73CD3C0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9 to 12 years</w:t>
            </w:r>
          </w:p>
        </w:tc>
        <w:tc>
          <w:tcPr>
            <w:tcW w:w="3060" w:type="dxa"/>
          </w:tcPr>
          <w:p w14:paraId="2384702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</w:p>
          <w:p w14:paraId="2ACF1DA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vaccines</w:t>
            </w:r>
          </w:p>
        </w:tc>
        <w:tc>
          <w:tcPr>
            <w:tcW w:w="1800" w:type="dxa"/>
          </w:tcPr>
          <w:p w14:paraId="66B22E5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CA8BE2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093FCB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50920</w:t>
            </w:r>
          </w:p>
          <w:p w14:paraId="5852DFC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12661</w:t>
            </w:r>
          </w:p>
        </w:tc>
        <w:tc>
          <w:tcPr>
            <w:tcW w:w="900" w:type="dxa"/>
          </w:tcPr>
          <w:p w14:paraId="7E60CE2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AD9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1260" w:type="dxa"/>
          </w:tcPr>
          <w:p w14:paraId="4759CBC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B4FE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260" w:type="dxa"/>
          </w:tcPr>
          <w:p w14:paraId="106657F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9E4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260" w:type="dxa"/>
          </w:tcPr>
          <w:p w14:paraId="404929A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108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</w:tr>
      <w:tr w:rsidR="00551B5F" w:rsidRPr="00AD74C8" w14:paraId="24B86B07" w14:textId="77777777" w:rsidTr="00D05B74">
        <w:trPr>
          <w:trHeight w:val="361"/>
        </w:trPr>
        <w:tc>
          <w:tcPr>
            <w:tcW w:w="1885" w:type="dxa"/>
          </w:tcPr>
          <w:p w14:paraId="0E19A68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15421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  <w:r w:rsidRPr="00AD74C8">
              <w:rPr>
                <w:rFonts w:ascii="Times New Roman" w:hAnsi="Times New Roman" w:cs="Times New Roman"/>
                <w:sz w:val="24"/>
                <w:szCs w:val="24"/>
              </w:rPr>
              <w:br/>
              <w:t>3 or more vaccines</w:t>
            </w:r>
          </w:p>
        </w:tc>
        <w:tc>
          <w:tcPr>
            <w:tcW w:w="1800" w:type="dxa"/>
          </w:tcPr>
          <w:p w14:paraId="0F95FC3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7F8E3B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72444C8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50920</w:t>
            </w:r>
          </w:p>
          <w:p w14:paraId="4139A71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19368</w:t>
            </w:r>
          </w:p>
        </w:tc>
        <w:tc>
          <w:tcPr>
            <w:tcW w:w="900" w:type="dxa"/>
          </w:tcPr>
          <w:p w14:paraId="5BCC36E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5CE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260" w:type="dxa"/>
          </w:tcPr>
          <w:p w14:paraId="0C93243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06BE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260" w:type="dxa"/>
          </w:tcPr>
          <w:p w14:paraId="5399542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ACC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260" w:type="dxa"/>
          </w:tcPr>
          <w:p w14:paraId="4B76CF6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0B26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551B5F" w:rsidRPr="00AD74C8" w14:paraId="01D877A9" w14:textId="77777777" w:rsidTr="00D05B74">
        <w:trPr>
          <w:trHeight w:val="361"/>
        </w:trPr>
        <w:tc>
          <w:tcPr>
            <w:tcW w:w="1885" w:type="dxa"/>
          </w:tcPr>
          <w:p w14:paraId="51EEA43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 to 15 years</w:t>
            </w:r>
          </w:p>
        </w:tc>
        <w:tc>
          <w:tcPr>
            <w:tcW w:w="3060" w:type="dxa"/>
          </w:tcPr>
          <w:p w14:paraId="4B1DAB9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</w:p>
          <w:p w14:paraId="4C4BA34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vaccines</w:t>
            </w:r>
          </w:p>
        </w:tc>
        <w:tc>
          <w:tcPr>
            <w:tcW w:w="1800" w:type="dxa"/>
          </w:tcPr>
          <w:p w14:paraId="0CC2DCB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99313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1800" w:type="dxa"/>
          </w:tcPr>
          <w:p w14:paraId="5202E12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43514</w:t>
            </w:r>
          </w:p>
          <w:p w14:paraId="53856A6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7319</w:t>
            </w:r>
          </w:p>
        </w:tc>
        <w:tc>
          <w:tcPr>
            <w:tcW w:w="900" w:type="dxa"/>
          </w:tcPr>
          <w:p w14:paraId="404F5F8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EE9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260" w:type="dxa"/>
          </w:tcPr>
          <w:p w14:paraId="3E420EE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405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260" w:type="dxa"/>
          </w:tcPr>
          <w:p w14:paraId="3A0708F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C5A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15.44</w:t>
            </w:r>
          </w:p>
        </w:tc>
        <w:tc>
          <w:tcPr>
            <w:tcW w:w="1260" w:type="dxa"/>
          </w:tcPr>
          <w:p w14:paraId="1B7E239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E06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</w:p>
        </w:tc>
      </w:tr>
      <w:tr w:rsidR="00551B5F" w:rsidRPr="00AD74C8" w14:paraId="57CF8EAB" w14:textId="77777777" w:rsidTr="00D05B74">
        <w:trPr>
          <w:trHeight w:val="361"/>
        </w:trPr>
        <w:tc>
          <w:tcPr>
            <w:tcW w:w="1885" w:type="dxa"/>
          </w:tcPr>
          <w:p w14:paraId="6873304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0F581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  <w:r w:rsidRPr="00AD74C8">
              <w:rPr>
                <w:rFonts w:ascii="Times New Roman" w:hAnsi="Times New Roman" w:cs="Times New Roman"/>
                <w:sz w:val="24"/>
                <w:szCs w:val="24"/>
              </w:rPr>
              <w:br/>
              <w:t>3 or more vaccines</w:t>
            </w:r>
          </w:p>
        </w:tc>
        <w:tc>
          <w:tcPr>
            <w:tcW w:w="1800" w:type="dxa"/>
          </w:tcPr>
          <w:p w14:paraId="35B2CAA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15959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0219177B" w14:textId="77777777" w:rsidR="00551B5F" w:rsidRPr="00AD74C8" w:rsidRDefault="00551B5F" w:rsidP="00D0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0" w:type="dxa"/>
          </w:tcPr>
          <w:p w14:paraId="17A677B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0" w:type="dxa"/>
          </w:tcPr>
          <w:p w14:paraId="684A890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0" w:type="dxa"/>
          </w:tcPr>
          <w:p w14:paraId="0E76FC0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0" w:type="dxa"/>
          </w:tcPr>
          <w:p w14:paraId="05B04EE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551B5F" w:rsidRPr="00AD74C8" w14:paraId="5389F368" w14:textId="77777777" w:rsidTr="00D05B74">
        <w:trPr>
          <w:trHeight w:val="361"/>
        </w:trPr>
        <w:tc>
          <w:tcPr>
            <w:tcW w:w="1885" w:type="dxa"/>
          </w:tcPr>
          <w:p w14:paraId="50A10A0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16 to 18 years</w:t>
            </w:r>
          </w:p>
        </w:tc>
        <w:tc>
          <w:tcPr>
            <w:tcW w:w="3060" w:type="dxa"/>
          </w:tcPr>
          <w:p w14:paraId="4D0B0C4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</w:p>
          <w:p w14:paraId="3BE205A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vaccines</w:t>
            </w:r>
          </w:p>
        </w:tc>
        <w:tc>
          <w:tcPr>
            <w:tcW w:w="1800" w:type="dxa"/>
          </w:tcPr>
          <w:p w14:paraId="68FFFB6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5BDA6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1D5BE2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44877</w:t>
            </w:r>
          </w:p>
          <w:p w14:paraId="3FEC2B1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13192</w:t>
            </w:r>
          </w:p>
        </w:tc>
        <w:tc>
          <w:tcPr>
            <w:tcW w:w="900" w:type="dxa"/>
          </w:tcPr>
          <w:p w14:paraId="623D09A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741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60" w:type="dxa"/>
          </w:tcPr>
          <w:p w14:paraId="0B7B163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E14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260" w:type="dxa"/>
          </w:tcPr>
          <w:p w14:paraId="7E9E2BD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BDE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1260" w:type="dxa"/>
          </w:tcPr>
          <w:p w14:paraId="71F64F3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B3F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551B5F" w:rsidRPr="00AD74C8" w14:paraId="1AA88149" w14:textId="77777777" w:rsidTr="00D05B74">
        <w:trPr>
          <w:trHeight w:val="361"/>
        </w:trPr>
        <w:tc>
          <w:tcPr>
            <w:tcW w:w="1885" w:type="dxa"/>
          </w:tcPr>
          <w:p w14:paraId="6E4BAD1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CB3D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vaccine (REF)</w:t>
            </w:r>
            <w:r w:rsidRPr="00AD74C8">
              <w:rPr>
                <w:rFonts w:ascii="Times New Roman" w:hAnsi="Times New Roman" w:cs="Times New Roman"/>
                <w:sz w:val="24"/>
                <w:szCs w:val="24"/>
              </w:rPr>
              <w:br/>
              <w:t>3 or more vaccines</w:t>
            </w:r>
          </w:p>
        </w:tc>
        <w:tc>
          <w:tcPr>
            <w:tcW w:w="1800" w:type="dxa"/>
          </w:tcPr>
          <w:p w14:paraId="7BCCCAA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881AD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1800" w:type="dxa"/>
          </w:tcPr>
          <w:p w14:paraId="5279F18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44877</w:t>
            </w:r>
          </w:p>
          <w:p w14:paraId="2B33E95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900" w:type="dxa"/>
          </w:tcPr>
          <w:p w14:paraId="018C716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1D0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260" w:type="dxa"/>
          </w:tcPr>
          <w:p w14:paraId="5450D67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07B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260" w:type="dxa"/>
          </w:tcPr>
          <w:p w14:paraId="7F755C2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78D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30.48</w:t>
            </w:r>
          </w:p>
        </w:tc>
        <w:tc>
          <w:tcPr>
            <w:tcW w:w="1260" w:type="dxa"/>
          </w:tcPr>
          <w:p w14:paraId="20F0E7B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C9CC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0.022</w:t>
            </w:r>
          </w:p>
        </w:tc>
      </w:tr>
      <w:tr w:rsidR="00551B5F" w:rsidRPr="00AD74C8" w14:paraId="21F60DBA" w14:textId="77777777" w:rsidTr="00D05B74">
        <w:trPr>
          <w:trHeight w:val="361"/>
        </w:trPr>
        <w:tc>
          <w:tcPr>
            <w:tcW w:w="1885" w:type="dxa"/>
          </w:tcPr>
          <w:p w14:paraId="4D748FC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3060" w:type="dxa"/>
          </w:tcPr>
          <w:p w14:paraId="0BBBCED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 non-HPV vaccine (REF)</w:t>
            </w:r>
          </w:p>
          <w:p w14:paraId="3EFA948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HPV vaccine only</w:t>
            </w:r>
          </w:p>
        </w:tc>
        <w:tc>
          <w:tcPr>
            <w:tcW w:w="1800" w:type="dxa"/>
          </w:tcPr>
          <w:p w14:paraId="2E21B08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5D7DF39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</w:tcPr>
          <w:p w14:paraId="43F621A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95684</w:t>
            </w:r>
          </w:p>
          <w:p w14:paraId="5475AF9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43627</w:t>
            </w:r>
          </w:p>
        </w:tc>
        <w:tc>
          <w:tcPr>
            <w:tcW w:w="900" w:type="dxa"/>
          </w:tcPr>
          <w:p w14:paraId="41DD852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E2F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260" w:type="dxa"/>
          </w:tcPr>
          <w:p w14:paraId="55F212D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BEA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0.53</w:t>
            </w:r>
          </w:p>
        </w:tc>
        <w:tc>
          <w:tcPr>
            <w:tcW w:w="1260" w:type="dxa"/>
          </w:tcPr>
          <w:p w14:paraId="50A348B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2B4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1260" w:type="dxa"/>
          </w:tcPr>
          <w:p w14:paraId="7D6D653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811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0.505</w:t>
            </w:r>
          </w:p>
        </w:tc>
      </w:tr>
      <w:tr w:rsidR="00551B5F" w:rsidRPr="00AD74C8" w14:paraId="2DE48B09" w14:textId="77777777" w:rsidTr="00D05B74">
        <w:trPr>
          <w:trHeight w:val="361"/>
        </w:trPr>
        <w:tc>
          <w:tcPr>
            <w:tcW w:w="1885" w:type="dxa"/>
          </w:tcPr>
          <w:p w14:paraId="77796A6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F365A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non-HPV vaccines (REF)</w:t>
            </w:r>
          </w:p>
          <w:p w14:paraId="1F8FA41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 vaccines with HPV</w:t>
            </w:r>
          </w:p>
        </w:tc>
        <w:tc>
          <w:tcPr>
            <w:tcW w:w="1800" w:type="dxa"/>
          </w:tcPr>
          <w:p w14:paraId="6496D9D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A2F5AD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55BC556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13095</w:t>
            </w:r>
          </w:p>
          <w:p w14:paraId="35260B5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20077</w:t>
            </w:r>
          </w:p>
        </w:tc>
        <w:tc>
          <w:tcPr>
            <w:tcW w:w="900" w:type="dxa"/>
          </w:tcPr>
          <w:p w14:paraId="0F8DF32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043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60" w:type="dxa"/>
          </w:tcPr>
          <w:p w14:paraId="08CDC00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950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60" w:type="dxa"/>
          </w:tcPr>
          <w:p w14:paraId="66A1A70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8A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260" w:type="dxa"/>
          </w:tcPr>
          <w:p w14:paraId="2CF827D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909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0.627</w:t>
            </w:r>
          </w:p>
        </w:tc>
      </w:tr>
      <w:tr w:rsidR="00551B5F" w:rsidRPr="00AD74C8" w14:paraId="0BE85BB4" w14:textId="77777777" w:rsidTr="00D05B74">
        <w:trPr>
          <w:trHeight w:val="361"/>
        </w:trPr>
        <w:tc>
          <w:tcPr>
            <w:tcW w:w="1885" w:type="dxa"/>
          </w:tcPr>
          <w:p w14:paraId="33B6B45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31E9F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 non-HPV vaccines (REF)</w:t>
            </w:r>
          </w:p>
          <w:p w14:paraId="2CE9799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 vaccines with HPV</w:t>
            </w:r>
          </w:p>
        </w:tc>
        <w:tc>
          <w:tcPr>
            <w:tcW w:w="1800" w:type="dxa"/>
          </w:tcPr>
          <w:p w14:paraId="13E9FC3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  <w:p w14:paraId="127E4FA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14:paraId="12C1B86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  <w:p w14:paraId="2CCCAE0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22745</w:t>
            </w:r>
          </w:p>
        </w:tc>
        <w:tc>
          <w:tcPr>
            <w:tcW w:w="900" w:type="dxa"/>
          </w:tcPr>
          <w:p w14:paraId="433DDFA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9C4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60" w:type="dxa"/>
          </w:tcPr>
          <w:p w14:paraId="66AC1EE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C9E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260" w:type="dxa"/>
          </w:tcPr>
          <w:p w14:paraId="02344C5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49F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260" w:type="dxa"/>
          </w:tcPr>
          <w:p w14:paraId="2803603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8DF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0.858</w:t>
            </w:r>
          </w:p>
        </w:tc>
      </w:tr>
      <w:tr w:rsidR="00551B5F" w:rsidRPr="00AD74C8" w14:paraId="7DD73A98" w14:textId="77777777" w:rsidTr="00D05B74">
        <w:trPr>
          <w:trHeight w:val="361"/>
        </w:trPr>
        <w:tc>
          <w:tcPr>
            <w:tcW w:w="1885" w:type="dxa"/>
          </w:tcPr>
          <w:p w14:paraId="6C12B33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3060" w:type="dxa"/>
          </w:tcPr>
          <w:p w14:paraId="2473743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Venipuncture-associated syncope (REF)</w:t>
            </w:r>
          </w:p>
          <w:p w14:paraId="7C3D62D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Vaccine-associated syncope</w:t>
            </w:r>
          </w:p>
        </w:tc>
        <w:tc>
          <w:tcPr>
            <w:tcW w:w="1800" w:type="dxa"/>
          </w:tcPr>
          <w:p w14:paraId="5A052F7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3FBAB6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2B7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0" w:type="dxa"/>
          </w:tcPr>
          <w:p w14:paraId="30F0468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12246</w:t>
            </w:r>
          </w:p>
          <w:p w14:paraId="0CCEAD5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C07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197642</w:t>
            </w:r>
          </w:p>
        </w:tc>
        <w:tc>
          <w:tcPr>
            <w:tcW w:w="900" w:type="dxa"/>
          </w:tcPr>
          <w:p w14:paraId="292CB25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FCF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196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60" w:type="dxa"/>
          </w:tcPr>
          <w:p w14:paraId="12C3483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07E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A75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60" w:type="dxa"/>
          </w:tcPr>
          <w:p w14:paraId="0EACBBE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4E9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A20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260" w:type="dxa"/>
          </w:tcPr>
          <w:p w14:paraId="00BD3EE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20B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30C2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551B5F" w:rsidRPr="00AD74C8" w14:paraId="4FADC77C" w14:textId="77777777" w:rsidTr="00D05B74">
        <w:trPr>
          <w:trHeight w:val="361"/>
        </w:trPr>
        <w:tc>
          <w:tcPr>
            <w:tcW w:w="1885" w:type="dxa"/>
          </w:tcPr>
          <w:p w14:paraId="44EFDB4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9 to 12 years</w:t>
            </w:r>
          </w:p>
        </w:tc>
        <w:tc>
          <w:tcPr>
            <w:tcW w:w="3060" w:type="dxa"/>
          </w:tcPr>
          <w:p w14:paraId="40BCB2A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Venipuncture-associated syncope (REF)</w:t>
            </w:r>
          </w:p>
          <w:p w14:paraId="221F55F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Vaccine-associated syncope</w:t>
            </w:r>
          </w:p>
        </w:tc>
        <w:tc>
          <w:tcPr>
            <w:tcW w:w="1800" w:type="dxa"/>
          </w:tcPr>
          <w:p w14:paraId="2730AFC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  <w:p w14:paraId="11D44C1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16A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0" w:type="dxa"/>
          </w:tcPr>
          <w:p w14:paraId="5209C7A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  <w:p w14:paraId="5C3D3A5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124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82949</w:t>
            </w:r>
          </w:p>
        </w:tc>
        <w:tc>
          <w:tcPr>
            <w:tcW w:w="900" w:type="dxa"/>
          </w:tcPr>
          <w:p w14:paraId="356E964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AD4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B4E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260" w:type="dxa"/>
          </w:tcPr>
          <w:p w14:paraId="416473E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666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05B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260" w:type="dxa"/>
          </w:tcPr>
          <w:p w14:paraId="4690DD5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C0A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A348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21.83</w:t>
            </w:r>
          </w:p>
        </w:tc>
        <w:tc>
          <w:tcPr>
            <w:tcW w:w="1260" w:type="dxa"/>
          </w:tcPr>
          <w:p w14:paraId="66ABC81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DAE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85A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</w:tr>
      <w:tr w:rsidR="00551B5F" w:rsidRPr="00AD74C8" w14:paraId="3D34B403" w14:textId="77777777" w:rsidTr="00D05B74">
        <w:trPr>
          <w:trHeight w:val="361"/>
        </w:trPr>
        <w:tc>
          <w:tcPr>
            <w:tcW w:w="1885" w:type="dxa"/>
          </w:tcPr>
          <w:p w14:paraId="58CAB0E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 to 15 years</w:t>
            </w:r>
          </w:p>
        </w:tc>
        <w:tc>
          <w:tcPr>
            <w:tcW w:w="3060" w:type="dxa"/>
          </w:tcPr>
          <w:p w14:paraId="72F11AA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Venipuncture-associated syncope (REF)</w:t>
            </w:r>
          </w:p>
          <w:p w14:paraId="2698743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Vaccine-associated syncope</w:t>
            </w:r>
          </w:p>
        </w:tc>
        <w:tc>
          <w:tcPr>
            <w:tcW w:w="1800" w:type="dxa"/>
          </w:tcPr>
          <w:p w14:paraId="41AF9CC7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1E519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CD4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5728DD1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  <w:p w14:paraId="55B6429F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6BF5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900" w:type="dxa"/>
          </w:tcPr>
          <w:p w14:paraId="0587C7A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F62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21E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60" w:type="dxa"/>
          </w:tcPr>
          <w:p w14:paraId="3EBCC96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0FEA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774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60" w:type="dxa"/>
          </w:tcPr>
          <w:p w14:paraId="703D93A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AA3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BCD93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60" w:type="dxa"/>
          </w:tcPr>
          <w:p w14:paraId="6D9A6DF2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8CC2E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DF6E0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551B5F" w:rsidRPr="00AD74C8" w14:paraId="597DD2F3" w14:textId="77777777" w:rsidTr="00D05B74">
        <w:trPr>
          <w:trHeight w:val="361"/>
        </w:trPr>
        <w:tc>
          <w:tcPr>
            <w:tcW w:w="1885" w:type="dxa"/>
          </w:tcPr>
          <w:p w14:paraId="29EA994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16 to 18 years</w:t>
            </w:r>
          </w:p>
        </w:tc>
        <w:tc>
          <w:tcPr>
            <w:tcW w:w="3060" w:type="dxa"/>
          </w:tcPr>
          <w:p w14:paraId="28061500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Venipuncture-associated syncope (REF)</w:t>
            </w:r>
          </w:p>
          <w:p w14:paraId="0C60784C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Vaccine-associated syncope</w:t>
            </w:r>
          </w:p>
        </w:tc>
        <w:tc>
          <w:tcPr>
            <w:tcW w:w="1800" w:type="dxa"/>
          </w:tcPr>
          <w:p w14:paraId="6BF3A02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C54AA6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F2F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14:paraId="198B5EA1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5909</w:t>
            </w:r>
          </w:p>
          <w:p w14:paraId="12B9F8F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EC16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67893</w:t>
            </w:r>
          </w:p>
        </w:tc>
        <w:tc>
          <w:tcPr>
            <w:tcW w:w="900" w:type="dxa"/>
          </w:tcPr>
          <w:p w14:paraId="101ACA3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02C9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D28E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60" w:type="dxa"/>
          </w:tcPr>
          <w:p w14:paraId="36CA5CE4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5F5D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1FAC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60" w:type="dxa"/>
          </w:tcPr>
          <w:p w14:paraId="3310B565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A81B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D812" w14:textId="77777777" w:rsidR="00551B5F" w:rsidRPr="00AD74C8" w:rsidRDefault="00551B5F" w:rsidP="00D0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260" w:type="dxa"/>
          </w:tcPr>
          <w:p w14:paraId="6639F038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91B3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FF5572" w14:textId="77777777" w:rsidR="00551B5F" w:rsidRPr="00AD74C8" w:rsidRDefault="00551B5F" w:rsidP="00D05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</w:tr>
    </w:tbl>
    <w:p w14:paraId="23C2F0FA" w14:textId="4FF282AC" w:rsidR="00BC6A57" w:rsidRDefault="00551B5F">
      <w:r>
        <w:rPr>
          <w:rFonts w:ascii="Times New Roman" w:hAnsi="Times New Roman" w:cs="Times New Roman"/>
          <w:sz w:val="24"/>
          <w:szCs w:val="24"/>
        </w:rPr>
        <w:t>Cells with counts less than 5 are denoted with ‘&lt;5’ to protect patient confidentiality</w:t>
      </w:r>
    </w:p>
    <w:sectPr w:rsidR="00BC6A57" w:rsidSect="00551B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5F"/>
    <w:rsid w:val="00224D3A"/>
    <w:rsid w:val="00551B5F"/>
    <w:rsid w:val="00BC6A57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9BC98"/>
  <w15:chartTrackingRefBased/>
  <w15:docId w15:val="{148F7F06-3C2D-1341-845F-AAC8A76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B5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Tor</dc:creator>
  <cp:keywords/>
  <dc:description/>
  <cp:lastModifiedBy>Berg, Tor</cp:lastModifiedBy>
  <cp:revision>2</cp:revision>
  <dcterms:created xsi:type="dcterms:W3CDTF">2023-11-15T00:40:00Z</dcterms:created>
  <dcterms:modified xsi:type="dcterms:W3CDTF">2023-11-15T00:41:00Z</dcterms:modified>
</cp:coreProperties>
</file>