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5C" w:rsidRDefault="0013635C" w:rsidP="0013635C">
      <w:proofErr w:type="gramStart"/>
      <w:r>
        <w:t xml:space="preserve">Supplementary </w:t>
      </w:r>
      <w:r w:rsidRPr="00D223FD">
        <w:t xml:space="preserve">Table </w:t>
      </w:r>
      <w:r>
        <w:t>4</w:t>
      </w:r>
      <w:r w:rsidRPr="00D223FD">
        <w:t>.</w:t>
      </w:r>
      <w:proofErr w:type="gramEnd"/>
      <w:r w:rsidRPr="00D223FD">
        <w:t xml:space="preserve"> Comparison of </w:t>
      </w:r>
      <w:r>
        <w:t>ART</w:t>
      </w:r>
      <w:r w:rsidRPr="00D223FD">
        <w:t xml:space="preserve"> utilization in </w:t>
      </w:r>
      <w:r>
        <w:t xml:space="preserve">Comprehensive Mandate </w:t>
      </w:r>
      <w:r w:rsidRPr="00D223FD">
        <w:t xml:space="preserve">states </w:t>
      </w:r>
      <w:r>
        <w:t>considering population covered under the state infertility insurance mandate. This sensitivity analysis excludes Delaware from the Comprehensive Mandate group.</w:t>
      </w:r>
    </w:p>
    <w:p w:rsidR="0013635C" w:rsidRDefault="0013635C" w:rsidP="0013635C"/>
    <w:p w:rsidR="0013635C" w:rsidRDefault="0013635C" w:rsidP="0013635C"/>
    <w:tbl>
      <w:tblPr>
        <w:tblStyle w:val="TableGrid"/>
        <w:tblW w:w="10525" w:type="dxa"/>
        <w:tblLook w:val="04A0"/>
      </w:tblPr>
      <w:tblGrid>
        <w:gridCol w:w="2335"/>
        <w:gridCol w:w="1890"/>
        <w:gridCol w:w="1260"/>
        <w:gridCol w:w="1890"/>
        <w:gridCol w:w="1260"/>
        <w:gridCol w:w="1890"/>
      </w:tblGrid>
      <w:tr w:rsidR="0013635C" w:rsidRPr="00E41613" w:rsidTr="006830B2">
        <w:trPr>
          <w:trHeight w:val="234"/>
        </w:trPr>
        <w:tc>
          <w:tcPr>
            <w:tcW w:w="2335" w:type="dxa"/>
            <w:vMerge w:val="restart"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Race and ethnicity</w:t>
            </w:r>
          </w:p>
        </w:tc>
        <w:tc>
          <w:tcPr>
            <w:tcW w:w="1890" w:type="dxa"/>
            <w:vMerge w:val="restart"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Estimated proportion of population with insurance subject to mandate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3150" w:type="dxa"/>
            <w:gridSpan w:val="2"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Entire reproductive-aged female population</w:t>
            </w:r>
          </w:p>
        </w:tc>
        <w:tc>
          <w:tcPr>
            <w:tcW w:w="3150" w:type="dxa"/>
            <w:gridSpan w:val="2"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Reproductive-aged female population covered by mandate</w:t>
            </w:r>
          </w:p>
        </w:tc>
      </w:tr>
      <w:tr w:rsidR="0013635C" w:rsidRPr="00E41613" w:rsidTr="006830B2">
        <w:trPr>
          <w:trHeight w:val="554"/>
        </w:trPr>
        <w:tc>
          <w:tcPr>
            <w:tcW w:w="2335" w:type="dxa"/>
            <w:vMerge/>
          </w:tcPr>
          <w:p w:rsidR="0013635C" w:rsidRPr="00E4161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Utilization Rate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13635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Rate ratio (95% CI)</w:t>
            </w:r>
          </w:p>
        </w:tc>
        <w:tc>
          <w:tcPr>
            <w:tcW w:w="1260" w:type="dxa"/>
            <w:hideMark/>
          </w:tcPr>
          <w:p w:rsidR="0013635C" w:rsidRPr="00E4161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Utilization Rate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90" w:type="dxa"/>
            <w:hideMark/>
          </w:tcPr>
          <w:p w:rsidR="0013635C" w:rsidRPr="00E4161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Rate ratio (95% CI)</w:t>
            </w:r>
          </w:p>
        </w:tc>
      </w:tr>
      <w:tr w:rsidR="0013635C" w:rsidRPr="00DC11BC" w:rsidTr="006830B2">
        <w:trPr>
          <w:trHeight w:val="205"/>
        </w:trPr>
        <w:tc>
          <w:tcPr>
            <w:tcW w:w="2335" w:type="dxa"/>
          </w:tcPr>
          <w:p w:rsidR="0013635C" w:rsidRPr="00DC11BC" w:rsidRDefault="0013635C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11BC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C11BC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C11BC">
              <w:rPr>
                <w:rFonts w:ascii="Calibri" w:eastAsia="Times New Roman" w:hAnsi="Calibri" w:cs="Times New Roman"/>
                <w:color w:val="000000"/>
              </w:rPr>
              <w:t xml:space="preserve"> Asian</w:t>
            </w:r>
          </w:p>
        </w:tc>
        <w:tc>
          <w:tcPr>
            <w:tcW w:w="1890" w:type="dxa"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35.0%</w:t>
            </w:r>
          </w:p>
        </w:tc>
        <w:tc>
          <w:tcPr>
            <w:tcW w:w="1260" w:type="dxa"/>
            <w:vAlign w:val="center"/>
          </w:tcPr>
          <w:p w:rsidR="0013635C" w:rsidRPr="00D02C10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78.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90" w:type="dxa"/>
          </w:tcPr>
          <w:p w:rsidR="0013635C" w:rsidRPr="00775227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60" w:type="dxa"/>
            <w:hideMark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223.7</w:t>
            </w:r>
          </w:p>
        </w:tc>
        <w:tc>
          <w:tcPr>
            <w:tcW w:w="1890" w:type="dxa"/>
            <w:hideMark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</w:tr>
      <w:tr w:rsidR="0013635C" w:rsidRPr="00DC11BC" w:rsidTr="006830B2">
        <w:trPr>
          <w:trHeight w:val="205"/>
        </w:trPr>
        <w:tc>
          <w:tcPr>
            <w:tcW w:w="2335" w:type="dxa"/>
          </w:tcPr>
          <w:p w:rsidR="0013635C" w:rsidRPr="00DC11BC" w:rsidRDefault="0013635C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11BC">
              <w:rPr>
                <w:rFonts w:ascii="Calibri" w:eastAsia="Times New Roman" w:hAnsi="Calibri" w:cs="Times New Roman"/>
                <w:color w:val="000000"/>
              </w:rPr>
              <w:t>Hispanic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90" w:type="dxa"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23.5%</w:t>
            </w:r>
          </w:p>
        </w:tc>
        <w:tc>
          <w:tcPr>
            <w:tcW w:w="1260" w:type="dxa"/>
            <w:vAlign w:val="center"/>
          </w:tcPr>
          <w:p w:rsidR="0013635C" w:rsidRPr="00D02C10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90" w:type="dxa"/>
          </w:tcPr>
          <w:p w:rsidR="0013635C" w:rsidRPr="00775227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0.23 (0.22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0.25)</w:t>
            </w:r>
          </w:p>
        </w:tc>
        <w:tc>
          <w:tcPr>
            <w:tcW w:w="1260" w:type="dxa"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77.9</w:t>
            </w:r>
          </w:p>
        </w:tc>
        <w:tc>
          <w:tcPr>
            <w:tcW w:w="1890" w:type="dxa"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 (0.33-0.37)</w:t>
            </w:r>
          </w:p>
        </w:tc>
      </w:tr>
      <w:tr w:rsidR="0013635C" w:rsidRPr="004340A3" w:rsidTr="006830B2">
        <w:trPr>
          <w:trHeight w:val="205"/>
        </w:trPr>
        <w:tc>
          <w:tcPr>
            <w:tcW w:w="2335" w:type="dxa"/>
          </w:tcPr>
          <w:p w:rsidR="0013635C" w:rsidRPr="004340A3" w:rsidRDefault="0013635C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11BC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C11BC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4340A3">
              <w:rPr>
                <w:rFonts w:ascii="Calibri" w:eastAsia="Times New Roman" w:hAnsi="Calibri" w:cs="Times New Roman"/>
                <w:color w:val="000000"/>
              </w:rPr>
              <w:t xml:space="preserve"> Black</w:t>
            </w:r>
          </w:p>
        </w:tc>
        <w:tc>
          <w:tcPr>
            <w:tcW w:w="1890" w:type="dxa"/>
          </w:tcPr>
          <w:p w:rsidR="0013635C" w:rsidRPr="004340A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25.7%</w:t>
            </w:r>
          </w:p>
        </w:tc>
        <w:tc>
          <w:tcPr>
            <w:tcW w:w="1260" w:type="dxa"/>
            <w:vAlign w:val="center"/>
          </w:tcPr>
          <w:p w:rsidR="0013635C" w:rsidRPr="00D02C10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  <w:tc>
          <w:tcPr>
            <w:tcW w:w="1890" w:type="dxa"/>
          </w:tcPr>
          <w:p w:rsidR="0013635C" w:rsidRPr="00775227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0.33 (0.31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0.35)</w:t>
            </w:r>
          </w:p>
        </w:tc>
        <w:tc>
          <w:tcPr>
            <w:tcW w:w="1260" w:type="dxa"/>
          </w:tcPr>
          <w:p w:rsidR="0013635C" w:rsidRPr="004340A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40A3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340A3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90" w:type="dxa"/>
          </w:tcPr>
          <w:p w:rsidR="0013635C" w:rsidRPr="004340A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  <w:r w:rsidRPr="004340A3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0.43-0.48</w:t>
            </w:r>
            <w:r w:rsidRPr="004340A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13635C" w:rsidRPr="00E44E43" w:rsidTr="006830B2">
        <w:trPr>
          <w:trHeight w:val="205"/>
        </w:trPr>
        <w:tc>
          <w:tcPr>
            <w:tcW w:w="2335" w:type="dxa"/>
          </w:tcPr>
          <w:p w:rsidR="0013635C" w:rsidRPr="00E44E43" w:rsidRDefault="0013635C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proofErr w:type="spellStart"/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/Multiple Races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890" w:type="dxa"/>
          </w:tcPr>
          <w:p w:rsidR="0013635C" w:rsidRPr="00E44E4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28.4%</w:t>
            </w:r>
          </w:p>
        </w:tc>
        <w:tc>
          <w:tcPr>
            <w:tcW w:w="1260" w:type="dxa"/>
            <w:vAlign w:val="center"/>
          </w:tcPr>
          <w:p w:rsidR="0013635C" w:rsidRPr="00D02C10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90" w:type="dxa"/>
          </w:tcPr>
          <w:p w:rsidR="0013635C" w:rsidRPr="00775227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0.22 (0.19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0.26)</w:t>
            </w:r>
          </w:p>
        </w:tc>
        <w:tc>
          <w:tcPr>
            <w:tcW w:w="1260" w:type="dxa"/>
          </w:tcPr>
          <w:p w:rsidR="0013635C" w:rsidRPr="00E44E4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4E4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1890" w:type="dxa"/>
          </w:tcPr>
          <w:p w:rsidR="0013635C" w:rsidRPr="00E44E43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  <w:r w:rsidRPr="00E44E43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</w:rPr>
              <w:t>0.25-0.32</w:t>
            </w:r>
            <w:r w:rsidRPr="00E44E4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13635C" w:rsidRPr="00DC11BC" w:rsidTr="006830B2">
        <w:trPr>
          <w:trHeight w:val="205"/>
        </w:trPr>
        <w:tc>
          <w:tcPr>
            <w:tcW w:w="2335" w:type="dxa"/>
          </w:tcPr>
          <w:p w:rsidR="0013635C" w:rsidRPr="00DC11BC" w:rsidRDefault="0013635C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C11BC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C11BC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C11BC">
              <w:rPr>
                <w:rFonts w:ascii="Calibri" w:eastAsia="Times New Roman" w:hAnsi="Calibri" w:cs="Times New Roman"/>
                <w:color w:val="000000"/>
              </w:rPr>
              <w:t xml:space="preserve"> White</w:t>
            </w:r>
          </w:p>
        </w:tc>
        <w:tc>
          <w:tcPr>
            <w:tcW w:w="1890" w:type="dxa"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34.4%</w:t>
            </w:r>
          </w:p>
        </w:tc>
        <w:tc>
          <w:tcPr>
            <w:tcW w:w="1260" w:type="dxa"/>
            <w:vAlign w:val="center"/>
          </w:tcPr>
          <w:p w:rsidR="0013635C" w:rsidRPr="00D02C10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57.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90" w:type="dxa"/>
          </w:tcPr>
          <w:p w:rsidR="0013635C" w:rsidRPr="00775227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5227">
              <w:rPr>
                <w:rFonts w:ascii="Calibri" w:eastAsia="Times New Roman" w:hAnsi="Calibri" w:cs="Times New Roman"/>
                <w:color w:val="000000"/>
              </w:rPr>
              <w:t>0.73 (0.70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775227">
              <w:rPr>
                <w:rFonts w:ascii="Calibri" w:eastAsia="Times New Roman" w:hAnsi="Calibri" w:cs="Times New Roman"/>
                <w:color w:val="000000"/>
              </w:rPr>
              <w:t>0.76)</w:t>
            </w:r>
          </w:p>
        </w:tc>
        <w:tc>
          <w:tcPr>
            <w:tcW w:w="1260" w:type="dxa"/>
          </w:tcPr>
          <w:p w:rsidR="0013635C" w:rsidRPr="00DC11BC" w:rsidRDefault="0013635C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C11BC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1890" w:type="dxa"/>
          </w:tcPr>
          <w:p w:rsidR="0013635C" w:rsidRPr="002D1FA2" w:rsidRDefault="0013635C" w:rsidP="0013635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FA2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0.72-0.78</w:t>
            </w:r>
            <w:r w:rsidRPr="002D1FA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13635C" w:rsidRDefault="0013635C" w:rsidP="0013635C"/>
    <w:p w:rsidR="0013635C" w:rsidRDefault="0013635C" w:rsidP="0013635C"/>
    <w:p w:rsidR="0013635C" w:rsidRPr="008750DA" w:rsidRDefault="0013635C" w:rsidP="0013635C">
      <w:pPr>
        <w:ind w:right="-117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8750DA">
        <w:rPr>
          <w:sz w:val="20"/>
          <w:szCs w:val="20"/>
        </w:rPr>
        <w:t xml:space="preserve">Insurance coverage estimated </w:t>
      </w:r>
      <w:r w:rsidRPr="008750DA">
        <w:rPr>
          <w:rFonts w:ascii="Calibri" w:eastAsia="Times New Roman" w:hAnsi="Calibri" w:cs="Times New Roman"/>
          <w:color w:val="000000"/>
          <w:sz w:val="20"/>
          <w:szCs w:val="20"/>
        </w:rPr>
        <w:t>from 2018 US Census, American Community Survey, and Medical Expenditure Panel Survey</w:t>
      </w:r>
    </w:p>
    <w:p w:rsidR="0013635C" w:rsidRPr="008750DA" w:rsidRDefault="0013635C" w:rsidP="0013635C">
      <w:pPr>
        <w:ind w:right="-117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2</w:t>
      </w:r>
      <w:r w:rsidRPr="008750DA">
        <w:rPr>
          <w:rFonts w:ascii="Calibri" w:eastAsia="Times New Roman" w:hAnsi="Calibri" w:cs="Times New Roman"/>
          <w:color w:val="000000"/>
          <w:sz w:val="20"/>
          <w:szCs w:val="20"/>
        </w:rPr>
        <w:t>Utilization rate per 10,000 women 20–44 years of age where each individual is only considered once (first cycle in specified timeframe)</w:t>
      </w:r>
    </w:p>
    <w:p w:rsidR="0013635C" w:rsidRPr="008750DA" w:rsidRDefault="0013635C" w:rsidP="0013635C">
      <w:pPr>
        <w:ind w:right="-117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3</w:t>
      </w:r>
      <w:r w:rsidRPr="008750DA">
        <w:rPr>
          <w:rFonts w:ascii="Calibri" w:eastAsia="Times New Roman" w:hAnsi="Calibri" w:cs="Times New Roman"/>
          <w:color w:val="000000"/>
          <w:sz w:val="20"/>
          <w:szCs w:val="20"/>
        </w:rPr>
        <w:t>Hispanic origin, any race</w:t>
      </w:r>
    </w:p>
    <w:p w:rsidR="0013635C" w:rsidRPr="008750DA" w:rsidRDefault="0013635C" w:rsidP="0013635C">
      <w:pPr>
        <w:ind w:right="-650"/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4</w:t>
      </w:r>
      <w:r w:rsidRPr="008750DA">
        <w:rPr>
          <w:rFonts w:ascii="Calibri" w:eastAsia="Times New Roman" w:hAnsi="Calibri" w:cs="Times New Roman"/>
          <w:color w:val="000000"/>
          <w:sz w:val="20"/>
          <w:szCs w:val="20"/>
        </w:rPr>
        <w:t>Non-Hispanic Other/Multiple Races includes Non-Hispanic American Indian or Alaska Native, Non-Hispanic Native Hawaiian and Other Pacific Islander, or Non-Hispanic Two or More Races</w:t>
      </w:r>
    </w:p>
    <w:p w:rsidR="00BB060D" w:rsidRDefault="00BB060D"/>
    <w:sectPr w:rsidR="00BB060D" w:rsidSect="00BB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64D"/>
    <w:multiLevelType w:val="multilevel"/>
    <w:tmpl w:val="95E4F822"/>
    <w:lvl w:ilvl="0"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635C"/>
    <w:rsid w:val="0013635C"/>
    <w:rsid w:val="00B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5C"/>
    <w:pPr>
      <w:spacing w:after="0" w:line="240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35C"/>
    <w:pPr>
      <w:spacing w:after="160" w:line="259" w:lineRule="auto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21366</dc:creator>
  <cp:lastModifiedBy>21366</cp:lastModifiedBy>
  <cp:revision>1</cp:revision>
  <dcterms:created xsi:type="dcterms:W3CDTF">2023-10-10T17:48:00Z</dcterms:created>
  <dcterms:modified xsi:type="dcterms:W3CDTF">2023-10-10T17:48:00Z</dcterms:modified>
</cp:coreProperties>
</file>