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07" w:rsidRPr="00112407" w:rsidRDefault="00112407" w:rsidP="00112407">
      <w:pPr>
        <w:rPr>
          <w:lang w:val="en-CA"/>
        </w:rPr>
      </w:pPr>
      <w:proofErr w:type="gramStart"/>
      <w:r w:rsidRPr="00112407">
        <w:rPr>
          <w:lang w:val="en-CA"/>
        </w:rPr>
        <w:t>Supplemental Table 1.</w:t>
      </w:r>
      <w:proofErr w:type="gramEnd"/>
      <w:r w:rsidRPr="00112407">
        <w:rPr>
          <w:lang w:val="en-CA"/>
        </w:rPr>
        <w:t xml:space="preserve"> State infertility mandates in 2018 categorized by scope of mandate</w:t>
      </w:r>
      <w:r w:rsidRPr="00112407">
        <w:rPr>
          <w:vertAlign w:val="superscript"/>
          <w:lang w:val="en-CA"/>
        </w:rPr>
        <w:t>1</w:t>
      </w:r>
    </w:p>
    <w:p w:rsidR="00112407" w:rsidRPr="00112407" w:rsidRDefault="00112407" w:rsidP="00112407">
      <w:pPr>
        <w:rPr>
          <w:lang w:val="en-CA"/>
        </w:rPr>
      </w:pPr>
    </w:p>
    <w:tbl>
      <w:tblPr>
        <w:tblStyle w:val="TableGrid"/>
        <w:tblW w:w="10075" w:type="dxa"/>
        <w:tblLook w:val="04A0"/>
      </w:tblPr>
      <w:tblGrid>
        <w:gridCol w:w="1541"/>
        <w:gridCol w:w="1706"/>
        <w:gridCol w:w="1044"/>
        <w:gridCol w:w="1067"/>
        <w:gridCol w:w="1135"/>
        <w:gridCol w:w="1243"/>
        <w:gridCol w:w="1450"/>
        <w:gridCol w:w="1329"/>
      </w:tblGrid>
      <w:tr w:rsidR="00112407" w:rsidRPr="00112407" w:rsidTr="006830B2">
        <w:tc>
          <w:tcPr>
            <w:tcW w:w="1316" w:type="dxa"/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bookmarkStart w:id="0" w:name="_Hlk124246594"/>
            <w:r w:rsidRPr="00112407">
              <w:rPr>
                <w:b/>
                <w:bCs/>
              </w:rPr>
              <w:t>State</w:t>
            </w:r>
          </w:p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</w:p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Statute (year)</w:t>
            </w:r>
          </w:p>
        </w:tc>
        <w:tc>
          <w:tcPr>
            <w:tcW w:w="906" w:type="dxa"/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12407">
              <w:rPr>
                <w:b/>
                <w:bCs/>
                <w:i/>
                <w:iCs/>
              </w:rPr>
              <w:t>Required</w:t>
            </w:r>
          </w:p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IVF coverage</w:t>
            </w:r>
          </w:p>
        </w:tc>
        <w:tc>
          <w:tcPr>
            <w:tcW w:w="925" w:type="dxa"/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≤ 2 years of infertility if no specified diagnosis</w:t>
            </w:r>
          </w:p>
        </w:tc>
        <w:tc>
          <w:tcPr>
            <w:tcW w:w="1020" w:type="dxa"/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Lifetime maximum (cost)</w:t>
            </w:r>
          </w:p>
        </w:tc>
        <w:tc>
          <w:tcPr>
            <w:tcW w:w="1565" w:type="dxa"/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Lifetime maximum (IVF cycles)</w:t>
            </w:r>
          </w:p>
        </w:tc>
        <w:tc>
          <w:tcPr>
            <w:tcW w:w="1440" w:type="dxa"/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Included coverage groups and policies</w:t>
            </w:r>
          </w:p>
        </w:tc>
        <w:tc>
          <w:tcPr>
            <w:tcW w:w="1440" w:type="dxa"/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Deductibles</w:t>
            </w:r>
          </w:p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or copayments</w:t>
            </w:r>
          </w:p>
        </w:tc>
      </w:tr>
      <w:bookmarkEnd w:id="0"/>
      <w:tr w:rsidR="00112407" w:rsidRPr="00112407" w:rsidTr="006830B2">
        <w:tc>
          <w:tcPr>
            <w:tcW w:w="10075" w:type="dxa"/>
            <w:gridSpan w:val="8"/>
            <w:shd w:val="clear" w:color="auto" w:fill="4A442A" w:themeFill="background2" w:themeFillShade="40"/>
            <w:vAlign w:val="center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Comprehensive Mandate</w:t>
            </w:r>
            <w:r w:rsidRPr="00112407">
              <w:rPr>
                <w:vertAlign w:val="superscript"/>
              </w:rPr>
              <w:t>2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Arkansas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1463" w:type="dxa"/>
          </w:tcPr>
          <w:p w:rsidR="00112407" w:rsidRPr="00112407" w:rsidRDefault="00112407" w:rsidP="00112407">
            <w:pPr>
              <w:spacing w:after="200" w:line="276" w:lineRule="auto"/>
            </w:pPr>
            <w:hyperlink r:id="rId5" w:history="1">
              <w:r w:rsidRPr="00112407">
                <w:rPr>
                  <w:rStyle w:val="Hyperlink"/>
                </w:rPr>
                <w:t>Ark. Stat. Ann. § 23-85-137</w:t>
              </w:r>
            </w:hyperlink>
            <w:hyperlink r:id="rId6" w:tgtFrame="_blank" w:history="1">
              <w:r w:rsidRPr="00112407">
                <w:rPr>
                  <w:rStyle w:val="Hyperlink"/>
                </w:rPr>
                <w:t> </w:t>
              </w:r>
            </w:hyperlink>
            <w:r w:rsidRPr="00112407">
              <w:t>and </w:t>
            </w:r>
            <w:hyperlink r:id="rId7" w:history="1">
              <w:r w:rsidRPr="00112407">
                <w:rPr>
                  <w:rStyle w:val="Hyperlink"/>
                </w:rPr>
                <w:t>§ 23-86-118</w:t>
              </w:r>
            </w:hyperlink>
            <w:r w:rsidRPr="00112407">
              <w:t> (1987, 2011)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$15,000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 xml:space="preserve">Group 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 xml:space="preserve">Individual 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Same limitations as maternity benefit provisions</w:t>
            </w:r>
          </w:p>
        </w:tc>
      </w:tr>
      <w:tr w:rsidR="00112407" w:rsidRPr="00112407" w:rsidTr="006830B2">
        <w:trPr>
          <w:trHeight w:val="1286"/>
        </w:trPr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Connecticut</w:t>
            </w:r>
          </w:p>
        </w:tc>
        <w:tc>
          <w:tcPr>
            <w:tcW w:w="1463" w:type="dxa"/>
          </w:tcPr>
          <w:p w:rsidR="00112407" w:rsidRPr="00112407" w:rsidRDefault="00112407" w:rsidP="00112407">
            <w:pPr>
              <w:spacing w:after="200" w:line="276" w:lineRule="auto"/>
            </w:pPr>
            <w:hyperlink r:id="rId8" w:anchor="sec_38a-509" w:tgtFrame="_blank" w:history="1">
              <w:r w:rsidRPr="00112407">
                <w:rPr>
                  <w:rStyle w:val="Hyperlink"/>
                </w:rPr>
                <w:t>Conn. Gen. Stat. § 38a-509</w:t>
              </w:r>
            </w:hyperlink>
            <w:r w:rsidRPr="00112407">
              <w:t> </w:t>
            </w:r>
            <w:hyperlink r:id="rId9" w:anchor="sec_38a-536" w:tgtFrame="_blank" w:history="1">
              <w:r w:rsidRPr="00112407">
                <w:rPr>
                  <w:rStyle w:val="Hyperlink"/>
                </w:rPr>
                <w:t>and § 38a-536</w:t>
              </w:r>
            </w:hyperlink>
            <w:r w:rsidRPr="00112407">
              <w:t> (1989, 2005)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 xml:space="preserve">2 IVF cycles </w:t>
            </w:r>
          </w:p>
          <w:p w:rsidR="00112407" w:rsidRPr="00112407" w:rsidRDefault="00112407" w:rsidP="00112407">
            <w:pPr>
              <w:spacing w:after="200" w:line="276" w:lineRule="auto"/>
            </w:pPr>
            <w:r w:rsidRPr="00112407">
              <w:t>(each fertilization or transfer credited as one cycle)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Group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Individual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HMOs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Delaware</w:t>
            </w:r>
            <w:r w:rsidRPr="00112407">
              <w:rPr>
                <w:vertAlign w:val="superscript"/>
              </w:rPr>
              <w:t>3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1463" w:type="dxa"/>
          </w:tcPr>
          <w:p w:rsidR="00112407" w:rsidRPr="00112407" w:rsidRDefault="00112407" w:rsidP="00112407">
            <w:pPr>
              <w:spacing w:after="200" w:line="276" w:lineRule="auto"/>
            </w:pPr>
            <w:hyperlink r:id="rId10" w:history="1">
              <w:r w:rsidRPr="00112407">
                <w:rPr>
                  <w:rStyle w:val="Hyperlink"/>
                </w:rPr>
                <w:t>18 Del. C. §3556</w:t>
              </w:r>
            </w:hyperlink>
            <w:r w:rsidRPr="00112407">
              <w:t> (2018)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6 egg retrievals (per lifetime with unlimited embryo transfers)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 xml:space="preserve">Group 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 xml:space="preserve">Individual 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HMOs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Same limitations as other pregnancy-related benefits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Illinois</w:t>
            </w:r>
          </w:p>
        </w:tc>
        <w:tc>
          <w:tcPr>
            <w:tcW w:w="1463" w:type="dxa"/>
          </w:tcPr>
          <w:p w:rsidR="00112407" w:rsidRPr="00112407" w:rsidRDefault="00112407" w:rsidP="00112407">
            <w:pPr>
              <w:spacing w:after="200" w:line="276" w:lineRule="auto"/>
            </w:pPr>
            <w:hyperlink r:id="rId11" w:tgtFrame="_blank" w:history="1">
              <w:r w:rsidRPr="00112407">
                <w:rPr>
                  <w:rStyle w:val="Hyperlink"/>
                </w:rPr>
                <w:t xml:space="preserve">Ill. Rev. Stat. </w:t>
              </w:r>
              <w:proofErr w:type="spellStart"/>
              <w:r w:rsidRPr="00112407">
                <w:rPr>
                  <w:rStyle w:val="Hyperlink"/>
                </w:rPr>
                <w:t>ch</w:t>
              </w:r>
              <w:proofErr w:type="spellEnd"/>
              <w:r w:rsidRPr="00112407">
                <w:rPr>
                  <w:rStyle w:val="Hyperlink"/>
                </w:rPr>
                <w:t>. 215, § 5/356m</w:t>
              </w:r>
            </w:hyperlink>
            <w:r w:rsidRPr="00112407">
              <w:t> (1991, 1996)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 xml:space="preserve">4 egg retrievals </w:t>
            </w:r>
          </w:p>
          <w:p w:rsidR="00112407" w:rsidRPr="00112407" w:rsidRDefault="00112407" w:rsidP="00112407">
            <w:pPr>
              <w:spacing w:after="200" w:line="276" w:lineRule="auto"/>
            </w:pPr>
            <w:r w:rsidRPr="00112407">
              <w:t xml:space="preserve">(if live birth achieved then up to 2 </w:t>
            </w:r>
            <w:r w:rsidRPr="00112407">
              <w:lastRenderedPageBreak/>
              <w:t>additional cycles covered)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lastRenderedPageBreak/>
              <w:t xml:space="preserve">Group 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HMOs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lastRenderedPageBreak/>
              <w:t>Maryland</w:t>
            </w:r>
          </w:p>
        </w:tc>
        <w:tc>
          <w:tcPr>
            <w:tcW w:w="1463" w:type="dxa"/>
          </w:tcPr>
          <w:p w:rsidR="00112407" w:rsidRPr="00112407" w:rsidRDefault="00112407" w:rsidP="00112407">
            <w:pPr>
              <w:spacing w:after="200" w:line="276" w:lineRule="auto"/>
            </w:pPr>
            <w:hyperlink r:id="rId12" w:tgtFrame="_blank" w:history="1">
              <w:r w:rsidRPr="00112407">
                <w:rPr>
                  <w:rStyle w:val="Hyperlink"/>
                </w:rPr>
                <w:t>Md. Insurance Code Ann. § 15-810</w:t>
              </w:r>
            </w:hyperlink>
            <w:r w:rsidRPr="00112407">
              <w:t> (2000)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$100,000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 xml:space="preserve">3 IVF cycles </w:t>
            </w:r>
          </w:p>
          <w:p w:rsidR="00112407" w:rsidRPr="00112407" w:rsidRDefault="00112407" w:rsidP="00112407">
            <w:pPr>
              <w:spacing w:after="200" w:line="276" w:lineRule="auto"/>
            </w:pPr>
            <w:r w:rsidRPr="00112407">
              <w:t>(per live birth)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 xml:space="preserve">Individual 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Group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Massachusetts</w:t>
            </w:r>
          </w:p>
        </w:tc>
        <w:tc>
          <w:tcPr>
            <w:tcW w:w="1463" w:type="dxa"/>
          </w:tcPr>
          <w:p w:rsidR="00112407" w:rsidRPr="00112407" w:rsidRDefault="00112407" w:rsidP="00112407">
            <w:pPr>
              <w:spacing w:after="200" w:line="276" w:lineRule="auto"/>
            </w:pPr>
            <w:hyperlink r:id="rId13" w:tgtFrame="_blank" w:history="1">
              <w:r w:rsidRPr="00112407">
                <w:rPr>
                  <w:rStyle w:val="Hyperlink"/>
                </w:rPr>
                <w:t xml:space="preserve">Mass. Gen. Laws Ann. </w:t>
              </w:r>
              <w:proofErr w:type="spellStart"/>
              <w:r w:rsidRPr="00112407">
                <w:rPr>
                  <w:rStyle w:val="Hyperlink"/>
                </w:rPr>
                <w:t>ch</w:t>
              </w:r>
              <w:proofErr w:type="spellEnd"/>
              <w:r w:rsidRPr="00112407">
                <w:rPr>
                  <w:rStyle w:val="Hyperlink"/>
                </w:rPr>
                <w:t>. 175, § 47H</w:t>
              </w:r>
            </w:hyperlink>
            <w:r w:rsidRPr="00112407">
              <w:t>, </w:t>
            </w:r>
            <w:proofErr w:type="spellStart"/>
            <w:r w:rsidRPr="00112407">
              <w:fldChar w:fldCharType="begin"/>
            </w:r>
            <w:r w:rsidRPr="00112407">
              <w:instrText>HYPERLINK "https://malegislature.gov/Laws/GeneralLaws/PartI/TitleXXII/Chapter176A/Section8K" \t "_blank"</w:instrText>
            </w:r>
            <w:r w:rsidRPr="00112407">
              <w:fldChar w:fldCharType="separate"/>
            </w:r>
            <w:r w:rsidRPr="00112407">
              <w:rPr>
                <w:rStyle w:val="Hyperlink"/>
              </w:rPr>
              <w:t>ch</w:t>
            </w:r>
            <w:proofErr w:type="spellEnd"/>
            <w:r w:rsidRPr="00112407">
              <w:rPr>
                <w:rStyle w:val="Hyperlink"/>
              </w:rPr>
              <w:t>. 176A, § 8K</w:t>
            </w:r>
            <w:r w:rsidRPr="00112407">
              <w:fldChar w:fldCharType="end"/>
            </w:r>
            <w:r w:rsidRPr="00112407">
              <w:t>, </w:t>
            </w:r>
            <w:proofErr w:type="spellStart"/>
            <w:r w:rsidRPr="00112407">
              <w:fldChar w:fldCharType="begin"/>
            </w:r>
            <w:r w:rsidRPr="00112407">
              <w:instrText>HYPERLINK "https://malegislature.gov/Laws/GeneralLaws/PartI/TitleXXII/Chapter176B/Section4J" \t "_blank"</w:instrText>
            </w:r>
            <w:r w:rsidRPr="00112407">
              <w:fldChar w:fldCharType="separate"/>
            </w:r>
            <w:r w:rsidRPr="00112407">
              <w:rPr>
                <w:rStyle w:val="Hyperlink"/>
              </w:rPr>
              <w:t>ch</w:t>
            </w:r>
            <w:proofErr w:type="spellEnd"/>
            <w:r w:rsidRPr="00112407">
              <w:rPr>
                <w:rStyle w:val="Hyperlink"/>
              </w:rPr>
              <w:t>. 176B, § 4J</w:t>
            </w:r>
            <w:r w:rsidRPr="00112407">
              <w:fldChar w:fldCharType="end"/>
            </w:r>
            <w:r w:rsidRPr="00112407">
              <w:t>, </w:t>
            </w:r>
            <w:proofErr w:type="spellStart"/>
            <w:r w:rsidRPr="00112407">
              <w:fldChar w:fldCharType="begin"/>
            </w:r>
            <w:r w:rsidRPr="00112407">
              <w:instrText>HYPERLINK "https://malegislature.gov/Laws/GeneralLaws/PartI/TitleXXII/Chapter176G/Section4" \t "_blank"</w:instrText>
            </w:r>
            <w:r w:rsidRPr="00112407">
              <w:fldChar w:fldCharType="separate"/>
            </w:r>
            <w:r w:rsidRPr="00112407">
              <w:rPr>
                <w:rStyle w:val="Hyperlink"/>
              </w:rPr>
              <w:t>ch</w:t>
            </w:r>
            <w:proofErr w:type="spellEnd"/>
            <w:r w:rsidRPr="00112407">
              <w:rPr>
                <w:rStyle w:val="Hyperlink"/>
              </w:rPr>
              <w:t>. 176G, § 4</w:t>
            </w:r>
            <w:r w:rsidRPr="00112407">
              <w:fldChar w:fldCharType="end"/>
            </w:r>
            <w:r w:rsidRPr="00112407">
              <w:t>and </w:t>
            </w:r>
            <w:hyperlink r:id="rId14" w:tgtFrame="_blank" w:history="1">
              <w:r w:rsidRPr="00112407">
                <w:rPr>
                  <w:rStyle w:val="Hyperlink"/>
                </w:rPr>
                <w:t>211 Code of Massachusetts Regulations 37.00</w:t>
              </w:r>
            </w:hyperlink>
            <w:r w:rsidRPr="00112407">
              <w:t> (1987, 2010) 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Individual Group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HMOs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Same limitations as non-infertility benefits</w:t>
            </w:r>
          </w:p>
        </w:tc>
      </w:tr>
      <w:tr w:rsidR="00112407" w:rsidRPr="00112407" w:rsidTr="006830B2">
        <w:tc>
          <w:tcPr>
            <w:tcW w:w="1316" w:type="dxa"/>
            <w:tcBorders>
              <w:bottom w:val="nil"/>
            </w:tcBorders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New Jersey</w:t>
            </w:r>
          </w:p>
        </w:tc>
        <w:tc>
          <w:tcPr>
            <w:tcW w:w="1463" w:type="dxa"/>
            <w:tcBorders>
              <w:bottom w:val="nil"/>
            </w:tcBorders>
          </w:tcPr>
          <w:p w:rsidR="00112407" w:rsidRPr="00112407" w:rsidRDefault="00112407" w:rsidP="00112407">
            <w:pPr>
              <w:spacing w:after="200" w:line="276" w:lineRule="auto"/>
            </w:pPr>
            <w:hyperlink r:id="rId15" w:history="1">
              <w:r w:rsidRPr="00112407">
                <w:rPr>
                  <w:rStyle w:val="Hyperlink"/>
                </w:rPr>
                <w:t>N.J. Stat. Ann. § 17:48-6x</w:t>
              </w:r>
            </w:hyperlink>
            <w:r w:rsidRPr="00112407">
              <w:t>, </w:t>
            </w:r>
            <w:hyperlink r:id="rId16" w:history="1">
              <w:r w:rsidRPr="00112407">
                <w:rPr>
                  <w:rStyle w:val="Hyperlink"/>
                </w:rPr>
                <w:t>§ 17:48A-7w</w:t>
              </w:r>
            </w:hyperlink>
            <w:r w:rsidRPr="00112407">
              <w:t>, </w:t>
            </w:r>
            <w:hyperlink r:id="rId17" w:history="1">
              <w:r w:rsidRPr="00112407">
                <w:rPr>
                  <w:rStyle w:val="Hyperlink"/>
                </w:rPr>
                <w:t>§ 17:48E-35.22</w:t>
              </w:r>
            </w:hyperlink>
            <w:r w:rsidRPr="00112407">
              <w:t> and </w:t>
            </w:r>
            <w:hyperlink r:id="rId18" w:tgtFrame="_blank" w:history="1">
              <w:r w:rsidRPr="00112407">
                <w:rPr>
                  <w:rStyle w:val="Hyperlink"/>
                </w:rPr>
                <w:t>§ 17B:27-46.1x</w:t>
              </w:r>
            </w:hyperlink>
            <w:r w:rsidRPr="00112407">
              <w:t> (2001) 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  <w:tcBorders>
              <w:bottom w:val="nil"/>
            </w:tcBorders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925" w:type="dxa"/>
            <w:tcBorders>
              <w:bottom w:val="nil"/>
            </w:tcBorders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1020" w:type="dxa"/>
            <w:tcBorders>
              <w:bottom w:val="nil"/>
            </w:tcBorders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  <w:tcBorders>
              <w:bottom w:val="nil"/>
            </w:tcBorders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 xml:space="preserve">4 egg retrievals </w:t>
            </w:r>
          </w:p>
        </w:tc>
        <w:tc>
          <w:tcPr>
            <w:tcW w:w="1440" w:type="dxa"/>
            <w:tcBorders>
              <w:bottom w:val="nil"/>
            </w:tcBorders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Group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HMOs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State Health Benefits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School Employees Health Benefits Program</w:t>
            </w:r>
          </w:p>
        </w:tc>
        <w:tc>
          <w:tcPr>
            <w:tcW w:w="1440" w:type="dxa"/>
            <w:tcBorders>
              <w:bottom w:val="nil"/>
            </w:tcBorders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</w:tr>
      <w:tr w:rsidR="00112407" w:rsidRPr="00112407" w:rsidTr="006830B2"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1463" w:type="dxa"/>
            <w:tcBorders>
              <w:top w:val="nil"/>
              <w:bottom w:val="single" w:sz="4" w:space="0" w:color="auto"/>
            </w:tcBorders>
          </w:tcPr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  <w:tcBorders>
              <w:top w:val="nil"/>
              <w:bottom w:val="single" w:sz="4" w:space="0" w:color="auto"/>
            </w:tcBorders>
          </w:tcPr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25" w:type="dxa"/>
            <w:tcBorders>
              <w:top w:val="nil"/>
              <w:bottom w:val="single" w:sz="4" w:space="0" w:color="auto"/>
            </w:tcBorders>
          </w:tcPr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</w:tcPr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112407" w:rsidRPr="00112407" w:rsidRDefault="00112407" w:rsidP="00112407">
            <w:pPr>
              <w:spacing w:after="200" w:line="276" w:lineRule="auto"/>
            </w:pPr>
          </w:p>
        </w:tc>
      </w:tr>
      <w:tr w:rsidR="00112407" w:rsidRPr="00112407" w:rsidTr="006830B2">
        <w:tc>
          <w:tcPr>
            <w:tcW w:w="1316" w:type="dxa"/>
            <w:tcBorders>
              <w:bottom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463" w:type="dxa"/>
            <w:tcBorders>
              <w:bottom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06" w:type="dxa"/>
            <w:tcBorders>
              <w:bottom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</w:tc>
        <w:tc>
          <w:tcPr>
            <w:tcW w:w="925" w:type="dxa"/>
            <w:tcBorders>
              <w:bottom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565" w:type="dxa"/>
            <w:tcBorders>
              <w:bottom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</w:p>
        </w:tc>
      </w:tr>
      <w:tr w:rsidR="00112407" w:rsidRPr="00112407" w:rsidTr="006830B2">
        <w:tc>
          <w:tcPr>
            <w:tcW w:w="1316" w:type="dxa"/>
            <w:tcBorders>
              <w:top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State</w:t>
            </w:r>
          </w:p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</w:p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1463" w:type="dxa"/>
            <w:tcBorders>
              <w:top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lastRenderedPageBreak/>
              <w:t>Statute (year)</w:t>
            </w:r>
          </w:p>
        </w:tc>
        <w:tc>
          <w:tcPr>
            <w:tcW w:w="906" w:type="dxa"/>
            <w:tcBorders>
              <w:top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  <w:i/>
                <w:iCs/>
              </w:rPr>
            </w:pPr>
            <w:r w:rsidRPr="00112407">
              <w:rPr>
                <w:b/>
                <w:bCs/>
                <w:i/>
                <w:iCs/>
              </w:rPr>
              <w:t>Required</w:t>
            </w:r>
          </w:p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 xml:space="preserve">IVF </w:t>
            </w:r>
            <w:r w:rsidRPr="00112407">
              <w:rPr>
                <w:b/>
                <w:bCs/>
              </w:rPr>
              <w:lastRenderedPageBreak/>
              <w:t>coverage</w:t>
            </w:r>
          </w:p>
        </w:tc>
        <w:tc>
          <w:tcPr>
            <w:tcW w:w="925" w:type="dxa"/>
            <w:tcBorders>
              <w:top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lastRenderedPageBreak/>
              <w:t xml:space="preserve">≤ 2 years of infertility </w:t>
            </w:r>
            <w:r w:rsidRPr="00112407">
              <w:rPr>
                <w:b/>
                <w:bCs/>
              </w:rPr>
              <w:lastRenderedPageBreak/>
              <w:t>if no specified diagnosis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lastRenderedPageBreak/>
              <w:t xml:space="preserve">Lifetime maximum </w:t>
            </w:r>
            <w:r w:rsidRPr="00112407">
              <w:rPr>
                <w:b/>
                <w:bCs/>
              </w:rPr>
              <w:lastRenderedPageBreak/>
              <w:t>(cost)</w:t>
            </w:r>
          </w:p>
        </w:tc>
        <w:tc>
          <w:tcPr>
            <w:tcW w:w="1565" w:type="dxa"/>
            <w:tcBorders>
              <w:top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lastRenderedPageBreak/>
              <w:t xml:space="preserve">Lifetime maximum </w:t>
            </w:r>
            <w:r w:rsidRPr="00112407">
              <w:rPr>
                <w:b/>
                <w:bCs/>
              </w:rPr>
              <w:lastRenderedPageBreak/>
              <w:t>(IVF cycles)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lastRenderedPageBreak/>
              <w:t xml:space="preserve">Included coverage groups and </w:t>
            </w:r>
            <w:r w:rsidRPr="00112407">
              <w:rPr>
                <w:b/>
                <w:bCs/>
              </w:rPr>
              <w:lastRenderedPageBreak/>
              <w:t>policies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lastRenderedPageBreak/>
              <w:t>Deductibles</w:t>
            </w:r>
          </w:p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 xml:space="preserve">or </w:t>
            </w:r>
            <w:r w:rsidRPr="00112407">
              <w:rPr>
                <w:b/>
                <w:bCs/>
              </w:rPr>
              <w:lastRenderedPageBreak/>
              <w:t>copayments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lastRenderedPageBreak/>
              <w:t>Rhode Island</w:t>
            </w:r>
          </w:p>
        </w:tc>
        <w:tc>
          <w:tcPr>
            <w:tcW w:w="1463" w:type="dxa"/>
          </w:tcPr>
          <w:p w:rsidR="00112407" w:rsidRPr="00112407" w:rsidRDefault="00112407" w:rsidP="00112407">
            <w:pPr>
              <w:spacing w:after="200" w:line="276" w:lineRule="auto"/>
            </w:pPr>
            <w:hyperlink r:id="rId19" w:tgtFrame="_blank" w:history="1">
              <w:r w:rsidRPr="00112407">
                <w:rPr>
                  <w:rStyle w:val="Hyperlink"/>
                </w:rPr>
                <w:t>R.I. Gen. Laws § 27-18-30</w:t>
              </w:r>
            </w:hyperlink>
            <w:r w:rsidRPr="00112407">
              <w:t>, </w:t>
            </w:r>
            <w:hyperlink r:id="rId20" w:tgtFrame="_blank" w:history="1">
              <w:r w:rsidRPr="00112407">
                <w:rPr>
                  <w:rStyle w:val="Hyperlink"/>
                </w:rPr>
                <w:t>§ 27-19-23</w:t>
              </w:r>
            </w:hyperlink>
            <w:r w:rsidRPr="00112407">
              <w:t>, </w:t>
            </w:r>
            <w:hyperlink r:id="rId21" w:tgtFrame="_blank" w:history="1">
              <w:r w:rsidRPr="00112407">
                <w:rPr>
                  <w:rStyle w:val="Hyperlink"/>
                </w:rPr>
                <w:t>§ 27-20-20</w:t>
              </w:r>
            </w:hyperlink>
            <w:r w:rsidRPr="00112407">
              <w:t> and </w:t>
            </w:r>
            <w:hyperlink r:id="rId22" w:tgtFrame="_blank" w:history="1">
              <w:r w:rsidRPr="00112407">
                <w:rPr>
                  <w:rStyle w:val="Hyperlink"/>
                </w:rPr>
                <w:t>§ 27-41-33</w:t>
              </w:r>
            </w:hyperlink>
            <w:r w:rsidRPr="00112407">
              <w:t> (1989, 2007)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$100,000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Individual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Group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HMOs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Up to 20% copayment</w:t>
            </w:r>
          </w:p>
        </w:tc>
      </w:tr>
      <w:tr w:rsidR="00112407" w:rsidRPr="00112407" w:rsidTr="006830B2">
        <w:tc>
          <w:tcPr>
            <w:tcW w:w="10075" w:type="dxa"/>
            <w:gridSpan w:val="8"/>
            <w:shd w:val="clear" w:color="auto" w:fill="4A442A" w:themeFill="background2" w:themeFillShade="40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Limited Mandate</w:t>
            </w:r>
            <w:r w:rsidRPr="00112407">
              <w:rPr>
                <w:vertAlign w:val="superscript"/>
              </w:rPr>
              <w:t>4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California</w:t>
            </w:r>
          </w:p>
        </w:tc>
        <w:tc>
          <w:tcPr>
            <w:tcW w:w="1463" w:type="dxa"/>
            <w:shd w:val="clear" w:color="auto" w:fill="FFFFFF" w:themeFill="background1"/>
          </w:tcPr>
          <w:p w:rsidR="00112407" w:rsidRPr="00112407" w:rsidRDefault="00112407" w:rsidP="00112407">
            <w:pPr>
              <w:spacing w:after="200" w:line="276" w:lineRule="auto"/>
            </w:pPr>
            <w:hyperlink r:id="rId23" w:tgtFrame="_blank" w:history="1">
              <w:r w:rsidRPr="00112407">
                <w:rPr>
                  <w:rStyle w:val="Hyperlink"/>
                </w:rPr>
                <w:t>Cal. Health &amp; Safety Code § 1374.55</w:t>
              </w:r>
            </w:hyperlink>
            <w:r w:rsidRPr="00112407">
              <w:t> and </w:t>
            </w:r>
            <w:hyperlink r:id="rId24" w:tgtFrame="_blank" w:history="1">
              <w:r w:rsidRPr="00112407">
                <w:rPr>
                  <w:rStyle w:val="Hyperlink"/>
                </w:rPr>
                <w:t>Cal. Insurance Code § 10119.6</w:t>
              </w:r>
            </w:hyperlink>
            <w:r w:rsidRPr="00112407">
              <w:t> </w:t>
            </w:r>
          </w:p>
          <w:p w:rsidR="00112407" w:rsidRPr="00112407" w:rsidRDefault="00112407" w:rsidP="00112407">
            <w:pPr>
              <w:spacing w:after="200" w:line="276" w:lineRule="auto"/>
            </w:pPr>
            <w:r w:rsidRPr="00112407">
              <w:t>(1989)</w:t>
            </w:r>
          </w:p>
        </w:tc>
        <w:tc>
          <w:tcPr>
            <w:tcW w:w="906" w:type="dxa"/>
            <w:shd w:val="clear" w:color="auto" w:fill="E6E6E6" w:themeFill="background1" w:themeFillShade="E6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X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Group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Hawaii</w:t>
            </w:r>
          </w:p>
        </w:tc>
        <w:tc>
          <w:tcPr>
            <w:tcW w:w="1463" w:type="dxa"/>
            <w:shd w:val="clear" w:color="auto" w:fill="FFFFFF" w:themeFill="background1"/>
          </w:tcPr>
          <w:p w:rsidR="00112407" w:rsidRPr="00112407" w:rsidRDefault="00112407" w:rsidP="00112407">
            <w:pPr>
              <w:spacing w:after="200" w:line="276" w:lineRule="auto"/>
            </w:pPr>
            <w:hyperlink r:id="rId25" w:tgtFrame="_blank" w:history="1">
              <w:r w:rsidRPr="00112407">
                <w:rPr>
                  <w:rStyle w:val="Hyperlink"/>
                </w:rPr>
                <w:t>Hawaii Rev. Stat. § 431:10A-116.5</w:t>
              </w:r>
            </w:hyperlink>
            <w:r w:rsidRPr="00112407">
              <w:t> and </w:t>
            </w:r>
            <w:hyperlink r:id="rId26" w:tgtFrame="_blank" w:history="1">
              <w:r w:rsidRPr="00112407">
                <w:rPr>
                  <w:rStyle w:val="Hyperlink"/>
                </w:rPr>
                <w:t>§ 432.1-604</w:t>
              </w:r>
            </w:hyperlink>
            <w:r w:rsidRPr="00112407">
              <w:t> (1989, 2003)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925" w:type="dxa"/>
            <w:shd w:val="clear" w:color="auto" w:fill="E6E6E6" w:themeFill="background1" w:themeFillShade="E6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b/>
                <w:bCs/>
              </w:rPr>
              <w:t>≥</w:t>
            </w:r>
            <w:r w:rsidRPr="00112407">
              <w:t xml:space="preserve"> 5 years if no specified diagnosis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1 IVF cycle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Individual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Group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Same limitations as maternity-related benefits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Louisiana</w:t>
            </w:r>
          </w:p>
        </w:tc>
        <w:tc>
          <w:tcPr>
            <w:tcW w:w="1463" w:type="dxa"/>
            <w:shd w:val="clear" w:color="auto" w:fill="FFFFFF" w:themeFill="background1"/>
          </w:tcPr>
          <w:p w:rsidR="00112407" w:rsidRPr="00112407" w:rsidRDefault="00112407" w:rsidP="00112407">
            <w:pPr>
              <w:spacing w:after="200" w:line="276" w:lineRule="auto"/>
            </w:pPr>
            <w:hyperlink r:id="rId27" w:tgtFrame="_blank" w:history="1">
              <w:r w:rsidRPr="00112407">
                <w:rPr>
                  <w:rStyle w:val="Hyperlink"/>
                </w:rPr>
                <w:t>La. Rev. Stat. Ann. § 22:1036</w:t>
              </w:r>
            </w:hyperlink>
            <w:r w:rsidRPr="00112407">
              <w:t> </w:t>
            </w:r>
          </w:p>
          <w:p w:rsidR="00112407" w:rsidRPr="00112407" w:rsidRDefault="00112407" w:rsidP="00112407">
            <w:pPr>
              <w:spacing w:after="200" w:line="276" w:lineRule="auto"/>
            </w:pPr>
            <w:r w:rsidRPr="00112407">
              <w:t>(2001)</w:t>
            </w:r>
          </w:p>
        </w:tc>
        <w:tc>
          <w:tcPr>
            <w:tcW w:w="906" w:type="dxa"/>
            <w:shd w:val="clear" w:color="auto" w:fill="E6E6E6" w:themeFill="background1" w:themeFillShade="E6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X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Montana</w:t>
            </w:r>
          </w:p>
        </w:tc>
        <w:tc>
          <w:tcPr>
            <w:tcW w:w="1463" w:type="dxa"/>
            <w:shd w:val="clear" w:color="auto" w:fill="FFFFFF" w:themeFill="background1"/>
          </w:tcPr>
          <w:p w:rsidR="00112407" w:rsidRPr="00112407" w:rsidRDefault="00112407" w:rsidP="00112407">
            <w:pPr>
              <w:spacing w:after="200" w:line="276" w:lineRule="auto"/>
            </w:pPr>
            <w:hyperlink r:id="rId28" w:tgtFrame="_blank" w:history="1">
              <w:r w:rsidRPr="00112407">
                <w:rPr>
                  <w:rStyle w:val="Hyperlink"/>
                </w:rPr>
                <w:t>Mont. Code Ann. § 33-22-1521</w:t>
              </w:r>
            </w:hyperlink>
          </w:p>
          <w:p w:rsidR="00112407" w:rsidRPr="00112407" w:rsidRDefault="00112407" w:rsidP="00112407">
            <w:pPr>
              <w:spacing w:after="200" w:line="276" w:lineRule="auto"/>
            </w:pPr>
            <w:r w:rsidRPr="00112407">
              <w:t xml:space="preserve">and </w:t>
            </w:r>
            <w:hyperlink r:id="rId29" w:tgtFrame="_blank" w:history="1">
              <w:r w:rsidRPr="00112407">
                <w:rPr>
                  <w:rStyle w:val="Hyperlink"/>
                </w:rPr>
                <w:t>Mont. Code Ann. § 33-31-102 et seq.</w:t>
              </w:r>
            </w:hyperlink>
            <w:r w:rsidRPr="00112407">
              <w:t> </w:t>
            </w:r>
          </w:p>
          <w:p w:rsidR="00112407" w:rsidRPr="00112407" w:rsidRDefault="00112407" w:rsidP="00112407">
            <w:pPr>
              <w:spacing w:after="200" w:line="276" w:lineRule="auto"/>
            </w:pPr>
            <w:r w:rsidRPr="00112407">
              <w:t xml:space="preserve"> (1987)</w:t>
            </w:r>
          </w:p>
        </w:tc>
        <w:tc>
          <w:tcPr>
            <w:tcW w:w="906" w:type="dxa"/>
            <w:shd w:val="clear" w:color="auto" w:fill="EEECE1" w:themeFill="background2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X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  <w:shd w:val="clear" w:color="auto" w:fill="FFFFFF" w:themeFill="background1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HMOs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lastRenderedPageBreak/>
              <w:t>New York</w:t>
            </w:r>
          </w:p>
        </w:tc>
        <w:tc>
          <w:tcPr>
            <w:tcW w:w="1463" w:type="dxa"/>
            <w:shd w:val="clear" w:color="auto" w:fill="FFFFFF" w:themeFill="background1"/>
          </w:tcPr>
          <w:p w:rsidR="00112407" w:rsidRPr="00112407" w:rsidRDefault="00112407" w:rsidP="00112407">
            <w:pPr>
              <w:spacing w:after="200" w:line="276" w:lineRule="auto"/>
            </w:pPr>
            <w:hyperlink r:id="rId30" w:tgtFrame="_blank" w:history="1">
              <w:r w:rsidRPr="00112407">
                <w:rPr>
                  <w:rStyle w:val="Hyperlink"/>
                </w:rPr>
                <w:t>N.Y. Insurance Law § 3216 (13)</w:t>
              </w:r>
            </w:hyperlink>
            <w:r w:rsidRPr="00112407">
              <w:t>, </w:t>
            </w:r>
            <w:hyperlink r:id="rId31" w:tgtFrame="_blank" w:history="1">
              <w:r w:rsidRPr="00112407">
                <w:rPr>
                  <w:rStyle w:val="Hyperlink"/>
                </w:rPr>
                <w:t>§ 3221 (6)</w:t>
              </w:r>
            </w:hyperlink>
            <w:r w:rsidRPr="00112407">
              <w:t> and </w:t>
            </w:r>
            <w:hyperlink r:id="rId32" w:tgtFrame="_blank" w:history="1">
              <w:r w:rsidRPr="00112407">
                <w:rPr>
                  <w:rStyle w:val="Hyperlink"/>
                </w:rPr>
                <w:t>§ 4303</w:t>
              </w:r>
            </w:hyperlink>
            <w:r w:rsidRPr="00112407">
              <w:t>(1990, 2002, 2011) 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  <w:shd w:val="clear" w:color="auto" w:fill="EEECE1" w:themeFill="background2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b/>
                <w:bCs/>
              </w:rPr>
              <w:t>X</w:t>
            </w: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$50,000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  <w:shd w:val="clear" w:color="auto" w:fill="FFFFFF" w:themeFill="background1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Group</w:t>
            </w:r>
          </w:p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HMOs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Same limitations as non-infertility benefits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Ohio</w:t>
            </w:r>
          </w:p>
        </w:tc>
        <w:tc>
          <w:tcPr>
            <w:tcW w:w="1463" w:type="dxa"/>
            <w:shd w:val="clear" w:color="auto" w:fill="FFFFFF" w:themeFill="background1"/>
          </w:tcPr>
          <w:p w:rsidR="00112407" w:rsidRPr="00112407" w:rsidRDefault="00112407" w:rsidP="00112407">
            <w:pPr>
              <w:spacing w:after="200" w:line="276" w:lineRule="auto"/>
            </w:pPr>
            <w:hyperlink r:id="rId33" w:tgtFrame="_blank" w:history="1">
              <w:r w:rsidRPr="00112407">
                <w:rPr>
                  <w:rStyle w:val="Hyperlink"/>
                </w:rPr>
                <w:t>Ohio Rev. Code Ann. § 1751.01 (A)(1)(h)</w:t>
              </w:r>
            </w:hyperlink>
            <w:r w:rsidRPr="00112407">
              <w:t> (1991) 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  <w:shd w:val="clear" w:color="auto" w:fill="E6E6E6" w:themeFill="background1" w:themeFillShade="E6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b/>
                <w:bCs/>
              </w:rPr>
              <w:t>X</w:t>
            </w: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  <w:shd w:val="clear" w:color="auto" w:fill="FFFFFF" w:themeFill="background1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HMOs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Texas</w:t>
            </w:r>
          </w:p>
        </w:tc>
        <w:tc>
          <w:tcPr>
            <w:tcW w:w="1463" w:type="dxa"/>
            <w:shd w:val="clear" w:color="auto" w:fill="FFFFFF" w:themeFill="background1"/>
          </w:tcPr>
          <w:p w:rsidR="00112407" w:rsidRPr="00112407" w:rsidRDefault="00112407" w:rsidP="00112407">
            <w:pPr>
              <w:spacing w:after="200" w:line="276" w:lineRule="auto"/>
            </w:pPr>
            <w:hyperlink r:id="rId34" w:anchor="1366.001" w:tgtFrame="_blank" w:history="1">
              <w:r w:rsidRPr="00112407">
                <w:rPr>
                  <w:rStyle w:val="Hyperlink"/>
                </w:rPr>
                <w:t>Tex. Insurance Code Ann. § 1366.001 et seq.</w:t>
              </w:r>
            </w:hyperlink>
            <w:r w:rsidRPr="00112407">
              <w:t> (1987, 2003) 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  <w:shd w:val="clear" w:color="auto" w:fill="E6E6E6" w:themeFill="background1" w:themeFillShade="E6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b/>
                <w:bCs/>
              </w:rPr>
              <w:t>X</w:t>
            </w:r>
          </w:p>
        </w:tc>
        <w:tc>
          <w:tcPr>
            <w:tcW w:w="925" w:type="dxa"/>
            <w:shd w:val="clear" w:color="auto" w:fill="EEECE1" w:themeFill="background2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b/>
                <w:bCs/>
              </w:rPr>
              <w:t>≥</w:t>
            </w:r>
            <w:r w:rsidRPr="00112407">
              <w:t xml:space="preserve"> 5 years if no specified diagnosis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  <w:shd w:val="clear" w:color="auto" w:fill="FFFFFF" w:themeFill="background1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Group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Utah</w:t>
            </w:r>
          </w:p>
        </w:tc>
        <w:tc>
          <w:tcPr>
            <w:tcW w:w="1463" w:type="dxa"/>
            <w:shd w:val="clear" w:color="auto" w:fill="FFFFFF" w:themeFill="background1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Utah Laws Chap. 353 (HB 347) amended 31A-22-610.1</w:t>
            </w:r>
          </w:p>
          <w:p w:rsidR="00112407" w:rsidRPr="00112407" w:rsidRDefault="00112407" w:rsidP="00112407">
            <w:pPr>
              <w:spacing w:after="200" w:line="276" w:lineRule="auto"/>
            </w:pPr>
            <w:r w:rsidRPr="00112407">
              <w:t>(2018)</w:t>
            </w:r>
          </w:p>
        </w:tc>
        <w:tc>
          <w:tcPr>
            <w:tcW w:w="906" w:type="dxa"/>
            <w:shd w:val="clear" w:color="auto" w:fill="E6E6E6" w:themeFill="background1" w:themeFillShade="E6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X</w:t>
            </w: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rPr>
                <w:rFonts w:ascii="MS Gothic" w:eastAsia="MS Gothic" w:hAnsi="MS Gothic" w:cs="MS Gothic" w:hint="eastAsia"/>
              </w:rPr>
              <w:t>✔</w:t>
            </w:r>
            <w:r w:rsidRPr="00112407">
              <w:rPr>
                <w:rFonts w:ascii="Calibri" w:hAnsi="Calibri" w:cs="Calibri"/>
              </w:rPr>
              <w:t>️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  <w:shd w:val="clear" w:color="auto" w:fill="FFFFFF" w:themeFill="background1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Public Employee’s Health Plan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</w:tr>
      <w:tr w:rsidR="00112407" w:rsidRPr="00112407" w:rsidTr="006830B2">
        <w:tc>
          <w:tcPr>
            <w:tcW w:w="1316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West Virginia</w:t>
            </w:r>
          </w:p>
        </w:tc>
        <w:tc>
          <w:tcPr>
            <w:tcW w:w="1463" w:type="dxa"/>
            <w:shd w:val="clear" w:color="auto" w:fill="FFFFFF" w:themeFill="background1"/>
          </w:tcPr>
          <w:p w:rsidR="00112407" w:rsidRPr="00112407" w:rsidRDefault="00112407" w:rsidP="00112407">
            <w:pPr>
              <w:spacing w:after="200" w:line="276" w:lineRule="auto"/>
            </w:pPr>
            <w:hyperlink r:id="rId35" w:anchor="01" w:tgtFrame="_blank" w:history="1">
              <w:r w:rsidRPr="00112407">
                <w:rPr>
                  <w:rStyle w:val="Hyperlink"/>
                </w:rPr>
                <w:t>W. Va. Code § 33-25A-2</w:t>
              </w:r>
            </w:hyperlink>
            <w:r w:rsidRPr="00112407">
              <w:t> (1995)</w:t>
            </w:r>
          </w:p>
          <w:p w:rsidR="00112407" w:rsidRPr="00112407" w:rsidRDefault="00112407" w:rsidP="00112407">
            <w:pPr>
              <w:spacing w:after="200" w:line="276" w:lineRule="auto"/>
            </w:pPr>
          </w:p>
        </w:tc>
        <w:tc>
          <w:tcPr>
            <w:tcW w:w="906" w:type="dxa"/>
            <w:shd w:val="clear" w:color="auto" w:fill="E6E6E6" w:themeFill="background1" w:themeFillShade="E6"/>
          </w:tcPr>
          <w:p w:rsidR="00112407" w:rsidRPr="00112407" w:rsidRDefault="00112407" w:rsidP="00112407">
            <w:pPr>
              <w:spacing w:after="200" w:line="276" w:lineRule="auto"/>
              <w:rPr>
                <w:b/>
                <w:bCs/>
              </w:rPr>
            </w:pPr>
            <w:r w:rsidRPr="00112407">
              <w:rPr>
                <w:b/>
                <w:bCs/>
              </w:rPr>
              <w:t>X</w:t>
            </w:r>
          </w:p>
        </w:tc>
        <w:tc>
          <w:tcPr>
            <w:tcW w:w="92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02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565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  <w:tc>
          <w:tcPr>
            <w:tcW w:w="1440" w:type="dxa"/>
            <w:shd w:val="clear" w:color="auto" w:fill="FFFFFF" w:themeFill="background1"/>
          </w:tcPr>
          <w:p w:rsidR="00112407" w:rsidRPr="00112407" w:rsidRDefault="00112407" w:rsidP="00112407">
            <w:pPr>
              <w:numPr>
                <w:ilvl w:val="0"/>
                <w:numId w:val="1"/>
              </w:numPr>
              <w:spacing w:after="200" w:line="276" w:lineRule="auto"/>
            </w:pPr>
            <w:r w:rsidRPr="00112407">
              <w:t>HMOs</w:t>
            </w:r>
          </w:p>
        </w:tc>
        <w:tc>
          <w:tcPr>
            <w:tcW w:w="1440" w:type="dxa"/>
          </w:tcPr>
          <w:p w:rsidR="00112407" w:rsidRPr="00112407" w:rsidRDefault="00112407" w:rsidP="00112407">
            <w:pPr>
              <w:spacing w:after="200" w:line="276" w:lineRule="auto"/>
            </w:pPr>
            <w:r w:rsidRPr="00112407">
              <w:t>Not specified</w:t>
            </w:r>
          </w:p>
        </w:tc>
      </w:tr>
    </w:tbl>
    <w:p w:rsidR="00112407" w:rsidRPr="00112407" w:rsidRDefault="00112407" w:rsidP="00112407">
      <w:pPr>
        <w:rPr>
          <w:lang w:val="en-CA"/>
        </w:rPr>
      </w:pPr>
    </w:p>
    <w:p w:rsidR="00112407" w:rsidRPr="00112407" w:rsidRDefault="00112407" w:rsidP="00112407">
      <w:pPr>
        <w:rPr>
          <w:lang w:val="en-CA"/>
        </w:rPr>
      </w:pPr>
    </w:p>
    <w:p w:rsidR="00112407" w:rsidRPr="00112407" w:rsidRDefault="00112407" w:rsidP="00112407">
      <w:pPr>
        <w:rPr>
          <w:lang w:val="en-CA"/>
        </w:rPr>
      </w:pPr>
    </w:p>
    <w:p w:rsidR="00112407" w:rsidRPr="00112407" w:rsidRDefault="00112407" w:rsidP="00112407">
      <w:pPr>
        <w:rPr>
          <w:lang w:val="en-CA"/>
        </w:rPr>
      </w:pPr>
      <w:r w:rsidRPr="00112407">
        <w:rPr>
          <w:vertAlign w:val="superscript"/>
          <w:lang w:val="en-CA"/>
        </w:rPr>
        <w:t>1</w:t>
      </w:r>
      <w:r w:rsidRPr="00112407">
        <w:rPr>
          <w:lang w:val="en-CA"/>
        </w:rPr>
        <w:t>States with no fertility mandates in 2018 include: Alabama, Alaska, Arizona, Colorado, Florida, Georgia, Idaho, Indiana, Iowa, Kansas, Kentucky, Maine, Michigan, Minnesota, Mississippi, Missouri, Nebraska, Nevada, New Hampshire, New Mexico, North Carolina, North Dakota, Oklahoma, Oregon, Pennsylvania, South Carolina, South Dakota, Tennessee, and Vermont</w:t>
      </w:r>
    </w:p>
    <w:p w:rsidR="00112407" w:rsidRPr="00112407" w:rsidRDefault="00112407" w:rsidP="00112407">
      <w:pPr>
        <w:rPr>
          <w:lang w:val="en-CA"/>
        </w:rPr>
      </w:pPr>
      <w:r w:rsidRPr="00112407">
        <w:rPr>
          <w:vertAlign w:val="superscript"/>
          <w:lang w:val="en-CA"/>
        </w:rPr>
        <w:lastRenderedPageBreak/>
        <w:t>2</w:t>
      </w:r>
      <w:r w:rsidRPr="00112407">
        <w:rPr>
          <w:lang w:val="en-CA"/>
        </w:rPr>
        <w:t xml:space="preserve">For classification as a Comprehensive Mandate state, all three of the following criteria must be met: (1) </w:t>
      </w:r>
      <w:r w:rsidRPr="00112407">
        <w:rPr>
          <w:i/>
          <w:iCs/>
          <w:lang w:val="en-CA"/>
        </w:rPr>
        <w:t>required</w:t>
      </w:r>
      <w:r w:rsidRPr="00112407">
        <w:rPr>
          <w:lang w:val="en-CA"/>
        </w:rPr>
        <w:t xml:space="preserve"> IVF coverage, (2) inclusion of group policies, and (3) ≤2 years of infertility or unexplained infertility to be considered eligible for coverage.</w:t>
      </w:r>
    </w:p>
    <w:p w:rsidR="00112407" w:rsidRPr="00112407" w:rsidRDefault="00112407" w:rsidP="00112407">
      <w:pPr>
        <w:rPr>
          <w:lang w:val="en-CA"/>
        </w:rPr>
      </w:pPr>
      <w:r w:rsidRPr="00112407">
        <w:rPr>
          <w:vertAlign w:val="superscript"/>
          <w:lang w:val="en-CA"/>
        </w:rPr>
        <w:t>3</w:t>
      </w:r>
      <w:r w:rsidRPr="00112407">
        <w:rPr>
          <w:lang w:val="en-CA"/>
        </w:rPr>
        <w:t>The Delaware mandate, which was included in Comprehensive group, came into effect on June 30</w:t>
      </w:r>
      <w:r w:rsidRPr="00112407">
        <w:rPr>
          <w:vertAlign w:val="superscript"/>
          <w:lang w:val="en-CA"/>
        </w:rPr>
        <w:t>th</w:t>
      </w:r>
      <w:r w:rsidRPr="00112407">
        <w:rPr>
          <w:lang w:val="en-CA"/>
        </w:rPr>
        <w:t>, 2018.</w:t>
      </w:r>
    </w:p>
    <w:p w:rsidR="00112407" w:rsidRPr="00112407" w:rsidRDefault="00112407" w:rsidP="00112407">
      <w:pPr>
        <w:rPr>
          <w:lang w:val="en-CA"/>
        </w:rPr>
      </w:pPr>
      <w:r w:rsidRPr="00112407">
        <w:rPr>
          <w:vertAlign w:val="superscript"/>
          <w:lang w:val="en-CA"/>
        </w:rPr>
        <w:t>4</w:t>
      </w:r>
      <w:r w:rsidRPr="00112407">
        <w:rPr>
          <w:lang w:val="en-CA"/>
        </w:rPr>
        <w:t xml:space="preserve">Reason for exclusion from ‘Comprehensive Mandate’ category </w:t>
      </w:r>
      <w:proofErr w:type="spellStart"/>
      <w:r w:rsidRPr="00112407">
        <w:rPr>
          <w:lang w:val="en-CA"/>
        </w:rPr>
        <w:t>highlightedin</w:t>
      </w:r>
      <w:proofErr w:type="spellEnd"/>
      <w:r w:rsidRPr="00112407">
        <w:rPr>
          <w:lang w:val="en-CA"/>
        </w:rPr>
        <w:t xml:space="preserve"> gray</w:t>
      </w:r>
    </w:p>
    <w:p w:rsidR="00BB060D" w:rsidRDefault="00BB060D"/>
    <w:sectPr w:rsidR="00BB060D" w:rsidSect="00BB06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1204"/>
    <w:multiLevelType w:val="hybridMultilevel"/>
    <w:tmpl w:val="D1D0B4F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12407"/>
    <w:rsid w:val="00112407"/>
    <w:rsid w:val="00BB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2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.ct.gov/current/pub/chap_700c.htm" TargetMode="External"/><Relationship Id="rId13" Type="http://schemas.openxmlformats.org/officeDocument/2006/relationships/hyperlink" Target="https://malegislature.gov/Laws/GeneralLaws/PartI/TitleXXII/Chapter175/Section47H" TargetMode="External"/><Relationship Id="rId18" Type="http://schemas.openxmlformats.org/officeDocument/2006/relationships/hyperlink" Target="https://law.justia.com/codes/new-jersey/2013/title-17b/section-17b-27-46.1x/" TargetMode="External"/><Relationship Id="rId26" Type="http://schemas.openxmlformats.org/officeDocument/2006/relationships/hyperlink" Target="http://www.capitol.hawaii.gov/hrs2002/vol09_ch0431-0435e/hrs0432/hrs_0432-0001-0604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ilin.state.ri.us/Statutes/TITLE27/27-20/27-20-20.HTM" TargetMode="External"/><Relationship Id="rId34" Type="http://schemas.openxmlformats.org/officeDocument/2006/relationships/hyperlink" Target="http://www.statutes.legis.state.tx.us/Docs/IN/htm/IN.1366.htm" TargetMode="External"/><Relationship Id="rId7" Type="http://schemas.openxmlformats.org/officeDocument/2006/relationships/hyperlink" Target="https://advance.lexis.com/documentpage/?pdmfid=1000516&amp;crid=45368e46-6c2f-47dd-84e1-4cfac78693b7&amp;nodeid=AAXAADABCAACAAT&amp;nodepath=%2FROOT%2FAAX%2FAAXAAD%2FAAXAADABC%2FAAXAADABCAAC%2FAAXAADABCAACAAT&amp;title=23-86-118.+In+vitro+fertilization+coverage+required.&amp;config=00JAA2ZjZiM2VhNS0wNTVlLTQ3NzUtYjQzYy0yYWZmODJiODRmMDYKAFBvZENhdGFsb2fXiYCnsel0plIgqpYkw9PK&amp;pddocfullpath=%2Fshared%2Fdocument%2Fstatutes-legislation%2Furn%3AcontentItem%3A4WVM-XMC0-R03M-M2WW-00008-00&amp;ecomp=g37_kkk&amp;prid=1bb90723-4f2f-4d7c-af4d-a24e765508ab" TargetMode="External"/><Relationship Id="rId12" Type="http://schemas.openxmlformats.org/officeDocument/2006/relationships/hyperlink" Target="https://advance.lexis.com/documentpage/?pdmfid=1000516&amp;crid=9c50fd67-3f08-473f-82eb-a5f95da2035f&amp;config=014EJAA2ZmE1OTU3OC0xMGRjLTRlNTctOTQ3Zi0wMDE2MWFhYzAwN2MKAFBvZENhdGFsb2e9wg3LFiffInanDd3V39aA&amp;pddocfullpath=%2Fshared%2Fdocument%2Fstatutes-legislation%2Furn%3AcontentItem%3A5PKD-0KM0-004F-02N7-00008-00&amp;pddocid=urn%3AcontentItem%3A5PKD-0KM0-004F-02N7-00008-00&amp;pdcontentcomponentid=234188&amp;pdteaserkey=sr0&amp;pditab=allpods&amp;ecomp=g3J_kkk&amp;earg=sr0&amp;prid=6512bf5e-5d1f-4e7d-bbb0-d8822d4f6c1d" TargetMode="External"/><Relationship Id="rId17" Type="http://schemas.openxmlformats.org/officeDocument/2006/relationships/hyperlink" Target="https://law.justia.com/codes/new-jersey/2013/title-17/section-17-48e-35.22/" TargetMode="External"/><Relationship Id="rId25" Type="http://schemas.openxmlformats.org/officeDocument/2006/relationships/hyperlink" Target="http://www.capitol.hawaii.gov/hrs2002/vol09_ch0431-0435e/hrs0431/hrs_0431-0010a-0116_0005.htm" TargetMode="External"/><Relationship Id="rId33" Type="http://schemas.openxmlformats.org/officeDocument/2006/relationships/hyperlink" Target="http://codes.ohio.gov/orc/1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.justia.com/codes/new-jersey/2013/title-17/section-17-48a-7w/" TargetMode="External"/><Relationship Id="rId20" Type="http://schemas.openxmlformats.org/officeDocument/2006/relationships/hyperlink" Target="http://www.rilin.state.ri.us/Statutes/TITLE27/27-19/27-19-23.HTM" TargetMode="External"/><Relationship Id="rId29" Type="http://schemas.openxmlformats.org/officeDocument/2006/relationships/hyperlink" Target="http://leg.mt.gov/bills/mca/33/31/33-31-10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xisnexis.com/hottopics/arcode/Default.asp" TargetMode="External"/><Relationship Id="rId11" Type="http://schemas.openxmlformats.org/officeDocument/2006/relationships/hyperlink" Target="http://www.ilga.gov/legislation/ilcs/ilcs4.asp?DocName=021500050HArt%2E+XX&amp;ActID=1249&amp;ChapAct=215%26nbsp%3BILCS%26nbsp%3B5%2F&amp;ChapterID=22&amp;ChapterName=INSURANCE&amp;SectionID=52237&amp;SeqStart=93800000&amp;SeqEnd=105400000&amp;ActName=Ill" TargetMode="External"/><Relationship Id="rId24" Type="http://schemas.openxmlformats.org/officeDocument/2006/relationships/hyperlink" Target="http://leginfo.legislature.ca.gov/faces/codes_displaySection.xhtml?lawCode=INS&amp;sectionNum=10119.6." TargetMode="External"/><Relationship Id="rId32" Type="http://schemas.openxmlformats.org/officeDocument/2006/relationships/hyperlink" Target="http://public.leginfo.state.ny.us/lawssrch.cgi?NVLWO: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advance.lexis.com/documentpage/?pdmfid=1000516&amp;crid=11882274-696e-4592-afa7-9e991bc3d0d2&amp;nodeid=AAXAADABBABM&amp;nodepath=%2FROOT%2FAAX%2FAAXAAD%2FAAXAADABB%2FAAXAADABBABM&amp;title=23-85-137.+In+vitro+fertilization+coverage+required.&amp;config=00JAA2ZjZiM2VhNS0wNTVlLTQ3NzUtYjQzYy0yYWZmODJiODRmMDYKAFBvZENhdGFsb2fXiYCnsel0plIgqpYkw9PK&amp;pddocfullpath=%2Fshared%2Fdocument%2Fstatutes-legislation%2Furn%3AcontentItem%3A4WVM-XMC0-R03M-M2W5-00008-00&amp;ecomp=g37_kkk&amp;prid=1bb90723-4f2f-4d7c-af4d-a24e765508ab" TargetMode="External"/><Relationship Id="rId15" Type="http://schemas.openxmlformats.org/officeDocument/2006/relationships/hyperlink" Target="https://law.justia.com/codes/new-jersey/2013/title-17/section-17-48-6x/" TargetMode="External"/><Relationship Id="rId23" Type="http://schemas.openxmlformats.org/officeDocument/2006/relationships/hyperlink" Target="http://www.leginfo.ca.gov/cgi-bin/displaycode?section=hsc&amp;group=01001-02000&amp;file=1367-1374.195" TargetMode="External"/><Relationship Id="rId28" Type="http://schemas.openxmlformats.org/officeDocument/2006/relationships/hyperlink" Target="http://leg.mt.gov/bills/mca/33/22/33-22-1521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elcode.delaware.gov/title18/c035/sc03/index.shtml" TargetMode="External"/><Relationship Id="rId19" Type="http://schemas.openxmlformats.org/officeDocument/2006/relationships/hyperlink" Target="http://www.rilin.state.ri.us/Statutes/TITLE27/27-18/27-18-30.HTM" TargetMode="External"/><Relationship Id="rId31" Type="http://schemas.openxmlformats.org/officeDocument/2006/relationships/hyperlink" Target="http://public.leginfo.state.ny.us/lawssrch.cgi?NVLW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ga.ct.gov/current/pub/chap_700c.htm" TargetMode="External"/><Relationship Id="rId14" Type="http://schemas.openxmlformats.org/officeDocument/2006/relationships/hyperlink" Target="http://www.mass.gov/ocabr/docs/doi/legal-hearings/211-37.pdf" TargetMode="External"/><Relationship Id="rId22" Type="http://schemas.openxmlformats.org/officeDocument/2006/relationships/hyperlink" Target="http://www.rilin.state.ri.us/Statutes/TITLE27/27-41/27-41-33.HTM" TargetMode="External"/><Relationship Id="rId27" Type="http://schemas.openxmlformats.org/officeDocument/2006/relationships/hyperlink" Target="http://legis.la.gov/Legis/Law.aspx?d=507876" TargetMode="External"/><Relationship Id="rId30" Type="http://schemas.openxmlformats.org/officeDocument/2006/relationships/hyperlink" Target="http://public.leginfo.state.ny.us/lawssrch.cgi?NVLWO:" TargetMode="External"/><Relationship Id="rId35" Type="http://schemas.openxmlformats.org/officeDocument/2006/relationships/hyperlink" Target="http://www.legis.state.wv.us/WVCODE/code.cfm?chap=33&amp;art=25A&amp;section=WVC%2033%20%20-%2025%20A-%20%20%202%20%2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21366</dc:creator>
  <cp:lastModifiedBy>21366</cp:lastModifiedBy>
  <cp:revision>1</cp:revision>
  <dcterms:created xsi:type="dcterms:W3CDTF">2023-10-10T17:47:00Z</dcterms:created>
  <dcterms:modified xsi:type="dcterms:W3CDTF">2023-10-10T17:48:00Z</dcterms:modified>
</cp:coreProperties>
</file>