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4F7BE" w14:textId="25EFB3CB" w:rsidR="009F5772" w:rsidRDefault="009F5772" w:rsidP="009F5772">
      <w:pPr>
        <w:spacing w:after="0" w:line="480" w:lineRule="auto"/>
        <w:jc w:val="center"/>
        <w:rPr>
          <w:rFonts w:ascii="Times New Roman" w:hAnsi="Times New Roman" w:cs="Times New Roman"/>
          <w:b/>
          <w:bCs/>
        </w:rPr>
      </w:pPr>
      <w:r>
        <w:rPr>
          <w:rFonts w:ascii="Times New Roman" w:hAnsi="Times New Roman" w:cs="Times New Roman"/>
          <w:b/>
          <w:bCs/>
        </w:rPr>
        <w:t>Supplementary Material</w:t>
      </w:r>
    </w:p>
    <w:p w14:paraId="1EC20F5B" w14:textId="74289FBC" w:rsidR="00DF395E" w:rsidRDefault="00DF395E" w:rsidP="00DF395E">
      <w:pPr>
        <w:spacing w:after="0" w:line="480" w:lineRule="auto"/>
        <w:rPr>
          <w:rFonts w:ascii="Times New Roman" w:hAnsi="Times New Roman" w:cs="Times New Roman"/>
        </w:rPr>
      </w:pPr>
      <w:r>
        <w:rPr>
          <w:rFonts w:ascii="Times New Roman" w:hAnsi="Times New Roman" w:cs="Times New Roman"/>
          <w:b/>
          <w:bCs/>
        </w:rPr>
        <w:t>Cross-sectional and prospective associations of early childhood circulating metals with early and mid-childhood cognition in the Project Viva cohort.</w:t>
      </w:r>
    </w:p>
    <w:p w14:paraId="15D3D5FA" w14:textId="77777777" w:rsidR="00DF395E" w:rsidRDefault="00DF395E" w:rsidP="00DF395E">
      <w:pPr>
        <w:spacing w:after="0" w:line="480" w:lineRule="auto"/>
        <w:rPr>
          <w:rFonts w:ascii="Times New Roman" w:hAnsi="Times New Roman" w:cs="Times New Roman"/>
        </w:rPr>
      </w:pPr>
      <w:r>
        <w:rPr>
          <w:rFonts w:ascii="Times New Roman" w:hAnsi="Times New Roman" w:cs="Times New Roman"/>
        </w:rPr>
        <w:t>Ruwan Thilakaratne</w:t>
      </w:r>
      <w:r>
        <w:rPr>
          <w:rFonts w:ascii="Times New Roman" w:hAnsi="Times New Roman" w:cs="Times New Roman"/>
          <w:bCs/>
          <w:vertAlign w:val="superscript"/>
        </w:rPr>
        <w:t>1</w:t>
      </w:r>
      <w:r>
        <w:rPr>
          <w:rFonts w:ascii="Times New Roman" w:hAnsi="Times New Roman" w:cs="Times New Roman"/>
        </w:rPr>
        <w:t>; Pi-I D. Lin</w:t>
      </w:r>
      <w:r>
        <w:rPr>
          <w:rFonts w:ascii="Times New Roman" w:hAnsi="Times New Roman" w:cs="Times New Roman"/>
          <w:bCs/>
          <w:vertAlign w:val="superscript"/>
        </w:rPr>
        <w:t>2</w:t>
      </w:r>
      <w:r>
        <w:rPr>
          <w:rFonts w:ascii="Times New Roman" w:hAnsi="Times New Roman" w:cs="Times New Roman"/>
        </w:rPr>
        <w:t>; Sheryl L. Rifas-Shiman</w:t>
      </w:r>
      <w:r>
        <w:rPr>
          <w:rFonts w:ascii="Times New Roman" w:hAnsi="Times New Roman" w:cs="Times New Roman"/>
          <w:bCs/>
          <w:vertAlign w:val="superscript"/>
        </w:rPr>
        <w:t>2</w:t>
      </w:r>
      <w:r>
        <w:rPr>
          <w:rFonts w:ascii="Times New Roman" w:hAnsi="Times New Roman" w:cs="Times New Roman"/>
        </w:rPr>
        <w:t>; Julio Landero</w:t>
      </w:r>
      <w:r>
        <w:rPr>
          <w:rFonts w:ascii="Times New Roman" w:hAnsi="Times New Roman" w:cs="Times New Roman"/>
          <w:vertAlign w:val="superscript"/>
        </w:rPr>
        <w:t>3</w:t>
      </w:r>
      <w:r>
        <w:rPr>
          <w:rFonts w:ascii="Times New Roman" w:hAnsi="Times New Roman" w:cs="Times New Roman"/>
        </w:rPr>
        <w:t>; Robert O. Wright</w:t>
      </w:r>
      <w:r>
        <w:rPr>
          <w:rFonts w:ascii="Times New Roman" w:hAnsi="Times New Roman" w:cs="Times New Roman"/>
          <w:bCs/>
          <w:vertAlign w:val="superscript"/>
        </w:rPr>
        <w:t>3</w:t>
      </w:r>
      <w:r>
        <w:rPr>
          <w:rFonts w:ascii="Times New Roman" w:hAnsi="Times New Roman" w:cs="Times New Roman"/>
        </w:rPr>
        <w:t>; David Bellinger</w:t>
      </w:r>
      <w:r>
        <w:rPr>
          <w:rFonts w:ascii="Times New Roman" w:hAnsi="Times New Roman" w:cs="Times New Roman"/>
          <w:bCs/>
          <w:vertAlign w:val="superscript"/>
        </w:rPr>
        <w:t>4</w:t>
      </w:r>
      <w:r>
        <w:rPr>
          <w:rFonts w:ascii="Times New Roman" w:hAnsi="Times New Roman" w:cs="Times New Roman"/>
        </w:rPr>
        <w:t>; Emily Oken</w:t>
      </w:r>
      <w:r>
        <w:rPr>
          <w:rFonts w:ascii="Times New Roman" w:hAnsi="Times New Roman" w:cs="Times New Roman"/>
          <w:bCs/>
          <w:vertAlign w:val="superscript"/>
        </w:rPr>
        <w:t>2</w:t>
      </w:r>
      <w:r>
        <w:rPr>
          <w:rFonts w:ascii="Times New Roman" w:hAnsi="Times New Roman" w:cs="Times New Roman"/>
        </w:rPr>
        <w:t>; and Andres Cardenas</w:t>
      </w:r>
      <w:r>
        <w:rPr>
          <w:rFonts w:ascii="Times New Roman" w:hAnsi="Times New Roman" w:cs="Times New Roman"/>
          <w:bCs/>
          <w:vertAlign w:val="superscript"/>
        </w:rPr>
        <w:t>5*</w:t>
      </w:r>
    </w:p>
    <w:p w14:paraId="7AC488F8" w14:textId="77777777" w:rsidR="00DF395E" w:rsidRDefault="00DF395E" w:rsidP="00DF395E">
      <w:pPr>
        <w:spacing w:after="0" w:line="480" w:lineRule="auto"/>
        <w:rPr>
          <w:rFonts w:ascii="Times New Roman" w:hAnsi="Times New Roman" w:cs="Times New Roman"/>
        </w:rPr>
      </w:pPr>
    </w:p>
    <w:p w14:paraId="60C7984A" w14:textId="77777777" w:rsidR="00DF395E" w:rsidRDefault="00DF395E" w:rsidP="00DF395E">
      <w:pPr>
        <w:spacing w:after="0" w:line="480" w:lineRule="auto"/>
        <w:rPr>
          <w:rFonts w:ascii="Times New Roman" w:hAnsi="Times New Roman" w:cs="Times New Roman"/>
          <w:bCs/>
        </w:rPr>
      </w:pPr>
      <w:r>
        <w:rPr>
          <w:rFonts w:ascii="Times New Roman" w:hAnsi="Times New Roman" w:cs="Times New Roman"/>
          <w:bCs/>
          <w:vertAlign w:val="superscript"/>
        </w:rPr>
        <w:t>1</w:t>
      </w:r>
      <w:r>
        <w:rPr>
          <w:rFonts w:ascii="Times New Roman" w:hAnsi="Times New Roman" w:cs="Times New Roman"/>
          <w:bCs/>
        </w:rPr>
        <w:t>Division of Epidemiology, School of Public Health, University of California, Berkeley, Berkeley, CA, USA</w:t>
      </w:r>
    </w:p>
    <w:p w14:paraId="642A3502" w14:textId="77777777" w:rsidR="00DF395E" w:rsidRDefault="00DF395E" w:rsidP="00DF395E">
      <w:pPr>
        <w:spacing w:after="0" w:line="480" w:lineRule="auto"/>
        <w:rPr>
          <w:rFonts w:ascii="Times New Roman" w:hAnsi="Times New Roman" w:cs="Times New Roman"/>
          <w:bCs/>
        </w:rPr>
      </w:pPr>
      <w:r>
        <w:rPr>
          <w:rFonts w:ascii="Times New Roman" w:hAnsi="Times New Roman" w:cs="Times New Roman"/>
          <w:bCs/>
          <w:vertAlign w:val="superscript"/>
        </w:rPr>
        <w:t>2</w:t>
      </w:r>
      <w:r>
        <w:rPr>
          <w:rFonts w:ascii="Times New Roman" w:hAnsi="Times New Roman" w:cs="Times New Roman"/>
          <w:bCs/>
        </w:rPr>
        <w:t xml:space="preserve">Division of Chronic Disease Research Across the Lifecourse, Department of Population Medicine, Harvard Medical School and Harvard Pilgrim Health Care Institute, Boston, MA, USA </w:t>
      </w:r>
    </w:p>
    <w:p w14:paraId="42407DAB" w14:textId="77777777" w:rsidR="00DF395E" w:rsidRDefault="00DF395E" w:rsidP="00DF395E">
      <w:pPr>
        <w:spacing w:after="0" w:line="480" w:lineRule="auto"/>
        <w:rPr>
          <w:rFonts w:ascii="Times New Roman" w:hAnsi="Times New Roman" w:cs="Times New Roman"/>
          <w:bCs/>
        </w:rPr>
      </w:pPr>
      <w:r>
        <w:rPr>
          <w:rFonts w:ascii="Times New Roman" w:hAnsi="Times New Roman" w:cs="Times New Roman"/>
          <w:bCs/>
          <w:vertAlign w:val="superscript"/>
        </w:rPr>
        <w:t>3</w:t>
      </w:r>
      <w:r>
        <w:rPr>
          <w:rFonts w:ascii="Times New Roman" w:hAnsi="Times New Roman" w:cs="Times New Roman"/>
          <w:bCs/>
        </w:rPr>
        <w:t>Department of Environmental Medicine and Institute for Exposomic Research, Icahn School of Medicine at Mount Sinai, New York City, NY, USA</w:t>
      </w:r>
    </w:p>
    <w:p w14:paraId="3F21F132" w14:textId="77777777" w:rsidR="00DF395E" w:rsidRDefault="00DF395E" w:rsidP="00DF395E">
      <w:pPr>
        <w:spacing w:after="0" w:line="480" w:lineRule="auto"/>
        <w:rPr>
          <w:rFonts w:ascii="Times New Roman" w:hAnsi="Times New Roman" w:cs="Times New Roman"/>
        </w:rPr>
      </w:pPr>
      <w:r>
        <w:rPr>
          <w:rFonts w:ascii="Times New Roman" w:hAnsi="Times New Roman" w:cs="Times New Roman"/>
          <w:bCs/>
          <w:vertAlign w:val="superscript"/>
        </w:rPr>
        <w:t>4</w:t>
      </w:r>
      <w:r>
        <w:rPr>
          <w:rFonts w:ascii="Times New Roman" w:hAnsi="Times New Roman" w:cs="Times New Roman"/>
        </w:rPr>
        <w:t>Departments of Neurology and Psychiatry, Harvard Medical School, Boston, MA, USA</w:t>
      </w:r>
    </w:p>
    <w:p w14:paraId="142EF078" w14:textId="77777777" w:rsidR="00DF395E" w:rsidRDefault="00DF395E" w:rsidP="00DF395E">
      <w:pPr>
        <w:spacing w:after="0" w:line="480" w:lineRule="auto"/>
        <w:rPr>
          <w:rFonts w:ascii="Times New Roman" w:hAnsi="Times New Roman" w:cs="Times New Roman"/>
          <w:bCs/>
        </w:rPr>
      </w:pPr>
      <w:r>
        <w:rPr>
          <w:rFonts w:ascii="Times New Roman" w:hAnsi="Times New Roman" w:cs="Times New Roman"/>
          <w:bCs/>
          <w:vertAlign w:val="superscript"/>
        </w:rPr>
        <w:t>5</w:t>
      </w:r>
      <w:r>
        <w:rPr>
          <w:rFonts w:ascii="Times New Roman" w:hAnsi="Times New Roman" w:cs="Times New Roman"/>
          <w:bCs/>
        </w:rPr>
        <w:t>Department of Epidemiology and Population Health, Stanford University, Stanford, CA, USA</w:t>
      </w:r>
    </w:p>
    <w:p w14:paraId="67CBF53F" w14:textId="77777777" w:rsidR="00DF395E" w:rsidRDefault="00DF395E" w:rsidP="00DF395E">
      <w:pPr>
        <w:spacing w:after="0" w:line="480" w:lineRule="auto"/>
        <w:rPr>
          <w:rFonts w:ascii="Times New Roman" w:hAnsi="Times New Roman" w:cs="Times New Roman"/>
        </w:rPr>
      </w:pPr>
    </w:p>
    <w:p w14:paraId="168C60EF" w14:textId="77777777" w:rsidR="00DF395E" w:rsidRDefault="00DF395E" w:rsidP="00DF395E">
      <w:pPr>
        <w:spacing w:after="0" w:line="480" w:lineRule="auto"/>
        <w:rPr>
          <w:rFonts w:ascii="Times New Roman" w:hAnsi="Times New Roman" w:cs="Times New Roman"/>
          <w:b/>
          <w:bCs/>
        </w:rPr>
      </w:pPr>
      <w:r>
        <w:rPr>
          <w:rFonts w:ascii="Times New Roman" w:hAnsi="Times New Roman" w:cs="Times New Roman"/>
          <w:b/>
          <w:bCs/>
        </w:rPr>
        <w:t>*Corresponding author:</w:t>
      </w:r>
    </w:p>
    <w:p w14:paraId="226F6BA5" w14:textId="77777777" w:rsidR="00DF395E" w:rsidRDefault="00DF395E" w:rsidP="00DF395E">
      <w:pPr>
        <w:spacing w:after="0" w:line="480" w:lineRule="auto"/>
        <w:rPr>
          <w:rFonts w:ascii="Times New Roman" w:hAnsi="Times New Roman" w:cs="Times New Roman"/>
        </w:rPr>
      </w:pPr>
      <w:r>
        <w:rPr>
          <w:rFonts w:ascii="Times New Roman" w:hAnsi="Times New Roman" w:cs="Times New Roman"/>
        </w:rPr>
        <w:t>Andres Cardenas, PhD</w:t>
      </w:r>
    </w:p>
    <w:p w14:paraId="278162F9" w14:textId="77777777" w:rsidR="00DF395E" w:rsidRDefault="00DF395E" w:rsidP="00DF395E">
      <w:pPr>
        <w:spacing w:after="0" w:line="480" w:lineRule="auto"/>
        <w:rPr>
          <w:rFonts w:ascii="Times New Roman" w:hAnsi="Times New Roman" w:cs="Times New Roman"/>
        </w:rPr>
      </w:pPr>
      <w:r>
        <w:rPr>
          <w:rFonts w:ascii="Times New Roman" w:hAnsi="Times New Roman" w:cs="Times New Roman"/>
        </w:rPr>
        <w:t>Department of Epidemiology and Population Health</w:t>
      </w:r>
    </w:p>
    <w:p w14:paraId="29BEAF9E" w14:textId="77777777" w:rsidR="00DF395E" w:rsidRDefault="00DF395E" w:rsidP="00DF395E">
      <w:pPr>
        <w:spacing w:after="0" w:line="480" w:lineRule="auto"/>
        <w:rPr>
          <w:rFonts w:ascii="Times New Roman" w:hAnsi="Times New Roman" w:cs="Times New Roman"/>
        </w:rPr>
      </w:pPr>
      <w:r>
        <w:rPr>
          <w:rFonts w:ascii="Times New Roman" w:hAnsi="Times New Roman" w:cs="Times New Roman"/>
        </w:rPr>
        <w:t>Stanford University</w:t>
      </w:r>
    </w:p>
    <w:p w14:paraId="13640CFA" w14:textId="77777777" w:rsidR="00DF395E" w:rsidRDefault="00DF395E" w:rsidP="00DF395E">
      <w:pPr>
        <w:spacing w:after="0" w:line="480" w:lineRule="auto"/>
        <w:rPr>
          <w:rFonts w:ascii="Times New Roman" w:hAnsi="Times New Roman" w:cs="Times New Roman"/>
        </w:rPr>
      </w:pPr>
      <w:r>
        <w:rPr>
          <w:rFonts w:ascii="Times New Roman" w:hAnsi="Times New Roman" w:cs="Times New Roman"/>
        </w:rPr>
        <w:t>Stanford, CA 94305</w:t>
      </w:r>
    </w:p>
    <w:p w14:paraId="00529EBA" w14:textId="77777777" w:rsidR="00DF395E" w:rsidRDefault="00DF395E" w:rsidP="00DF395E">
      <w:pPr>
        <w:spacing w:after="0" w:line="480" w:lineRule="auto"/>
        <w:rPr>
          <w:rFonts w:ascii="Times New Roman" w:hAnsi="Times New Roman" w:cs="Times New Roman"/>
        </w:rPr>
      </w:pPr>
      <w:r>
        <w:rPr>
          <w:rFonts w:ascii="Times New Roman" w:hAnsi="Times New Roman" w:cs="Times New Roman"/>
        </w:rPr>
        <w:t>andresca@stanford.edu</w:t>
      </w:r>
    </w:p>
    <w:p w14:paraId="7C9FF91E" w14:textId="77777777" w:rsidR="00DF395E" w:rsidRPr="00D7716A" w:rsidRDefault="00DF395E" w:rsidP="00DF395E">
      <w:pPr>
        <w:spacing w:after="0" w:line="480" w:lineRule="auto"/>
        <w:rPr>
          <w:rStyle w:val="Emphasis"/>
          <w:rFonts w:ascii="Times New Roman" w:hAnsi="Times New Roman" w:cs="Times New Roman"/>
          <w:b/>
          <w:bCs/>
          <w:i w:val="0"/>
          <w:iCs w:val="0"/>
          <w:color w:val="000000"/>
          <w:shd w:val="clear" w:color="auto" w:fill="FFFFFF"/>
        </w:rPr>
      </w:pPr>
    </w:p>
    <w:sdt>
      <w:sdtPr>
        <w:rPr>
          <w:i/>
          <w:iCs/>
        </w:rPr>
        <w:id w:val="1608695930"/>
        <w:docPartObj>
          <w:docPartGallery w:val="Table of Contents"/>
          <w:docPartUnique/>
        </w:docPartObj>
      </w:sdtPr>
      <w:sdtEndPr>
        <w:rPr>
          <w:b/>
          <w:bCs/>
          <w:i w:val="0"/>
          <w:iCs w:val="0"/>
          <w:noProof/>
        </w:rPr>
      </w:sdtEndPr>
      <w:sdtContent>
        <w:p w14:paraId="1A33D057" w14:textId="77777777" w:rsidR="00DF395E" w:rsidRPr="006D40CA" w:rsidRDefault="00DF395E" w:rsidP="00DF395E">
          <w:pPr>
            <w:spacing w:after="0" w:line="480" w:lineRule="auto"/>
            <w:rPr>
              <w:rFonts w:ascii="Times New Roman" w:hAnsi="Times New Roman" w:cs="Times New Roman"/>
              <w:color w:val="000000"/>
              <w:shd w:val="clear" w:color="auto" w:fill="FFFFFF"/>
            </w:rPr>
          </w:pPr>
          <w:r w:rsidRPr="006D40CA">
            <w:rPr>
              <w:rFonts w:ascii="Times New Roman" w:hAnsi="Times New Roman" w:cs="Times New Roman"/>
              <w:b/>
              <w:bCs/>
            </w:rPr>
            <w:t>Table of Contents</w:t>
          </w:r>
        </w:p>
        <w:p w14:paraId="6C954E47" w14:textId="56F398A1" w:rsidR="00F03481" w:rsidRDefault="00DF395E">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53535171" w:history="1">
            <w:r w:rsidR="00F03481" w:rsidRPr="003D70AC">
              <w:rPr>
                <w:rStyle w:val="Hyperlink"/>
                <w:rFonts w:ascii="Times New Roman" w:hAnsi="Times New Roman" w:cs="Times New Roman"/>
                <w:noProof/>
              </w:rPr>
              <w:t>Table S1. Comparison of covariate distributions between early and mid-childhood analytic samples in a study of associations of early childhood (~3 years) erythrocyte metal concentrations with early and mid-childhood (~8 years) cognitive test scores, in the Project Viva pre-birth cohort, Boston, Massachusetts, USA.</w:t>
            </w:r>
            <w:r w:rsidR="00F03481">
              <w:rPr>
                <w:noProof/>
                <w:webHidden/>
              </w:rPr>
              <w:tab/>
            </w:r>
            <w:r w:rsidR="00F03481">
              <w:rPr>
                <w:noProof/>
                <w:webHidden/>
              </w:rPr>
              <w:fldChar w:fldCharType="begin"/>
            </w:r>
            <w:r w:rsidR="00F03481">
              <w:rPr>
                <w:noProof/>
                <w:webHidden/>
              </w:rPr>
              <w:instrText xml:space="preserve"> PAGEREF _Toc153535171 \h </w:instrText>
            </w:r>
            <w:r w:rsidR="00F03481">
              <w:rPr>
                <w:noProof/>
                <w:webHidden/>
              </w:rPr>
            </w:r>
            <w:r w:rsidR="00F03481">
              <w:rPr>
                <w:noProof/>
                <w:webHidden/>
              </w:rPr>
              <w:fldChar w:fldCharType="separate"/>
            </w:r>
            <w:r w:rsidR="00F03481">
              <w:rPr>
                <w:noProof/>
                <w:webHidden/>
              </w:rPr>
              <w:t>6</w:t>
            </w:r>
            <w:r w:rsidR="00F03481">
              <w:rPr>
                <w:noProof/>
                <w:webHidden/>
              </w:rPr>
              <w:fldChar w:fldCharType="end"/>
            </w:r>
          </w:hyperlink>
        </w:p>
        <w:p w14:paraId="36E8F3ED" w14:textId="5F9D663D" w:rsidR="00F03481" w:rsidRDefault="00F03481">
          <w:pPr>
            <w:pStyle w:val="TOC1"/>
            <w:tabs>
              <w:tab w:val="right" w:leader="dot" w:pos="9350"/>
            </w:tabs>
            <w:rPr>
              <w:rFonts w:eastAsiaTheme="minorEastAsia"/>
              <w:noProof/>
              <w:kern w:val="2"/>
              <w14:ligatures w14:val="standardContextual"/>
            </w:rPr>
          </w:pPr>
          <w:hyperlink w:anchor="_Toc153535172" w:history="1">
            <w:r w:rsidRPr="003D70AC">
              <w:rPr>
                <w:rStyle w:val="Hyperlink"/>
                <w:rFonts w:ascii="Times New Roman" w:hAnsi="Times New Roman" w:cs="Times New Roman"/>
                <w:noProof/>
              </w:rPr>
              <w:t>Table S2. Detection rates and distributions of early childhood (~3 years) erythrocyte metal concentrations in the Project Viva cohort, Boston, Massachusetts, USA (N=349).</w:t>
            </w:r>
            <w:r>
              <w:rPr>
                <w:noProof/>
                <w:webHidden/>
              </w:rPr>
              <w:tab/>
            </w:r>
            <w:r>
              <w:rPr>
                <w:noProof/>
                <w:webHidden/>
              </w:rPr>
              <w:fldChar w:fldCharType="begin"/>
            </w:r>
            <w:r>
              <w:rPr>
                <w:noProof/>
                <w:webHidden/>
              </w:rPr>
              <w:instrText xml:space="preserve"> PAGEREF _Toc153535172 \h </w:instrText>
            </w:r>
            <w:r>
              <w:rPr>
                <w:noProof/>
                <w:webHidden/>
              </w:rPr>
            </w:r>
            <w:r>
              <w:rPr>
                <w:noProof/>
                <w:webHidden/>
              </w:rPr>
              <w:fldChar w:fldCharType="separate"/>
            </w:r>
            <w:r>
              <w:rPr>
                <w:noProof/>
                <w:webHidden/>
              </w:rPr>
              <w:t>8</w:t>
            </w:r>
            <w:r>
              <w:rPr>
                <w:noProof/>
                <w:webHidden/>
              </w:rPr>
              <w:fldChar w:fldCharType="end"/>
            </w:r>
          </w:hyperlink>
        </w:p>
        <w:p w14:paraId="21E2A7C9" w14:textId="02FE14C3" w:rsidR="00F03481" w:rsidRDefault="00F03481">
          <w:pPr>
            <w:pStyle w:val="TOC1"/>
            <w:tabs>
              <w:tab w:val="right" w:leader="dot" w:pos="9350"/>
            </w:tabs>
            <w:rPr>
              <w:rFonts w:eastAsiaTheme="minorEastAsia"/>
              <w:noProof/>
              <w:kern w:val="2"/>
              <w14:ligatures w14:val="standardContextual"/>
            </w:rPr>
          </w:pPr>
          <w:hyperlink w:anchor="_Toc153535173" w:history="1">
            <w:r w:rsidRPr="003D70AC">
              <w:rPr>
                <w:rStyle w:val="Hyperlink"/>
                <w:rFonts w:ascii="Times New Roman" w:hAnsi="Times New Roman" w:cs="Times New Roman"/>
                <w:noProof/>
              </w:rPr>
              <w:t>Table S3. Measurement reliability statistics for well-detected (&gt;60%) early childhood (~3 years) erythrocyte metals, and comparisons to laboratory reference ranges and maternal first-trimester (~10 weeks) erythrocyte concentrations, in the Project Viva cohort, Boston, Massachusetts, USA.</w:t>
            </w:r>
            <w:r>
              <w:rPr>
                <w:noProof/>
                <w:webHidden/>
              </w:rPr>
              <w:tab/>
            </w:r>
            <w:r>
              <w:rPr>
                <w:noProof/>
                <w:webHidden/>
              </w:rPr>
              <w:fldChar w:fldCharType="begin"/>
            </w:r>
            <w:r>
              <w:rPr>
                <w:noProof/>
                <w:webHidden/>
              </w:rPr>
              <w:instrText xml:space="preserve"> PAGEREF _Toc153535173 \h </w:instrText>
            </w:r>
            <w:r>
              <w:rPr>
                <w:noProof/>
                <w:webHidden/>
              </w:rPr>
            </w:r>
            <w:r>
              <w:rPr>
                <w:noProof/>
                <w:webHidden/>
              </w:rPr>
              <w:fldChar w:fldCharType="separate"/>
            </w:r>
            <w:r>
              <w:rPr>
                <w:noProof/>
                <w:webHidden/>
              </w:rPr>
              <w:t>11</w:t>
            </w:r>
            <w:r>
              <w:rPr>
                <w:noProof/>
                <w:webHidden/>
              </w:rPr>
              <w:fldChar w:fldCharType="end"/>
            </w:r>
          </w:hyperlink>
        </w:p>
        <w:p w14:paraId="0F4B97F3" w14:textId="7BFF3ECA" w:rsidR="00F03481" w:rsidRDefault="00F03481">
          <w:pPr>
            <w:pStyle w:val="TOC1"/>
            <w:tabs>
              <w:tab w:val="right" w:leader="dot" w:pos="9350"/>
            </w:tabs>
            <w:rPr>
              <w:rFonts w:eastAsiaTheme="minorEastAsia"/>
              <w:noProof/>
              <w:kern w:val="2"/>
              <w14:ligatures w14:val="standardContextual"/>
            </w:rPr>
          </w:pPr>
          <w:hyperlink w:anchor="_Toc153535174" w:history="1">
            <w:r w:rsidRPr="003D70AC">
              <w:rPr>
                <w:rStyle w:val="Hyperlink"/>
                <w:rFonts w:ascii="Times New Roman" w:hAnsi="Times New Roman" w:cs="Times New Roman"/>
                <w:noProof/>
              </w:rPr>
              <w:t>Table S4. Tabular presentation of results from main text Figure 1: multivariable linear regression estimates and 95% confidence intervals of adjusted mean difference in early childhood (~3 years) cognitive test scores assessing visual-motor ability (WRAVMA) or receptive vocabulary (PPVT-III), associated with a doubling in early childhood erythrocyte concentration of a non-essential or essential metal.</w:t>
            </w:r>
            <w:r>
              <w:rPr>
                <w:noProof/>
                <w:webHidden/>
              </w:rPr>
              <w:tab/>
            </w:r>
            <w:r>
              <w:rPr>
                <w:noProof/>
                <w:webHidden/>
              </w:rPr>
              <w:fldChar w:fldCharType="begin"/>
            </w:r>
            <w:r>
              <w:rPr>
                <w:noProof/>
                <w:webHidden/>
              </w:rPr>
              <w:instrText xml:space="preserve"> PAGEREF _Toc153535174 \h </w:instrText>
            </w:r>
            <w:r>
              <w:rPr>
                <w:noProof/>
                <w:webHidden/>
              </w:rPr>
            </w:r>
            <w:r>
              <w:rPr>
                <w:noProof/>
                <w:webHidden/>
              </w:rPr>
              <w:fldChar w:fldCharType="separate"/>
            </w:r>
            <w:r>
              <w:rPr>
                <w:noProof/>
                <w:webHidden/>
              </w:rPr>
              <w:t>13</w:t>
            </w:r>
            <w:r>
              <w:rPr>
                <w:noProof/>
                <w:webHidden/>
              </w:rPr>
              <w:fldChar w:fldCharType="end"/>
            </w:r>
          </w:hyperlink>
        </w:p>
        <w:p w14:paraId="6210F528" w14:textId="50E3A979" w:rsidR="00F03481" w:rsidRDefault="00F03481">
          <w:pPr>
            <w:pStyle w:val="TOC1"/>
            <w:tabs>
              <w:tab w:val="right" w:leader="dot" w:pos="9350"/>
            </w:tabs>
            <w:rPr>
              <w:rFonts w:eastAsiaTheme="minorEastAsia"/>
              <w:noProof/>
              <w:kern w:val="2"/>
              <w14:ligatures w14:val="standardContextual"/>
            </w:rPr>
          </w:pPr>
          <w:hyperlink w:anchor="_Toc153535175" w:history="1">
            <w:r w:rsidRPr="003D70AC">
              <w:rPr>
                <w:rStyle w:val="Hyperlink"/>
                <w:rFonts w:ascii="Times New Roman" w:hAnsi="Times New Roman" w:cs="Times New Roman"/>
                <w:noProof/>
              </w:rPr>
              <w:t>Table S5. Tabular presentation of results from main text Figure 2: multivariable linear regression estimates and 95% confidence intervals of adjusted mean difference in mid-childhood (~8 years) cognitive test scores assessing visual memory (WRAML2), visual-motor ability (WRAVMA), crystallized intelligence (KBIT-II verbal), or fluid intelligence (KBIT-II non-verbal), associated with a doubling in early childhood (~3 years) erythrocyte concentration of a non-essential or essential metal.</w:t>
            </w:r>
            <w:r>
              <w:rPr>
                <w:noProof/>
                <w:webHidden/>
              </w:rPr>
              <w:tab/>
            </w:r>
            <w:r>
              <w:rPr>
                <w:noProof/>
                <w:webHidden/>
              </w:rPr>
              <w:fldChar w:fldCharType="begin"/>
            </w:r>
            <w:r>
              <w:rPr>
                <w:noProof/>
                <w:webHidden/>
              </w:rPr>
              <w:instrText xml:space="preserve"> PAGEREF _Toc153535175 \h </w:instrText>
            </w:r>
            <w:r>
              <w:rPr>
                <w:noProof/>
                <w:webHidden/>
              </w:rPr>
            </w:r>
            <w:r>
              <w:rPr>
                <w:noProof/>
                <w:webHidden/>
              </w:rPr>
              <w:fldChar w:fldCharType="separate"/>
            </w:r>
            <w:r>
              <w:rPr>
                <w:noProof/>
                <w:webHidden/>
              </w:rPr>
              <w:t>15</w:t>
            </w:r>
            <w:r>
              <w:rPr>
                <w:noProof/>
                <w:webHidden/>
              </w:rPr>
              <w:fldChar w:fldCharType="end"/>
            </w:r>
          </w:hyperlink>
        </w:p>
        <w:p w14:paraId="3F99DBFE" w14:textId="7BCB7125" w:rsidR="00F03481" w:rsidRDefault="00F03481">
          <w:pPr>
            <w:pStyle w:val="TOC1"/>
            <w:tabs>
              <w:tab w:val="right" w:leader="dot" w:pos="9350"/>
            </w:tabs>
            <w:rPr>
              <w:rFonts w:eastAsiaTheme="minorEastAsia"/>
              <w:noProof/>
              <w:kern w:val="2"/>
              <w14:ligatures w14:val="standardContextual"/>
            </w:rPr>
          </w:pPr>
          <w:hyperlink w:anchor="_Toc153535176" w:history="1">
            <w:r w:rsidRPr="003D70AC">
              <w:rPr>
                <w:rStyle w:val="Hyperlink"/>
                <w:rFonts w:ascii="Times New Roman" w:hAnsi="Times New Roman" w:cs="Times New Roman"/>
                <w:noProof/>
              </w:rPr>
              <w:t>Table S6. Estimates and 95% confidence intervals of adjusted mean difference in early childhood (~3 years) cognitive test scores assessing visual-motor ability (WRAVMA) or receptive vocabulary (PPVT-III), associated with a doubling in early childhood erythrocyte concentration of a non-essential or essential metal. Estimates are from multivariable linear regression models with adjustment for covariates, including first-trimester erythrocyte concentration, but no adjustment for other concurrently measured early childhood erythrocyte metals.</w:t>
            </w:r>
            <w:r>
              <w:rPr>
                <w:noProof/>
                <w:webHidden/>
              </w:rPr>
              <w:tab/>
            </w:r>
            <w:r>
              <w:rPr>
                <w:noProof/>
                <w:webHidden/>
              </w:rPr>
              <w:fldChar w:fldCharType="begin"/>
            </w:r>
            <w:r>
              <w:rPr>
                <w:noProof/>
                <w:webHidden/>
              </w:rPr>
              <w:instrText xml:space="preserve"> PAGEREF _Toc153535176 \h </w:instrText>
            </w:r>
            <w:r>
              <w:rPr>
                <w:noProof/>
                <w:webHidden/>
              </w:rPr>
            </w:r>
            <w:r>
              <w:rPr>
                <w:noProof/>
                <w:webHidden/>
              </w:rPr>
              <w:fldChar w:fldCharType="separate"/>
            </w:r>
            <w:r>
              <w:rPr>
                <w:noProof/>
                <w:webHidden/>
              </w:rPr>
              <w:t>18</w:t>
            </w:r>
            <w:r>
              <w:rPr>
                <w:noProof/>
                <w:webHidden/>
              </w:rPr>
              <w:fldChar w:fldCharType="end"/>
            </w:r>
          </w:hyperlink>
        </w:p>
        <w:p w14:paraId="0C997EA9" w14:textId="4FDBF2D6" w:rsidR="00F03481" w:rsidRDefault="00F03481">
          <w:pPr>
            <w:pStyle w:val="TOC1"/>
            <w:tabs>
              <w:tab w:val="right" w:leader="dot" w:pos="9350"/>
            </w:tabs>
            <w:rPr>
              <w:rFonts w:eastAsiaTheme="minorEastAsia"/>
              <w:noProof/>
              <w:kern w:val="2"/>
              <w14:ligatures w14:val="standardContextual"/>
            </w:rPr>
          </w:pPr>
          <w:hyperlink w:anchor="_Toc153535177" w:history="1">
            <w:r w:rsidRPr="003D70AC">
              <w:rPr>
                <w:rStyle w:val="Hyperlink"/>
                <w:rFonts w:ascii="Times New Roman" w:hAnsi="Times New Roman" w:cs="Times New Roman"/>
                <w:noProof/>
              </w:rPr>
              <w:t>Table S7. Estimates and 95% confidence intervals of adjusted mean difference in mid-childhood (~8 years)cognitive test scores assessing visual memory (WRAML2), visual-motor ability (WRAVMA), crystallized intelligence (KBIT-II verbal), or fluid intelligence (KBIT-II non-verbal), associated with a doubling in early childhood (~3 years) erythrocyte concentration of a non-essential or essential metal. Estimates are from multivariable linear regression models with adjustment for covariates, including first-trimester erythrocyte concentration, but no adjustment for other concurrently measured early childhood erythrocyte metals.</w:t>
            </w:r>
            <w:r>
              <w:rPr>
                <w:noProof/>
                <w:webHidden/>
              </w:rPr>
              <w:tab/>
            </w:r>
            <w:r>
              <w:rPr>
                <w:noProof/>
                <w:webHidden/>
              </w:rPr>
              <w:fldChar w:fldCharType="begin"/>
            </w:r>
            <w:r>
              <w:rPr>
                <w:noProof/>
                <w:webHidden/>
              </w:rPr>
              <w:instrText xml:space="preserve"> PAGEREF _Toc153535177 \h </w:instrText>
            </w:r>
            <w:r>
              <w:rPr>
                <w:noProof/>
                <w:webHidden/>
              </w:rPr>
            </w:r>
            <w:r>
              <w:rPr>
                <w:noProof/>
                <w:webHidden/>
              </w:rPr>
              <w:fldChar w:fldCharType="separate"/>
            </w:r>
            <w:r>
              <w:rPr>
                <w:noProof/>
                <w:webHidden/>
              </w:rPr>
              <w:t>20</w:t>
            </w:r>
            <w:r>
              <w:rPr>
                <w:noProof/>
                <w:webHidden/>
              </w:rPr>
              <w:fldChar w:fldCharType="end"/>
            </w:r>
          </w:hyperlink>
        </w:p>
        <w:p w14:paraId="779CD5A2" w14:textId="5F7423ED" w:rsidR="00F03481" w:rsidRDefault="00F03481">
          <w:pPr>
            <w:pStyle w:val="TOC1"/>
            <w:tabs>
              <w:tab w:val="right" w:leader="dot" w:pos="9350"/>
            </w:tabs>
            <w:rPr>
              <w:rFonts w:eastAsiaTheme="minorEastAsia"/>
              <w:noProof/>
              <w:kern w:val="2"/>
              <w14:ligatures w14:val="standardContextual"/>
            </w:rPr>
          </w:pPr>
          <w:hyperlink w:anchor="_Toc153535178" w:history="1">
            <w:r w:rsidRPr="003D70AC">
              <w:rPr>
                <w:rStyle w:val="Hyperlink"/>
                <w:rFonts w:ascii="Times New Roman" w:hAnsi="Times New Roman" w:cs="Times New Roman"/>
                <w:noProof/>
              </w:rPr>
              <w:t>Figure S1. Causal diagram for a study of the associations of early childhood (~3 years) erythrocyte concentrations of metals with child cognition in early and mid- (~8 years) childhood, in the Project Viva pre-birth cohort, Boston, Massachusetts, USA. PPVT-III: Peabody Picture Vocabulary Test, 3rd edition; WRAVMA: Wide Range Assessment of Visual Motor Abilities; WRAML2: Wide Range Assessment of Memory and Learning, 2nd edition; KBIT-II: Kaufman Brief Intelligence Test, 2nd edition.</w:t>
            </w:r>
            <w:r>
              <w:rPr>
                <w:noProof/>
                <w:webHidden/>
              </w:rPr>
              <w:tab/>
            </w:r>
            <w:r>
              <w:rPr>
                <w:noProof/>
                <w:webHidden/>
              </w:rPr>
              <w:fldChar w:fldCharType="begin"/>
            </w:r>
            <w:r>
              <w:rPr>
                <w:noProof/>
                <w:webHidden/>
              </w:rPr>
              <w:instrText xml:space="preserve"> PAGEREF _Toc153535178 \h </w:instrText>
            </w:r>
            <w:r>
              <w:rPr>
                <w:noProof/>
                <w:webHidden/>
              </w:rPr>
            </w:r>
            <w:r>
              <w:rPr>
                <w:noProof/>
                <w:webHidden/>
              </w:rPr>
              <w:fldChar w:fldCharType="separate"/>
            </w:r>
            <w:r>
              <w:rPr>
                <w:noProof/>
                <w:webHidden/>
              </w:rPr>
              <w:t>22</w:t>
            </w:r>
            <w:r>
              <w:rPr>
                <w:noProof/>
                <w:webHidden/>
              </w:rPr>
              <w:fldChar w:fldCharType="end"/>
            </w:r>
          </w:hyperlink>
        </w:p>
        <w:p w14:paraId="56BCA98D" w14:textId="60B58494" w:rsidR="00F03481" w:rsidRDefault="00F03481">
          <w:pPr>
            <w:pStyle w:val="TOC1"/>
            <w:tabs>
              <w:tab w:val="right" w:leader="dot" w:pos="9350"/>
            </w:tabs>
            <w:rPr>
              <w:rFonts w:eastAsiaTheme="minorEastAsia"/>
              <w:noProof/>
              <w:kern w:val="2"/>
              <w14:ligatures w14:val="standardContextual"/>
            </w:rPr>
          </w:pPr>
          <w:hyperlink w:anchor="_Toc153535179" w:history="1">
            <w:r w:rsidRPr="003D70AC">
              <w:rPr>
                <w:rStyle w:val="Hyperlink"/>
                <w:rFonts w:ascii="Times New Roman" w:hAnsi="Times New Roman" w:cs="Times New Roman"/>
                <w:noProof/>
              </w:rPr>
              <w:t>Figure S2. Flow diagram of participant selection from the Project Viva pre-birth cohort (Boston, Massachusetts, USA) for a study of associations of early childhood (~3 years) erythrocyte metal concentrations with child cognitive test scores at early and mid-childhood (~8 years).</w:t>
            </w:r>
            <w:r>
              <w:rPr>
                <w:noProof/>
                <w:webHidden/>
              </w:rPr>
              <w:tab/>
            </w:r>
            <w:r>
              <w:rPr>
                <w:noProof/>
                <w:webHidden/>
              </w:rPr>
              <w:fldChar w:fldCharType="begin"/>
            </w:r>
            <w:r>
              <w:rPr>
                <w:noProof/>
                <w:webHidden/>
              </w:rPr>
              <w:instrText xml:space="preserve"> PAGEREF _Toc153535179 \h </w:instrText>
            </w:r>
            <w:r>
              <w:rPr>
                <w:noProof/>
                <w:webHidden/>
              </w:rPr>
            </w:r>
            <w:r>
              <w:rPr>
                <w:noProof/>
                <w:webHidden/>
              </w:rPr>
              <w:fldChar w:fldCharType="separate"/>
            </w:r>
            <w:r>
              <w:rPr>
                <w:noProof/>
                <w:webHidden/>
              </w:rPr>
              <w:t>23</w:t>
            </w:r>
            <w:r>
              <w:rPr>
                <w:noProof/>
                <w:webHidden/>
              </w:rPr>
              <w:fldChar w:fldCharType="end"/>
            </w:r>
          </w:hyperlink>
        </w:p>
        <w:p w14:paraId="1EC17040" w14:textId="47031FDA" w:rsidR="00F03481" w:rsidRDefault="00F03481">
          <w:pPr>
            <w:pStyle w:val="TOC1"/>
            <w:tabs>
              <w:tab w:val="right" w:leader="dot" w:pos="9350"/>
            </w:tabs>
            <w:rPr>
              <w:rFonts w:eastAsiaTheme="minorEastAsia"/>
              <w:noProof/>
              <w:kern w:val="2"/>
              <w14:ligatures w14:val="standardContextual"/>
            </w:rPr>
          </w:pPr>
          <w:hyperlink w:anchor="_Toc153535180" w:history="1">
            <w:r w:rsidRPr="003D70AC">
              <w:rPr>
                <w:rStyle w:val="Hyperlink"/>
                <w:rFonts w:ascii="Times New Roman" w:hAnsi="Times New Roman" w:cs="Times New Roman"/>
                <w:noProof/>
              </w:rPr>
              <w:t>Figure S3. Spearman correlation coefficients among early childhood (~3 years) erythrocyte concentrations of well-detected (&gt;60%) non-essential (arsenic (As), barium (Ba), cadmium (Cd), cesium (Cs), mercury (Hg), lead (Pb), tin (Sn), and strontium (Sr)) and essential (cobalt (Co), copper (Cu), magnesium (Mg), manganese (Mn), molybdenum (Mo), selenium (Se), and zinc (Zn)) metals, in the Project Viva pre-birth cohort, Boston, Massachusetts, USA (N=349).</w:t>
            </w:r>
            <w:r>
              <w:rPr>
                <w:noProof/>
                <w:webHidden/>
              </w:rPr>
              <w:tab/>
            </w:r>
            <w:r>
              <w:rPr>
                <w:noProof/>
                <w:webHidden/>
              </w:rPr>
              <w:fldChar w:fldCharType="begin"/>
            </w:r>
            <w:r>
              <w:rPr>
                <w:noProof/>
                <w:webHidden/>
              </w:rPr>
              <w:instrText xml:space="preserve"> PAGEREF _Toc153535180 \h </w:instrText>
            </w:r>
            <w:r>
              <w:rPr>
                <w:noProof/>
                <w:webHidden/>
              </w:rPr>
            </w:r>
            <w:r>
              <w:rPr>
                <w:noProof/>
                <w:webHidden/>
              </w:rPr>
              <w:fldChar w:fldCharType="separate"/>
            </w:r>
            <w:r>
              <w:rPr>
                <w:noProof/>
                <w:webHidden/>
              </w:rPr>
              <w:t>24</w:t>
            </w:r>
            <w:r>
              <w:rPr>
                <w:noProof/>
                <w:webHidden/>
              </w:rPr>
              <w:fldChar w:fldCharType="end"/>
            </w:r>
          </w:hyperlink>
        </w:p>
        <w:p w14:paraId="7DFBFB8C" w14:textId="41B7E04F" w:rsidR="00F03481" w:rsidRDefault="00F03481">
          <w:pPr>
            <w:pStyle w:val="TOC1"/>
            <w:tabs>
              <w:tab w:val="right" w:leader="dot" w:pos="9350"/>
            </w:tabs>
            <w:rPr>
              <w:rFonts w:eastAsiaTheme="minorEastAsia"/>
              <w:noProof/>
              <w:kern w:val="2"/>
              <w14:ligatures w14:val="standardContextual"/>
            </w:rPr>
          </w:pPr>
          <w:hyperlink w:anchor="_Toc153535181" w:history="1">
            <w:r w:rsidRPr="003D70AC">
              <w:rPr>
                <w:rStyle w:val="Hyperlink"/>
                <w:rFonts w:ascii="Times New Roman" w:hAnsi="Times New Roman" w:cs="Times New Roman"/>
                <w:noProof/>
              </w:rPr>
              <w:t>Figure S4. Pearson correlation coefficients between child cognitive test scores in early (~3 years) and mid- (~8 years) childhood in the Project Viva pre-birth cohort, Boston, Massachusetts, USA (N=349 children). In early childhood, receptive vocabulary (Peabody Picture Vocabulary Test, 3rd edition (PPTV-III)) and visual-motor ability (Wide Range Assessment of Visual Motor Abilities (WRAVMA)) were assessed, and in mid-childhood, visual memory (Wide Range Assessment of Memory and Learning, 2nd edition (WRAML2)), visual-motor ability (WRAVMA visual-motor subtest), fluid intelligence (Kaufman Brief Intelligence Test, 2nd edition (KBIT-II) non-verbal component), and crystallized intelligence (KBIT-II verbal component) were assessed. ECH: early childhood visit (~3 years); MCH: mid-childhood visit (~8 years).</w:t>
            </w:r>
            <w:r>
              <w:rPr>
                <w:noProof/>
                <w:webHidden/>
              </w:rPr>
              <w:tab/>
            </w:r>
            <w:r>
              <w:rPr>
                <w:noProof/>
                <w:webHidden/>
              </w:rPr>
              <w:fldChar w:fldCharType="begin"/>
            </w:r>
            <w:r>
              <w:rPr>
                <w:noProof/>
                <w:webHidden/>
              </w:rPr>
              <w:instrText xml:space="preserve"> PAGEREF _Toc153535181 \h </w:instrText>
            </w:r>
            <w:r>
              <w:rPr>
                <w:noProof/>
                <w:webHidden/>
              </w:rPr>
            </w:r>
            <w:r>
              <w:rPr>
                <w:noProof/>
                <w:webHidden/>
              </w:rPr>
              <w:fldChar w:fldCharType="separate"/>
            </w:r>
            <w:r>
              <w:rPr>
                <w:noProof/>
                <w:webHidden/>
              </w:rPr>
              <w:t>25</w:t>
            </w:r>
            <w:r>
              <w:rPr>
                <w:noProof/>
                <w:webHidden/>
              </w:rPr>
              <w:fldChar w:fldCharType="end"/>
            </w:r>
          </w:hyperlink>
        </w:p>
        <w:p w14:paraId="46EE21D2" w14:textId="477EDAF8" w:rsidR="00F03481" w:rsidRDefault="00F03481">
          <w:pPr>
            <w:pStyle w:val="TOC1"/>
            <w:tabs>
              <w:tab w:val="right" w:leader="dot" w:pos="9350"/>
            </w:tabs>
            <w:rPr>
              <w:rFonts w:eastAsiaTheme="minorEastAsia"/>
              <w:noProof/>
              <w:kern w:val="2"/>
              <w14:ligatures w14:val="standardContextual"/>
            </w:rPr>
          </w:pPr>
          <w:hyperlink w:anchor="_Toc153535182" w:history="1">
            <w:r w:rsidRPr="003D70AC">
              <w:rPr>
                <w:rStyle w:val="Hyperlink"/>
                <w:rFonts w:ascii="Times New Roman" w:hAnsi="Times New Roman" w:cs="Times New Roman"/>
                <w:noProof/>
              </w:rPr>
              <w:t>Figure S5. Quantile g-computation estimates and 95% confidence intervals of adjusted mean difference in early childhood cognitive test scores for each quartile increase in early childhood erythrocyte concentration of a mixture of non-essential (As, Ba, Cd, Cs, Hg, Pb, Sn, and Sr) (A) or essential (Co, Cu, Mg, Mn, Mo, Se, and Zn) (B) metals. Cognitive tests assessed visual-motor function (WRAVMA) or receptive vocabulary (PPVT-III). WRAVMA is composed of three subtests assessing visual-motor, fine motor, and visual spatial abilities, which are combined to create a summary score. Mixture component point estimates are provided to the right of the point estimates and intervals. Models adjusted for child race and ethnicity, fish consumption, daycare attendance, breastfeeding duration, household income, maternal KBIT-II composite score at mid-childhood visit, education, marital status, age at enrollment, maternal first-trimester erythrocyte concentrations of metals in the mixture, and early childhood erythrocyte concentrations of metals in the other mixture (e.g. non-essential metal mixture estimate is adjusted for essential metal mixture). WRAVMA: Wide Range Assessment of Visual Motor Abilities; PPVT-III: Peabody Picture Vocabulary Test, 3rd edition.</w:t>
            </w:r>
            <w:r>
              <w:rPr>
                <w:noProof/>
                <w:webHidden/>
              </w:rPr>
              <w:tab/>
            </w:r>
            <w:r>
              <w:rPr>
                <w:noProof/>
                <w:webHidden/>
              </w:rPr>
              <w:fldChar w:fldCharType="begin"/>
            </w:r>
            <w:r>
              <w:rPr>
                <w:noProof/>
                <w:webHidden/>
              </w:rPr>
              <w:instrText xml:space="preserve"> PAGEREF _Toc153535182 \h </w:instrText>
            </w:r>
            <w:r>
              <w:rPr>
                <w:noProof/>
                <w:webHidden/>
              </w:rPr>
            </w:r>
            <w:r>
              <w:rPr>
                <w:noProof/>
                <w:webHidden/>
              </w:rPr>
              <w:fldChar w:fldCharType="separate"/>
            </w:r>
            <w:r>
              <w:rPr>
                <w:noProof/>
                <w:webHidden/>
              </w:rPr>
              <w:t>27</w:t>
            </w:r>
            <w:r>
              <w:rPr>
                <w:noProof/>
                <w:webHidden/>
              </w:rPr>
              <w:fldChar w:fldCharType="end"/>
            </w:r>
          </w:hyperlink>
        </w:p>
        <w:p w14:paraId="389447C9" w14:textId="1417FA3D" w:rsidR="00F03481" w:rsidRDefault="00F03481">
          <w:pPr>
            <w:pStyle w:val="TOC1"/>
            <w:tabs>
              <w:tab w:val="right" w:leader="dot" w:pos="9350"/>
            </w:tabs>
            <w:rPr>
              <w:rFonts w:eastAsiaTheme="minorEastAsia"/>
              <w:noProof/>
              <w:kern w:val="2"/>
              <w14:ligatures w14:val="standardContextual"/>
            </w:rPr>
          </w:pPr>
          <w:hyperlink w:anchor="_Toc153535183" w:history="1">
            <w:r w:rsidRPr="003D70AC">
              <w:rPr>
                <w:rStyle w:val="Hyperlink"/>
                <w:rFonts w:ascii="Times New Roman" w:hAnsi="Times New Roman" w:cs="Times New Roman"/>
                <w:noProof/>
              </w:rPr>
              <w:t>Figure S6. Concentration-response functions for the associations of early childhood (~3 years) erythrocyte concentrations of each of nine non-essential (As, Ba, Cd, Cs, Hg, Pb, Sn, Sr) and six essential metals (Co, Cu, Mg, Mn, Mo, Se, Zn) (top horizontal axis) with early childhood (~3 years) visual-motor function (WRAVMA summary)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WRAVMA: Wide Range Assessment of Visual Motor Abilities.</w:t>
            </w:r>
            <w:r>
              <w:rPr>
                <w:noProof/>
                <w:webHidden/>
              </w:rPr>
              <w:tab/>
            </w:r>
            <w:r>
              <w:rPr>
                <w:noProof/>
                <w:webHidden/>
              </w:rPr>
              <w:fldChar w:fldCharType="begin"/>
            </w:r>
            <w:r>
              <w:rPr>
                <w:noProof/>
                <w:webHidden/>
              </w:rPr>
              <w:instrText xml:space="preserve"> PAGEREF _Toc153535183 \h </w:instrText>
            </w:r>
            <w:r>
              <w:rPr>
                <w:noProof/>
                <w:webHidden/>
              </w:rPr>
            </w:r>
            <w:r>
              <w:rPr>
                <w:noProof/>
                <w:webHidden/>
              </w:rPr>
              <w:fldChar w:fldCharType="separate"/>
            </w:r>
            <w:r>
              <w:rPr>
                <w:noProof/>
                <w:webHidden/>
              </w:rPr>
              <w:t>28</w:t>
            </w:r>
            <w:r>
              <w:rPr>
                <w:noProof/>
                <w:webHidden/>
              </w:rPr>
              <w:fldChar w:fldCharType="end"/>
            </w:r>
          </w:hyperlink>
        </w:p>
        <w:p w14:paraId="2B92C356" w14:textId="13075854" w:rsidR="00F03481" w:rsidRDefault="00F03481">
          <w:pPr>
            <w:pStyle w:val="TOC1"/>
            <w:tabs>
              <w:tab w:val="right" w:leader="dot" w:pos="9350"/>
            </w:tabs>
            <w:rPr>
              <w:rFonts w:eastAsiaTheme="minorEastAsia"/>
              <w:noProof/>
              <w:kern w:val="2"/>
              <w14:ligatures w14:val="standardContextual"/>
            </w:rPr>
          </w:pPr>
          <w:hyperlink w:anchor="_Toc153535184" w:history="1">
            <w:r w:rsidRPr="003D70AC">
              <w:rPr>
                <w:rStyle w:val="Hyperlink"/>
                <w:rFonts w:ascii="Times New Roman" w:hAnsi="Times New Roman" w:cs="Times New Roman"/>
                <w:noProof/>
              </w:rPr>
              <w:t xml:space="preserve">Figure S7. Concentration-response functions for the associations of early childhood (~3 years) erythrocyte concentrations of each of nine non-essential (As, Ba, Cd, Cs, Hg, Pb, Sn, Sr) and six essential metals (Co, Cu, Mg, Mn, Mo, Se, Zn) (top horizontal axis) with early childhood (~3 years) receptive vocabulary (PPVT-III) cognitive test scores, stratified by the 10th, 50th, or 90th percentile of each other metal (right vertical axis), from Bayesian kernel machine regression </w:t>
            </w:r>
            <w:r w:rsidRPr="003D70AC">
              <w:rPr>
                <w:rStyle w:val="Hyperlink"/>
                <w:rFonts w:ascii="Times New Roman" w:hAnsi="Times New Roman" w:cs="Times New Roman"/>
                <w:noProof/>
              </w:rPr>
              <w:lastRenderedPageBreak/>
              <w:t>models. All other components were fixed at their medians. Variation in the shape of the functions across quantiles of other metals indicates interaction. PPVT-III: Peabody Picture Vocabulary Test, 3rd edition.</w:t>
            </w:r>
            <w:r>
              <w:rPr>
                <w:noProof/>
                <w:webHidden/>
              </w:rPr>
              <w:tab/>
            </w:r>
            <w:r>
              <w:rPr>
                <w:noProof/>
                <w:webHidden/>
              </w:rPr>
              <w:fldChar w:fldCharType="begin"/>
            </w:r>
            <w:r>
              <w:rPr>
                <w:noProof/>
                <w:webHidden/>
              </w:rPr>
              <w:instrText xml:space="preserve"> PAGEREF _Toc153535184 \h </w:instrText>
            </w:r>
            <w:r>
              <w:rPr>
                <w:noProof/>
                <w:webHidden/>
              </w:rPr>
            </w:r>
            <w:r>
              <w:rPr>
                <w:noProof/>
                <w:webHidden/>
              </w:rPr>
              <w:fldChar w:fldCharType="separate"/>
            </w:r>
            <w:r>
              <w:rPr>
                <w:noProof/>
                <w:webHidden/>
              </w:rPr>
              <w:t>29</w:t>
            </w:r>
            <w:r>
              <w:rPr>
                <w:noProof/>
                <w:webHidden/>
              </w:rPr>
              <w:fldChar w:fldCharType="end"/>
            </w:r>
          </w:hyperlink>
        </w:p>
        <w:p w14:paraId="385C8180" w14:textId="515A179C" w:rsidR="00F03481" w:rsidRDefault="00F03481">
          <w:pPr>
            <w:pStyle w:val="TOC1"/>
            <w:tabs>
              <w:tab w:val="right" w:leader="dot" w:pos="9350"/>
            </w:tabs>
            <w:rPr>
              <w:rFonts w:eastAsiaTheme="minorEastAsia"/>
              <w:noProof/>
              <w:kern w:val="2"/>
              <w14:ligatures w14:val="standardContextual"/>
            </w:rPr>
          </w:pPr>
          <w:hyperlink w:anchor="_Toc153535185" w:history="1">
            <w:r w:rsidRPr="003D70AC">
              <w:rPr>
                <w:rStyle w:val="Hyperlink"/>
                <w:rFonts w:ascii="Times New Roman" w:hAnsi="Times New Roman" w:cs="Times New Roman"/>
                <w:noProof/>
              </w:rPr>
              <w:t>Figure S8. Concentration-response functions for the associations of early childhood (~3 years) erythrocyte concentrations of each of nine non-essential (As, Ba, Cd, Cs, Hg, Pb, Sn, Sr) and six essential metals (Co, Cu, Mg, Mn, Mo, Se, Zn) (top horizontal axis) with mid-childhood (~8 years) visual memory (WRAML2)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WRAML2: Wide Range Assessment of Memory and Learning, 2nd edition.</w:t>
            </w:r>
            <w:r>
              <w:rPr>
                <w:noProof/>
                <w:webHidden/>
              </w:rPr>
              <w:tab/>
            </w:r>
            <w:r>
              <w:rPr>
                <w:noProof/>
                <w:webHidden/>
              </w:rPr>
              <w:fldChar w:fldCharType="begin"/>
            </w:r>
            <w:r>
              <w:rPr>
                <w:noProof/>
                <w:webHidden/>
              </w:rPr>
              <w:instrText xml:space="preserve"> PAGEREF _Toc153535185 \h </w:instrText>
            </w:r>
            <w:r>
              <w:rPr>
                <w:noProof/>
                <w:webHidden/>
              </w:rPr>
            </w:r>
            <w:r>
              <w:rPr>
                <w:noProof/>
                <w:webHidden/>
              </w:rPr>
              <w:fldChar w:fldCharType="separate"/>
            </w:r>
            <w:r>
              <w:rPr>
                <w:noProof/>
                <w:webHidden/>
              </w:rPr>
              <w:t>30</w:t>
            </w:r>
            <w:r>
              <w:rPr>
                <w:noProof/>
                <w:webHidden/>
              </w:rPr>
              <w:fldChar w:fldCharType="end"/>
            </w:r>
          </w:hyperlink>
        </w:p>
        <w:p w14:paraId="4FE0DB5F" w14:textId="4FD7002A" w:rsidR="00F03481" w:rsidRDefault="00F03481">
          <w:pPr>
            <w:pStyle w:val="TOC1"/>
            <w:tabs>
              <w:tab w:val="right" w:leader="dot" w:pos="9350"/>
            </w:tabs>
            <w:rPr>
              <w:rFonts w:eastAsiaTheme="minorEastAsia"/>
              <w:noProof/>
              <w:kern w:val="2"/>
              <w14:ligatures w14:val="standardContextual"/>
            </w:rPr>
          </w:pPr>
          <w:hyperlink w:anchor="_Toc153535186" w:history="1">
            <w:r w:rsidRPr="003D70AC">
              <w:rPr>
                <w:rStyle w:val="Hyperlink"/>
                <w:rFonts w:ascii="Times New Roman" w:hAnsi="Times New Roman" w:cs="Times New Roman"/>
                <w:noProof/>
              </w:rPr>
              <w:t>Figure S9. Concentration-response functions for the associations of early childhood (~3 years) erythrocyte concentrations of each of nine non-essential (As, Ba, Cd, Cs, Hg, Pb, Sn, Sr) and six essential metals (Co, Cu, Mg, Mn, Mo, Se, Zn) (top horizontal axis) with mid-childhood (~8 years) visual-motor (WRAVMA visual-motor subtest)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WRAVMA: Wide Range Assessment of Visual-Motor Function.</w:t>
            </w:r>
            <w:r>
              <w:rPr>
                <w:noProof/>
                <w:webHidden/>
              </w:rPr>
              <w:tab/>
            </w:r>
            <w:r>
              <w:rPr>
                <w:noProof/>
                <w:webHidden/>
              </w:rPr>
              <w:fldChar w:fldCharType="begin"/>
            </w:r>
            <w:r>
              <w:rPr>
                <w:noProof/>
                <w:webHidden/>
              </w:rPr>
              <w:instrText xml:space="preserve"> PAGEREF _Toc153535186 \h </w:instrText>
            </w:r>
            <w:r>
              <w:rPr>
                <w:noProof/>
                <w:webHidden/>
              </w:rPr>
            </w:r>
            <w:r>
              <w:rPr>
                <w:noProof/>
                <w:webHidden/>
              </w:rPr>
              <w:fldChar w:fldCharType="separate"/>
            </w:r>
            <w:r>
              <w:rPr>
                <w:noProof/>
                <w:webHidden/>
              </w:rPr>
              <w:t>31</w:t>
            </w:r>
            <w:r>
              <w:rPr>
                <w:noProof/>
                <w:webHidden/>
              </w:rPr>
              <w:fldChar w:fldCharType="end"/>
            </w:r>
          </w:hyperlink>
        </w:p>
        <w:p w14:paraId="004CBD7B" w14:textId="16CB87A9" w:rsidR="00F03481" w:rsidRDefault="00F03481">
          <w:pPr>
            <w:pStyle w:val="TOC1"/>
            <w:tabs>
              <w:tab w:val="right" w:leader="dot" w:pos="9350"/>
            </w:tabs>
            <w:rPr>
              <w:rFonts w:eastAsiaTheme="minorEastAsia"/>
              <w:noProof/>
              <w:kern w:val="2"/>
              <w14:ligatures w14:val="standardContextual"/>
            </w:rPr>
          </w:pPr>
          <w:hyperlink w:anchor="_Toc153535187" w:history="1">
            <w:r w:rsidRPr="003D70AC">
              <w:rPr>
                <w:rStyle w:val="Hyperlink"/>
                <w:rFonts w:ascii="Times New Roman" w:hAnsi="Times New Roman" w:cs="Times New Roman"/>
                <w:noProof/>
              </w:rPr>
              <w:t>Figure S10. Concentration-response functions for the associations of early childhood (~3 years) erythrocyte concentrations of each of nine non-essential (As, Ba, Cd, Cs, Hg, Pb, Sn, Sr) and six essential metals (Co, Cu, Mg, Mn, Mo, Se, Zn) (top horizontal axis) with mid-childhood (~8 years) crystallized intelligence (KBIT-II verbal)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KBIT-II: Kaufman Brief Intelligence Test, 2nd edition.</w:t>
            </w:r>
            <w:r>
              <w:rPr>
                <w:noProof/>
                <w:webHidden/>
              </w:rPr>
              <w:tab/>
            </w:r>
            <w:r>
              <w:rPr>
                <w:noProof/>
                <w:webHidden/>
              </w:rPr>
              <w:fldChar w:fldCharType="begin"/>
            </w:r>
            <w:r>
              <w:rPr>
                <w:noProof/>
                <w:webHidden/>
              </w:rPr>
              <w:instrText xml:space="preserve"> PAGEREF _Toc153535187 \h </w:instrText>
            </w:r>
            <w:r>
              <w:rPr>
                <w:noProof/>
                <w:webHidden/>
              </w:rPr>
            </w:r>
            <w:r>
              <w:rPr>
                <w:noProof/>
                <w:webHidden/>
              </w:rPr>
              <w:fldChar w:fldCharType="separate"/>
            </w:r>
            <w:r>
              <w:rPr>
                <w:noProof/>
                <w:webHidden/>
              </w:rPr>
              <w:t>32</w:t>
            </w:r>
            <w:r>
              <w:rPr>
                <w:noProof/>
                <w:webHidden/>
              </w:rPr>
              <w:fldChar w:fldCharType="end"/>
            </w:r>
          </w:hyperlink>
        </w:p>
        <w:p w14:paraId="1B0DD5BA" w14:textId="57EEBC9E" w:rsidR="00F03481" w:rsidRDefault="00F03481">
          <w:pPr>
            <w:pStyle w:val="TOC1"/>
            <w:tabs>
              <w:tab w:val="right" w:leader="dot" w:pos="9350"/>
            </w:tabs>
            <w:rPr>
              <w:rFonts w:eastAsiaTheme="minorEastAsia"/>
              <w:noProof/>
              <w:kern w:val="2"/>
              <w14:ligatures w14:val="standardContextual"/>
            </w:rPr>
          </w:pPr>
          <w:hyperlink w:anchor="_Toc153535188" w:history="1">
            <w:r w:rsidRPr="003D70AC">
              <w:rPr>
                <w:rStyle w:val="Hyperlink"/>
                <w:rFonts w:ascii="Times New Roman" w:hAnsi="Times New Roman" w:cs="Times New Roman"/>
                <w:noProof/>
              </w:rPr>
              <w:t>Figure S11. Concentration-response functions for the associations of early childhood (~3 years) erythrocyte concentrations of each of nine non-essential (As, Ba, Cd, Cs, Hg, Pb, Sn, Sr) and six essential metals (Co, Cu, Mg, Mn, Mo, Se, Zn) (top horizontal axis) with mid-childhood (~8 years) fluid intelligence (KBIT-II non-verbal)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KBIT-II: Kaufman Brief Intelligence Test, 2nd edition.</w:t>
            </w:r>
            <w:r>
              <w:rPr>
                <w:noProof/>
                <w:webHidden/>
              </w:rPr>
              <w:tab/>
            </w:r>
            <w:r>
              <w:rPr>
                <w:noProof/>
                <w:webHidden/>
              </w:rPr>
              <w:fldChar w:fldCharType="begin"/>
            </w:r>
            <w:r>
              <w:rPr>
                <w:noProof/>
                <w:webHidden/>
              </w:rPr>
              <w:instrText xml:space="preserve"> PAGEREF _Toc153535188 \h </w:instrText>
            </w:r>
            <w:r>
              <w:rPr>
                <w:noProof/>
                <w:webHidden/>
              </w:rPr>
            </w:r>
            <w:r>
              <w:rPr>
                <w:noProof/>
                <w:webHidden/>
              </w:rPr>
              <w:fldChar w:fldCharType="separate"/>
            </w:r>
            <w:r>
              <w:rPr>
                <w:noProof/>
                <w:webHidden/>
              </w:rPr>
              <w:t>33</w:t>
            </w:r>
            <w:r>
              <w:rPr>
                <w:noProof/>
                <w:webHidden/>
              </w:rPr>
              <w:fldChar w:fldCharType="end"/>
            </w:r>
          </w:hyperlink>
        </w:p>
        <w:p w14:paraId="7CCD0354" w14:textId="2D9F1CE8" w:rsidR="00F03481" w:rsidRDefault="00F03481">
          <w:pPr>
            <w:pStyle w:val="TOC1"/>
            <w:tabs>
              <w:tab w:val="right" w:leader="dot" w:pos="9350"/>
            </w:tabs>
            <w:rPr>
              <w:rFonts w:eastAsiaTheme="minorEastAsia"/>
              <w:noProof/>
              <w:kern w:val="2"/>
              <w14:ligatures w14:val="standardContextual"/>
            </w:rPr>
          </w:pPr>
          <w:hyperlink w:anchor="_Toc153535189" w:history="1">
            <w:r w:rsidRPr="003D70AC">
              <w:rPr>
                <w:rStyle w:val="Hyperlink"/>
                <w:rFonts w:ascii="Times New Roman" w:hAnsi="Times New Roman" w:cs="Times New Roman"/>
                <w:noProof/>
              </w:rPr>
              <w:t xml:space="preserve">Figure S12. Sensitivity analyses of adjusted mean difference in early childhood (~3 years) (A) and mid-childhood (~8 years) (B) cognitive test scores and 95% confidence intervals per doubling of early childhood erythrocyte concentration of non-essential metals. Reference model (“Ref.”) is a multivariable linear regression model adjusting for child race and ethnicity, fish consumption, daycare attendance, breastfeeding duration, household income, maternal intelligence (PPVT-III for early childhood visit; KBIT-II composite for mid-childhood visit), education, marital status, age at enrollment, early childhood erythrocyte concentrations of all other metals, and maternal first-trimester erythrocyte concentration of the metal. Estimates and intervals for each metal present, from left to right: Ref.; Ref. with additional adjustment for Youth Healthy Eating Index; Ref. with additional adjustment for presence of household </w:t>
            </w:r>
            <w:r w:rsidRPr="003D70AC">
              <w:rPr>
                <w:rStyle w:val="Hyperlink"/>
                <w:rFonts w:ascii="Times New Roman" w:hAnsi="Times New Roman" w:cs="Times New Roman"/>
                <w:noProof/>
              </w:rPr>
              <w:lastRenderedPageBreak/>
              <w:t>smoking; and Ref. with removal of other early childhood metals from the model. KBIT-II: Kaufman Brief Intelligence Test, 2nd edition; PPVT-III: Peabody Picture Vocabulary Test, 3rd edition; WRAVMA: Wide Range Assessment of Visual Motor Abilities; WRAML2: Wide Range Assessment of Memory and Learning, 2nd edition; YHEI: Youth Healthy Eating Index.</w:t>
            </w:r>
            <w:r>
              <w:rPr>
                <w:noProof/>
                <w:webHidden/>
              </w:rPr>
              <w:tab/>
            </w:r>
            <w:r>
              <w:rPr>
                <w:noProof/>
                <w:webHidden/>
              </w:rPr>
              <w:fldChar w:fldCharType="begin"/>
            </w:r>
            <w:r>
              <w:rPr>
                <w:noProof/>
                <w:webHidden/>
              </w:rPr>
              <w:instrText xml:space="preserve"> PAGEREF _Toc153535189 \h </w:instrText>
            </w:r>
            <w:r>
              <w:rPr>
                <w:noProof/>
                <w:webHidden/>
              </w:rPr>
            </w:r>
            <w:r>
              <w:rPr>
                <w:noProof/>
                <w:webHidden/>
              </w:rPr>
              <w:fldChar w:fldCharType="separate"/>
            </w:r>
            <w:r>
              <w:rPr>
                <w:noProof/>
                <w:webHidden/>
              </w:rPr>
              <w:t>34</w:t>
            </w:r>
            <w:r>
              <w:rPr>
                <w:noProof/>
                <w:webHidden/>
              </w:rPr>
              <w:fldChar w:fldCharType="end"/>
            </w:r>
          </w:hyperlink>
        </w:p>
        <w:p w14:paraId="6005B609" w14:textId="265073AF" w:rsidR="00F03481" w:rsidRDefault="00F03481">
          <w:pPr>
            <w:pStyle w:val="TOC1"/>
            <w:tabs>
              <w:tab w:val="right" w:leader="dot" w:pos="9350"/>
            </w:tabs>
            <w:rPr>
              <w:rFonts w:eastAsiaTheme="minorEastAsia"/>
              <w:noProof/>
              <w:kern w:val="2"/>
              <w14:ligatures w14:val="standardContextual"/>
            </w:rPr>
          </w:pPr>
          <w:hyperlink w:anchor="_Toc153535190" w:history="1">
            <w:r w:rsidRPr="003D70AC">
              <w:rPr>
                <w:rStyle w:val="Hyperlink"/>
                <w:rFonts w:ascii="Times New Roman" w:hAnsi="Times New Roman" w:cs="Times New Roman"/>
                <w:noProof/>
              </w:rPr>
              <w:t>Figure S13. Sensitivity analyses of adjusted mean difference in early childhood (~3 years) (A) and mid-childhood (~8 years) (B) cognitive test scores and 95% confidence intervals per doubling of early childhood erythrocyte concentration of essential metals. Reference model (“Ref.”) is a multivariable linear regression model adjusting for child race and ethnicity, fish consumption, daycare attendance, breastfeeding duration, household income, maternal intelligence (PPVT-III for early childhood visit; KBIT-II composite for mid-childhood visit), education, marital status, age at enrollment, early childhood erythrocyte concentrations of all other metals, and maternal first-trimester erythrocyte concentration of the metal. Estimates and intervals for each metal present, from left to right: Ref.; Ref. with additional adjustment for Youth Healthy Eating Index; Ref. with additional adjustment for presence of household smoking; and Ref. with removal of other early childhood metals from the model. KBIT-II: Kaufman Brief Intelligence Test, 2nd edition; PPVT-III: Peabody Picture Vocabulary Test, 3rd edition; WRAVMA: Wide Range Assessment of Visual Motor Abilities; WRAML2: Wide Range Assessment of Memory and Learning, 2nd edition; YHEI: Youth Healthy Eating Index.</w:t>
            </w:r>
            <w:r>
              <w:rPr>
                <w:noProof/>
                <w:webHidden/>
              </w:rPr>
              <w:tab/>
            </w:r>
            <w:r>
              <w:rPr>
                <w:noProof/>
                <w:webHidden/>
              </w:rPr>
              <w:fldChar w:fldCharType="begin"/>
            </w:r>
            <w:r>
              <w:rPr>
                <w:noProof/>
                <w:webHidden/>
              </w:rPr>
              <w:instrText xml:space="preserve"> PAGEREF _Toc153535190 \h </w:instrText>
            </w:r>
            <w:r>
              <w:rPr>
                <w:noProof/>
                <w:webHidden/>
              </w:rPr>
            </w:r>
            <w:r>
              <w:rPr>
                <w:noProof/>
                <w:webHidden/>
              </w:rPr>
              <w:fldChar w:fldCharType="separate"/>
            </w:r>
            <w:r>
              <w:rPr>
                <w:noProof/>
                <w:webHidden/>
              </w:rPr>
              <w:t>35</w:t>
            </w:r>
            <w:r>
              <w:rPr>
                <w:noProof/>
                <w:webHidden/>
              </w:rPr>
              <w:fldChar w:fldCharType="end"/>
            </w:r>
          </w:hyperlink>
        </w:p>
        <w:p w14:paraId="56254F29" w14:textId="7BF2C674" w:rsidR="00F03481" w:rsidRDefault="00F03481">
          <w:pPr>
            <w:pStyle w:val="TOC1"/>
            <w:tabs>
              <w:tab w:val="right" w:leader="dot" w:pos="9350"/>
            </w:tabs>
            <w:rPr>
              <w:rFonts w:eastAsiaTheme="minorEastAsia"/>
              <w:noProof/>
              <w:kern w:val="2"/>
              <w14:ligatures w14:val="standardContextual"/>
            </w:rPr>
          </w:pPr>
          <w:hyperlink w:anchor="_Toc153535191" w:history="1">
            <w:r w:rsidRPr="003D70AC">
              <w:rPr>
                <w:rStyle w:val="Hyperlink"/>
                <w:rFonts w:ascii="Times New Roman" w:hAnsi="Times New Roman" w:cs="Times New Roman"/>
                <w:noProof/>
              </w:rPr>
              <w:t>Figure S14. Sensitivity analyses of adjusted mean difference in early childhood (~3 years) (A) and mid-childhood (~8 years) (B) cognitive test scores and 95% confidence intervals per quartile increase in early childhood erythrocyte concentration of a mixture of non-essential (As, Ba, Cd, Cs, Hg, Pb, Sn, and Sr) or essential (Co, Cu, Mg, Mn, Mo, Se, and Zn) metals. Reference model is a quantile g-computation model adjusting for child race and ethnicity, fish consumption, daycare attendance, breastfeeding duration, household income, maternal intelligence (PPVT-III for early childhood visit; KBIT-II composite for mid-childhood visit), education, marital status, age at enrollment, early childhood erythrocyte concentrations of metals in the other mixture, and maternal first-trimester erythrocyte concentration of all metals in the mixture. Estimates and intervals for each mixture present, from left to right: Ref.; Ref. with additional adjustment for Youth Healthy Eating Index; Ref. with additional adjustment for presence of household smoking; and Ref. with removal of early childhood erythrocyte metals in the other mixture from the model. KBIT-II: Kaufman Brief Intelligence Test, 2nd edition; PPVT-III: Peabody Picture Vocabulary Test, 3rd edition; WRAVMA: Wide Range Assessment of Visual Motor Abilities; WRAML2: Wide Range Assessment of Memory and Learning, 2nd edition; YHEI: Youth Healthy Eating Index.</w:t>
            </w:r>
            <w:r>
              <w:rPr>
                <w:noProof/>
                <w:webHidden/>
              </w:rPr>
              <w:tab/>
            </w:r>
            <w:r>
              <w:rPr>
                <w:noProof/>
                <w:webHidden/>
              </w:rPr>
              <w:fldChar w:fldCharType="begin"/>
            </w:r>
            <w:r>
              <w:rPr>
                <w:noProof/>
                <w:webHidden/>
              </w:rPr>
              <w:instrText xml:space="preserve"> PAGEREF _Toc153535191 \h </w:instrText>
            </w:r>
            <w:r>
              <w:rPr>
                <w:noProof/>
                <w:webHidden/>
              </w:rPr>
            </w:r>
            <w:r>
              <w:rPr>
                <w:noProof/>
                <w:webHidden/>
              </w:rPr>
              <w:fldChar w:fldCharType="separate"/>
            </w:r>
            <w:r>
              <w:rPr>
                <w:noProof/>
                <w:webHidden/>
              </w:rPr>
              <w:t>36</w:t>
            </w:r>
            <w:r>
              <w:rPr>
                <w:noProof/>
                <w:webHidden/>
              </w:rPr>
              <w:fldChar w:fldCharType="end"/>
            </w:r>
          </w:hyperlink>
        </w:p>
        <w:p w14:paraId="1F0EC756" w14:textId="705AB434" w:rsidR="00DF395E" w:rsidRDefault="00DF395E" w:rsidP="00DF395E">
          <w:r>
            <w:rPr>
              <w:b/>
              <w:bCs/>
              <w:noProof/>
            </w:rPr>
            <w:fldChar w:fldCharType="end"/>
          </w:r>
        </w:p>
      </w:sdtContent>
    </w:sdt>
    <w:p w14:paraId="1502016A" w14:textId="77777777" w:rsidR="00DF395E" w:rsidRDefault="00DF395E" w:rsidP="00DF395E">
      <w:pPr>
        <w:spacing w:after="0" w:line="480" w:lineRule="auto"/>
        <w:rPr>
          <w:rFonts w:ascii="Times New Roman" w:hAnsi="Times New Roman" w:cs="Times New Roman"/>
          <w:b/>
          <w:bCs/>
        </w:rPr>
        <w:sectPr w:rsidR="00DF395E" w:rsidSect="00922E55">
          <w:footerReference w:type="even" r:id="rId8"/>
          <w:footerReference w:type="default" r:id="rId9"/>
          <w:pgSz w:w="12240" w:h="15840"/>
          <w:pgMar w:top="1440" w:right="1440" w:bottom="1440" w:left="1440" w:header="720" w:footer="720" w:gutter="0"/>
          <w:cols w:space="720"/>
          <w:titlePg/>
        </w:sectPr>
      </w:pPr>
    </w:p>
    <w:p w14:paraId="08FD0AD0" w14:textId="77777777" w:rsidR="00DF395E" w:rsidRDefault="00DF395E" w:rsidP="00DF395E">
      <w:pPr>
        <w:pStyle w:val="Heading1"/>
        <w:spacing w:before="0"/>
        <w:rPr>
          <w:rFonts w:ascii="Times New Roman" w:hAnsi="Times New Roman" w:cs="Times New Roman"/>
          <w:b w:val="0"/>
          <w:bCs w:val="0"/>
          <w:color w:val="auto"/>
          <w:sz w:val="24"/>
          <w:szCs w:val="24"/>
        </w:rPr>
        <w:sectPr w:rsidR="00DF395E" w:rsidSect="00922E55">
          <w:type w:val="continuous"/>
          <w:pgSz w:w="12240" w:h="15840"/>
          <w:pgMar w:top="1440" w:right="1440" w:bottom="1440" w:left="1440" w:header="720" w:footer="720" w:gutter="0"/>
          <w:cols w:space="720"/>
        </w:sectPr>
      </w:pPr>
    </w:p>
    <w:p w14:paraId="6E949617"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0" w:name="_Toc153535171"/>
      <w:r w:rsidRPr="00AB37EA">
        <w:rPr>
          <w:rFonts w:ascii="Times New Roman" w:hAnsi="Times New Roman" w:cs="Times New Roman"/>
          <w:b w:val="0"/>
          <w:bCs w:val="0"/>
          <w:color w:val="auto"/>
          <w:sz w:val="24"/>
          <w:szCs w:val="24"/>
        </w:rPr>
        <w:lastRenderedPageBreak/>
        <w:t>Table S1. Comparison of covariate distributions between early and mid-childhood analytic samples in a study of associations of early childhood (~3 years) erythrocyte metal concentrations with early and mid-childhood (~8 years) cognitive test scores, in the Project Viva pre-birth cohort, Boston, Massachusetts, USA.</w:t>
      </w:r>
      <w:bookmarkEnd w:id="0"/>
    </w:p>
    <w:tbl>
      <w:tblPr>
        <w:tblStyle w:val="Table"/>
        <w:tblW w:w="10443" w:type="dxa"/>
        <w:jc w:val="center"/>
        <w:tblLayout w:type="fixed"/>
        <w:tblLook w:val="0420" w:firstRow="1" w:lastRow="0" w:firstColumn="0" w:lastColumn="0" w:noHBand="0" w:noVBand="1"/>
      </w:tblPr>
      <w:tblGrid>
        <w:gridCol w:w="3177"/>
        <w:gridCol w:w="3672"/>
        <w:gridCol w:w="3594"/>
      </w:tblGrid>
      <w:tr w:rsidR="00DF395E" w:rsidRPr="00E15E12" w14:paraId="43C864F0" w14:textId="77777777" w:rsidTr="008161DE">
        <w:trPr>
          <w:cnfStyle w:val="100000000000" w:firstRow="1" w:lastRow="0" w:firstColumn="0" w:lastColumn="0" w:oddVBand="0" w:evenVBand="0" w:oddHBand="0" w:evenHBand="0" w:firstRowFirstColumn="0" w:firstRowLastColumn="0" w:lastRowFirstColumn="0" w:lastRowLastColumn="0"/>
          <w:jc w:val="center"/>
        </w:trPr>
        <w:tc>
          <w:tcPr>
            <w:tcW w:w="31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4EE9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Covariate</w:t>
            </w:r>
          </w:p>
        </w:tc>
        <w:tc>
          <w:tcPr>
            <w:tcW w:w="36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727B13" w14:textId="77777777" w:rsidR="00DF395E"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Arial" w:hAnsi="Times New Roman" w:cs="Times New Roman"/>
                <w:color w:val="000000"/>
              </w:rPr>
            </w:pPr>
            <w:r w:rsidRPr="00E15E12">
              <w:rPr>
                <w:rFonts w:ascii="Times New Roman" w:eastAsia="Arial" w:hAnsi="Times New Roman" w:cs="Times New Roman"/>
                <w:color w:val="000000"/>
              </w:rPr>
              <w:t xml:space="preserve">Included in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cognition analyses (N=336) </w:t>
            </w:r>
          </w:p>
          <w:p w14:paraId="75E879A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N (%) or mean ± SD</w:t>
            </w:r>
          </w:p>
        </w:tc>
        <w:tc>
          <w:tcPr>
            <w:tcW w:w="359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8F7E70" w14:textId="77777777" w:rsidR="00DF395E"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Arial" w:hAnsi="Times New Roman" w:cs="Times New Roman"/>
                <w:color w:val="000000"/>
              </w:rPr>
            </w:pPr>
            <w:r w:rsidRPr="00E15E12">
              <w:rPr>
                <w:rFonts w:ascii="Times New Roman" w:eastAsia="Arial" w:hAnsi="Times New Roman" w:cs="Times New Roman"/>
                <w:color w:val="000000"/>
              </w:rPr>
              <w:t xml:space="preserve">Included in mid-childhood cognition analyses (N=296) </w:t>
            </w:r>
          </w:p>
          <w:p w14:paraId="05F284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N (%) or mean ± SD</w:t>
            </w:r>
          </w:p>
        </w:tc>
      </w:tr>
      <w:tr w:rsidR="00DF395E" w:rsidRPr="00E15E12" w14:paraId="60BC489B" w14:textId="77777777" w:rsidTr="008161DE">
        <w:trPr>
          <w:jc w:val="center"/>
        </w:trPr>
        <w:tc>
          <w:tcPr>
            <w:tcW w:w="317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5354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Child sex</w:t>
            </w:r>
          </w:p>
        </w:tc>
        <w:tc>
          <w:tcPr>
            <w:tcW w:w="367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A132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359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6D8CB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DF395E" w:rsidRPr="00E15E12" w14:paraId="2A093734"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3A536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Male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9D676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178 (53.0%)</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940ED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154 (52.0%)</w:t>
            </w:r>
          </w:p>
        </w:tc>
      </w:tr>
      <w:tr w:rsidR="00DF395E" w:rsidRPr="00E15E12" w14:paraId="707A1ABB"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97970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Female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A299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158 (47.0%)</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B0A6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142 (48.0%)</w:t>
            </w:r>
          </w:p>
        </w:tc>
      </w:tr>
      <w:tr w:rsidR="00DF395E" w:rsidRPr="00E15E12" w14:paraId="02570B8F"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605C9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Child race and ethnicity</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BD80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2C5F7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DF395E" w:rsidRPr="00E15E12" w14:paraId="4E6B7A07"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6330A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NH White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F8B3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242 (72.0%)</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9C54B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212 (71.6%)</w:t>
            </w:r>
          </w:p>
        </w:tc>
      </w:tr>
      <w:tr w:rsidR="00DF395E" w:rsidRPr="00E15E12" w14:paraId="777F4A03"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352E3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NH Black</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39EAD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40 (11.9%)</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3EAB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37 (12.5%)</w:t>
            </w:r>
          </w:p>
        </w:tc>
      </w:tr>
      <w:tr w:rsidR="00DF395E" w:rsidRPr="00E15E12" w14:paraId="50010545"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73A6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Hispanic</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97FE5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8 (2.4%)</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5650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7 (2.4%)</w:t>
            </w:r>
          </w:p>
        </w:tc>
      </w:tr>
      <w:tr w:rsidR="00DF395E" w:rsidRPr="00E15E12" w14:paraId="65A0D229"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4187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NH Asian</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9B2C0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5 (1.5%)</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F4D51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4 (1.4%)</w:t>
            </w:r>
          </w:p>
        </w:tc>
      </w:tr>
      <w:tr w:rsidR="00DF395E" w:rsidRPr="00E15E12" w14:paraId="02393F4C"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AB6F2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More than one race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D4C39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41 (12.2%)</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1A66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36 (12.2%)</w:t>
            </w:r>
          </w:p>
        </w:tc>
      </w:tr>
      <w:tr w:rsidR="00DF395E" w:rsidRPr="00E15E12" w14:paraId="744B26AC"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DE87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Maternal education</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C6E1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708D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DF395E" w:rsidRPr="00E15E12" w14:paraId="56E20DFE"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79D6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Graduate school</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D7D9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104 (31.0%)</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8AEA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93 (31.4%)</w:t>
            </w:r>
          </w:p>
        </w:tc>
      </w:tr>
      <w:tr w:rsidR="00DF395E" w:rsidRPr="00E15E12" w14:paraId="64A0C09F"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FBF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Four-year college graduate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B6FC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150 (44.6%)</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D09E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128 (43.2%)</w:t>
            </w:r>
          </w:p>
        </w:tc>
      </w:tr>
      <w:tr w:rsidR="00DF395E" w:rsidRPr="00E15E12" w14:paraId="64628A69"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0A835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Some college/Associate’s, or less</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5D191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82 (24.4%)</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941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75 (25.3%)</w:t>
            </w:r>
          </w:p>
        </w:tc>
      </w:tr>
      <w:tr w:rsidR="00DF395E" w:rsidRPr="00E15E12" w14:paraId="0F5F94BE"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4B86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Annual household income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44F7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889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DF395E" w:rsidRPr="00E15E12" w14:paraId="4258169E"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9F3A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$70,000 or less</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4EA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103 (30.7%)</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E40C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90 (30.4%)</w:t>
            </w:r>
          </w:p>
        </w:tc>
      </w:tr>
      <w:tr w:rsidR="00DF395E" w:rsidRPr="00E15E12" w14:paraId="1D9AC6C1"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87CB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$70,001-$100,000</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4959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83 (24.7%)</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B0B3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72 (24.3%)</w:t>
            </w:r>
          </w:p>
        </w:tc>
      </w:tr>
      <w:tr w:rsidR="00DF395E" w:rsidRPr="00E15E12" w14:paraId="08C6C48C"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7984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Greater than $100,000</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AB90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150 (44.6%)</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0959C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134 (45.3%)</w:t>
            </w:r>
          </w:p>
        </w:tc>
      </w:tr>
      <w:tr w:rsidR="00DF395E" w:rsidRPr="00E15E12" w14:paraId="6041FBCB"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EF5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Child attendance to daycare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64D6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64E2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DF395E" w:rsidRPr="00E15E12" w14:paraId="38BD3B8C"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5957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Did not attend a daycare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4576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86 (25.6%)</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96AA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72 (24.3%)</w:t>
            </w:r>
          </w:p>
        </w:tc>
      </w:tr>
      <w:tr w:rsidR="00DF395E" w:rsidRPr="00E15E12" w14:paraId="701E90F3"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A22A2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Attended a daycare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37C7C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250 (74.4%)</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8CEB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224 (75.7%)</w:t>
            </w:r>
          </w:p>
        </w:tc>
      </w:tr>
      <w:tr w:rsidR="00DF395E" w:rsidRPr="00E15E12" w14:paraId="5A555B67"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BB81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Maternal marital status</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C1D69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169D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DF395E" w:rsidRPr="00E15E12" w14:paraId="3E7DE151"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06E9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lastRenderedPageBreak/>
              <w:t xml:space="preserve">     </w:t>
            </w:r>
            <w:r w:rsidRPr="00E15E12">
              <w:rPr>
                <w:rFonts w:ascii="Times New Roman" w:eastAsia="Arial" w:hAnsi="Times New Roman" w:cs="Times New Roman"/>
                <w:color w:val="000000"/>
              </w:rPr>
              <w:t>Not married</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F471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37 (11.0%)</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17D61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32 (10.8%)</w:t>
            </w:r>
          </w:p>
        </w:tc>
      </w:tr>
      <w:tr w:rsidR="00DF395E" w:rsidRPr="00E15E12" w14:paraId="5131E2CC"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39AA0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Married</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BD07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299 (89.0%)</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83E1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264 (89.2%)</w:t>
            </w:r>
          </w:p>
        </w:tc>
      </w:tr>
      <w:tr w:rsidR="00DF395E" w:rsidRPr="00E15E12" w14:paraId="33443695"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6970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Child fish consumption</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CEF7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2B6E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r>
      <w:tr w:rsidR="00DF395E" w:rsidRPr="00E15E12" w14:paraId="65377016"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EEB7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Never</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2FE1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160 (47.6%)</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9DE7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136 (45.9%)</w:t>
            </w:r>
          </w:p>
        </w:tc>
      </w:tr>
      <w:tr w:rsidR="00DF395E" w:rsidRPr="00E15E12" w14:paraId="2C0D58F2"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3F08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Less than once per week</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BE700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82 (24.4%)</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BF33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73 (24.7%)</w:t>
            </w:r>
          </w:p>
        </w:tc>
      </w:tr>
      <w:tr w:rsidR="00DF395E" w:rsidRPr="00E15E12" w14:paraId="5599EB81"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A13F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Once per week or more</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7C61E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94 (28.0%)</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C4310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87 (29.4%)</w:t>
            </w:r>
          </w:p>
        </w:tc>
      </w:tr>
      <w:tr w:rsidR="00DF395E" w:rsidRPr="00E15E12" w14:paraId="0BD24F16"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C876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Breastfeeding duration, months</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38EE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6.85 ± 4.43</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EF46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6.96 ± 4.39</w:t>
            </w:r>
          </w:p>
        </w:tc>
      </w:tr>
      <w:tr w:rsidR="00DF395E" w:rsidRPr="00E15E12" w14:paraId="75ED9BA1" w14:textId="77777777" w:rsidTr="008161DE">
        <w:trPr>
          <w:jc w:val="center"/>
        </w:trPr>
        <w:tc>
          <w:tcPr>
            <w:tcW w:w="31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0BFA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Maternal age at enrollment, years</w:t>
            </w:r>
          </w:p>
        </w:tc>
        <w:tc>
          <w:tcPr>
            <w:tcW w:w="36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5608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33.1 ± 4.58</w:t>
            </w:r>
          </w:p>
        </w:tc>
        <w:tc>
          <w:tcPr>
            <w:tcW w:w="359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411D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32.9 ± 4.69</w:t>
            </w:r>
          </w:p>
        </w:tc>
      </w:tr>
      <w:tr w:rsidR="00DF395E" w:rsidRPr="00E15E12" w14:paraId="580F259B" w14:textId="77777777" w:rsidTr="008161DE">
        <w:trPr>
          <w:jc w:val="center"/>
        </w:trPr>
        <w:tc>
          <w:tcPr>
            <w:tcW w:w="317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785B9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Maternal receptive vocabulary (PPVT-III) score</w:t>
            </w:r>
          </w:p>
        </w:tc>
        <w:tc>
          <w:tcPr>
            <w:tcW w:w="367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5F4DB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108 ± 13.5</w:t>
            </w:r>
          </w:p>
        </w:tc>
        <w:tc>
          <w:tcPr>
            <w:tcW w:w="359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34F10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108 ± 13.7</w:t>
            </w:r>
          </w:p>
        </w:tc>
      </w:tr>
      <w:tr w:rsidR="00DF395E" w:rsidRPr="00E15E12" w14:paraId="40C22450" w14:textId="77777777" w:rsidTr="008161DE">
        <w:trPr>
          <w:jc w:val="center"/>
        </w:trPr>
        <w:tc>
          <w:tcPr>
            <w:tcW w:w="10443" w:type="dxa"/>
            <w:gridSpan w:val="3"/>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8228E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NH: Non-Hispanic; PPVT-III: Peabody Picture Vocabulary Test, 3rd edition; SD: standard deviation</w:t>
            </w:r>
          </w:p>
        </w:tc>
      </w:tr>
    </w:tbl>
    <w:p w14:paraId="72F7DA0A" w14:textId="77777777" w:rsidR="00DF395E" w:rsidRPr="00E15E12" w:rsidRDefault="00DF395E" w:rsidP="00DF395E">
      <w:pPr>
        <w:rPr>
          <w:rFonts w:ascii="Times New Roman" w:hAnsi="Times New Roman" w:cs="Times New Roman"/>
        </w:rPr>
        <w:sectPr w:rsidR="00DF395E" w:rsidRPr="00E15E12" w:rsidSect="00922E55">
          <w:pgSz w:w="12240" w:h="15840"/>
          <w:pgMar w:top="1440" w:right="1440" w:bottom="1440" w:left="1440" w:header="720" w:footer="720" w:gutter="0"/>
          <w:cols w:space="720"/>
        </w:sectPr>
      </w:pPr>
    </w:p>
    <w:p w14:paraId="2974AEB1"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 w:name="_Toc153535172"/>
      <w:r w:rsidRPr="00AB37EA">
        <w:rPr>
          <w:rFonts w:ascii="Times New Roman" w:hAnsi="Times New Roman" w:cs="Times New Roman"/>
          <w:b w:val="0"/>
          <w:bCs w:val="0"/>
          <w:color w:val="auto"/>
          <w:sz w:val="24"/>
          <w:szCs w:val="24"/>
        </w:rPr>
        <w:lastRenderedPageBreak/>
        <w:t>Table S2. Detection rates and distributions of early childhood (~3 years) erythrocyte metal concentrations in the Project Viva cohort, Boston, Massachusetts, USA (N=349).</w:t>
      </w:r>
      <w:bookmarkEnd w:id="1"/>
    </w:p>
    <w:tbl>
      <w:tblPr>
        <w:tblStyle w:val="Table"/>
        <w:tblW w:w="5000" w:type="pct"/>
        <w:jc w:val="center"/>
        <w:tblLook w:val="0420" w:firstRow="1" w:lastRow="0" w:firstColumn="0" w:lastColumn="0" w:noHBand="0" w:noVBand="1"/>
      </w:tblPr>
      <w:tblGrid>
        <w:gridCol w:w="1610"/>
        <w:gridCol w:w="990"/>
        <w:gridCol w:w="1187"/>
        <w:gridCol w:w="1379"/>
        <w:gridCol w:w="1260"/>
        <w:gridCol w:w="1034"/>
        <w:gridCol w:w="1042"/>
        <w:gridCol w:w="1068"/>
        <w:gridCol w:w="1042"/>
        <w:gridCol w:w="1042"/>
        <w:gridCol w:w="1306"/>
      </w:tblGrid>
      <w:tr w:rsidR="00DF395E" w:rsidRPr="00E15E12" w14:paraId="440D4605" w14:textId="77777777" w:rsidTr="008161DE">
        <w:trPr>
          <w:cnfStyle w:val="100000000000" w:firstRow="1" w:lastRow="0" w:firstColumn="0" w:lastColumn="0" w:oddVBand="0" w:evenVBand="0" w:oddHBand="0" w:evenHBand="0" w:firstRowFirstColumn="0" w:firstRowLastColumn="0" w:lastRowFirstColumn="0" w:lastRowLastColumn="0"/>
          <w:jc w:val="center"/>
        </w:trPr>
        <w:tc>
          <w:tcPr>
            <w:tcW w:w="62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5E75E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Metal</w:t>
            </w:r>
          </w:p>
        </w:tc>
        <w:tc>
          <w:tcPr>
            <w:tcW w:w="38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DEAC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Mean LOD (ng/g)</w:t>
            </w:r>
            <w:r w:rsidRPr="00E15E12">
              <w:rPr>
                <w:rFonts w:ascii="Times New Roman" w:eastAsia="Arial" w:hAnsi="Times New Roman" w:cs="Times New Roman"/>
                <w:color w:val="000000"/>
                <w:vertAlign w:val="superscript"/>
              </w:rPr>
              <w:t>a</w:t>
            </w:r>
          </w:p>
        </w:tc>
        <w:tc>
          <w:tcPr>
            <w:tcW w:w="45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87262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Percent detected</w:t>
            </w:r>
            <w:r w:rsidRPr="00E15E12">
              <w:rPr>
                <w:rFonts w:ascii="Times New Roman" w:eastAsia="Arial" w:hAnsi="Times New Roman" w:cs="Times New Roman"/>
                <w:color w:val="000000"/>
                <w:vertAlign w:val="superscript"/>
              </w:rPr>
              <w:t>b</w:t>
            </w:r>
          </w:p>
        </w:tc>
        <w:tc>
          <w:tcPr>
            <w:tcW w:w="53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CF931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Mean (SD) (ng/g)</w:t>
            </w:r>
          </w:p>
        </w:tc>
        <w:tc>
          <w:tcPr>
            <w:tcW w:w="48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4B9D6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Minimum (ng/g)</w:t>
            </w:r>
          </w:p>
        </w:tc>
        <w:tc>
          <w:tcPr>
            <w:tcW w:w="39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E3029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 (ng/g)</w:t>
            </w:r>
          </w:p>
        </w:tc>
        <w:tc>
          <w:tcPr>
            <w:tcW w:w="40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E62F5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25% (ng/g)</w:t>
            </w:r>
          </w:p>
        </w:tc>
        <w:tc>
          <w:tcPr>
            <w:tcW w:w="41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3256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Median (ng/g)</w:t>
            </w:r>
          </w:p>
        </w:tc>
        <w:tc>
          <w:tcPr>
            <w:tcW w:w="40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AF940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75% (ng/g)</w:t>
            </w:r>
          </w:p>
        </w:tc>
        <w:tc>
          <w:tcPr>
            <w:tcW w:w="40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CD8FE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95% (ng/g)</w:t>
            </w:r>
          </w:p>
        </w:tc>
        <w:tc>
          <w:tcPr>
            <w:tcW w:w="50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166AD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Maximum (ng/g)</w:t>
            </w:r>
          </w:p>
        </w:tc>
      </w:tr>
      <w:tr w:rsidR="00DF395E" w:rsidRPr="00E15E12" w14:paraId="6500E03E" w14:textId="77777777" w:rsidTr="008161DE">
        <w:trPr>
          <w:jc w:val="center"/>
        </w:trPr>
        <w:tc>
          <w:tcPr>
            <w:tcW w:w="62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44031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Essential</w:t>
            </w:r>
          </w:p>
        </w:tc>
        <w:tc>
          <w:tcPr>
            <w:tcW w:w="38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37319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5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765C7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53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585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8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FD55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39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87A3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0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067E3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1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2571E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0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E937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0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BCF8A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50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BFB3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DF395E" w:rsidRPr="00E15E12" w14:paraId="63913D76"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7890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Cobalt (Co)</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FED7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84C81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68%</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DE5F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0.045 (0.0538)</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6CF28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0.0141</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9FFF4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20EE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0.0141</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29D4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0.0342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8226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0.0531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7BB39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0.113</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46A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0.667</w:t>
            </w:r>
          </w:p>
        </w:tc>
      </w:tr>
      <w:tr w:rsidR="00DF395E" w:rsidRPr="00E15E12" w14:paraId="4A9575D4"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FC33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Chromium (Cr)</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1E02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0.51</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A17F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15%</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A16B9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0.826 (4.98)</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912D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0.361</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438DA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0.361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F171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0.361</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44AC4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0.361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14BF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0.361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B794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1.32</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0958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91.5</w:t>
            </w:r>
          </w:p>
        </w:tc>
      </w:tr>
      <w:tr w:rsidR="00DF395E" w:rsidRPr="00E15E12" w14:paraId="55A5A0F6"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6107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Copper (Cu)</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3A0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0.51</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7A733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A3B94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575 (94.6)</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8F6D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73.1</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2B2E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437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734F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524</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7E62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564</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54909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632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3C2D2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738</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CF6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878</w:t>
            </w:r>
          </w:p>
        </w:tc>
      </w:tr>
      <w:tr w:rsidR="00DF395E" w:rsidRPr="00E15E12" w14:paraId="77F8A4E5"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CEB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Magnesium (Mg)</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3DAE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1.64</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0BED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6BE9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44,731 (6,686.1)</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A50F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6,340</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0F0B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34,640</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F865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41,100</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21DC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44,700</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CD81D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48,600</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BA69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54,860</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2EE9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68,900</w:t>
            </w:r>
          </w:p>
        </w:tc>
      </w:tr>
      <w:tr w:rsidR="00DF395E" w:rsidRPr="00E15E12" w14:paraId="615C0AA5"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DAD74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Manganese (Mn)</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82BDC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0.15</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6569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5225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18.9 (6.05)</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35FF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2.33</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6347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7A5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14.6</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3CC2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7C95C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21.9</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A729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30.6</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BFF4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48.5</w:t>
            </w:r>
          </w:p>
        </w:tc>
      </w:tr>
      <w:tr w:rsidR="00DF395E" w:rsidRPr="00E15E12" w14:paraId="5D0DE36C"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11585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Molybdenum (Mo)</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62FB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0.06</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11E8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BF5F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0.374 (0.265)</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8841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0.0922</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01B0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0.16</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79D00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0.25</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F943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5691E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0.411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7DEB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0.7</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7511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2.89</w:t>
            </w:r>
          </w:p>
        </w:tc>
      </w:tr>
      <w:tr w:rsidR="00DF395E" w:rsidRPr="00E15E12" w14:paraId="71211E5D"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A95C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Nickel (Ni)</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B1C51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0.17</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2171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C6ED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0.202 (0.856)</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555C1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AAF5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E5F71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45470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2ECA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D87F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0.37</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65C5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w:t>
            </w:r>
          </w:p>
        </w:tc>
      </w:tr>
      <w:tr w:rsidR="00DF395E" w:rsidRPr="00E15E12" w14:paraId="66E03F63"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96CEC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Selenium (Se)</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8291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0.17</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C83E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C67F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215 (41.2)</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D5A1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22.9</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67C7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C11B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190</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905E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4283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239</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C8844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287</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762A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452</w:t>
            </w:r>
          </w:p>
        </w:tc>
      </w:tr>
      <w:tr w:rsidR="00DF395E" w:rsidRPr="00E15E12" w14:paraId="7B980227"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CA4F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Zinc (Zn)</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805B3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4.29</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38002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ADAB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6,730 (1,320)</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4A22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787</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E65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4,690</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863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5,900</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741B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6,690</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03A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7,570</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0169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8,860</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02B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11,000</w:t>
            </w:r>
          </w:p>
        </w:tc>
      </w:tr>
      <w:tr w:rsidR="00DF395E" w:rsidRPr="00E15E12" w14:paraId="3E800160"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77A7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Non-essential</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1A2F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1583A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8275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B9D24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C4C4F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3E82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F010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C66A7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EF2EA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E556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DF395E" w:rsidRPr="00E15E12" w14:paraId="2008A239"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1A45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lastRenderedPageBreak/>
              <w:t xml:space="preserve">  </w:t>
            </w:r>
            <w:r w:rsidRPr="00E15E12">
              <w:rPr>
                <w:rFonts w:ascii="Times New Roman" w:eastAsia="Arial" w:hAnsi="Times New Roman" w:cs="Times New Roman"/>
                <w:color w:val="000000"/>
              </w:rPr>
              <w:t>Aluminum (Al)</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CB00C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4.39</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A150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36%</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5B0F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7.15 (13.3)</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D2E48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3.1</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4C42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35510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3.1</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32D9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A82FA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6.17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9E06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21.1</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3BAF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158</w:t>
            </w:r>
          </w:p>
        </w:tc>
      </w:tr>
      <w:tr w:rsidR="00DF395E" w:rsidRPr="00E15E12" w14:paraId="27B4A4E4"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42E4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Antimony (Sb)</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08E9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0.03</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B428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54%</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13D85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0.546 (0.707)</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5F2F6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0.0144</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B321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C80A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0.0212</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075A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0.0268</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3DC86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1.08</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EF21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1.88</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DB075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3.06</w:t>
            </w:r>
          </w:p>
        </w:tc>
      </w:tr>
      <w:tr w:rsidR="00DF395E" w:rsidRPr="00E15E12" w14:paraId="0A3784C0"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678F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Arsenic (As)</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BD78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0.05</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872AA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D459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0.591 (1.4)</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4107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0.0354</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8982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0.116</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29BE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0.199</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32D6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0.334</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0BAE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0.596</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E1F0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1.67</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85E5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24.4</w:t>
            </w:r>
          </w:p>
        </w:tc>
      </w:tr>
      <w:tr w:rsidR="00DF395E" w:rsidRPr="00E15E12" w14:paraId="5EE4A699"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C712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Barium (Ba)</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BC950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0.17</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DA3B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68%</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EF84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1.36 (3.09)</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7903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0.108</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542D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01DAF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39293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0.826</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EFF34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540C9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3.6</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48A2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52.1</w:t>
            </w:r>
          </w:p>
        </w:tc>
      </w:tr>
      <w:tr w:rsidR="00DF395E" w:rsidRPr="00E15E12" w14:paraId="494C7794"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830C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Beryllium (Be)</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3D2B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0.03</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4714C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12%</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460B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0.0228 (0.00842)</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F51A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0.0101</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B5EB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4D420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0.0212</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EC206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3D8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0.0212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C5B6E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0.0338</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71F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0.112</w:t>
            </w:r>
          </w:p>
        </w:tc>
      </w:tr>
      <w:tr w:rsidR="00DF395E" w:rsidRPr="00E15E12" w14:paraId="7FAB0E80"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94355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Bismuth (Bi)</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F3CD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F10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21%</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92C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0.0235 (0.101)</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623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0.00707</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D300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0.00707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99E1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0.00707</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3C99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0.00707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69F79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0.00707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BD26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0.047</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40AB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1.36</w:t>
            </w:r>
          </w:p>
        </w:tc>
      </w:tr>
      <w:tr w:rsidR="00DF395E" w:rsidRPr="00E15E12" w14:paraId="37F64273"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83B6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Cadmium (Cd)</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EC0F2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0EF7A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EC3D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0.228 (0.3)</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CD01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0.017</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8459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0.0721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3A5E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0.122</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F564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0.166</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E65D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0.232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6E1B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0.416</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D40A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3.32</w:t>
            </w:r>
          </w:p>
        </w:tc>
      </w:tr>
      <w:tr w:rsidR="00DF395E" w:rsidRPr="00E15E12" w14:paraId="0BD6C881"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0124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Cesium (Cs)</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B6D6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159F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640F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2.58 (0.795)</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7E9F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0.36</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7DAE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1.42</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5F43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2.01</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7889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2.5</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037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3.05</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7E860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E810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5.5</w:t>
            </w:r>
          </w:p>
        </w:tc>
      </w:tr>
      <w:tr w:rsidR="00DF395E" w:rsidRPr="00E15E12" w14:paraId="10823654"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D6A5E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Mercury (Hg)</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83D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0.06</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2BD6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99%</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68191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1.21 (1.84)</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8567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0.0424</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8C58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0.137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F9B4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0.232</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4993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0.454</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74D5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1.21</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DF0F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4.66</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1608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13.2</w:t>
            </w:r>
          </w:p>
        </w:tc>
      </w:tr>
      <w:tr w:rsidR="00DF395E" w:rsidRPr="00E15E12" w14:paraId="4C604781"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AE90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Lead (Pb)</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B0B2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0.17</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703C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08966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33.7 (21.9)</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7EAE3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4.13</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EEBD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11.5</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A923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19.3</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80C2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27.3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678C5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43.3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F9A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76.6</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516A1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193</w:t>
            </w:r>
          </w:p>
        </w:tc>
      </w:tr>
      <w:tr w:rsidR="00DF395E" w:rsidRPr="00E15E12" w14:paraId="164ED3FC"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3F47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Tin (Sn)</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E6091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F88AD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91%</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3CD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0.314 (0.275)</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2FB2D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0.0635</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EC053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0.0707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902B8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0.17</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228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0.237</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1C6E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0.36</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984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0.806</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7867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2.36</w:t>
            </w:r>
          </w:p>
        </w:tc>
      </w:tr>
      <w:tr w:rsidR="00DF395E" w:rsidRPr="00E15E12" w14:paraId="5A28FE77"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71FF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Titanium (Ti)</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025A7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3.3</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64EB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46%</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7A6F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2.99 (5.56)</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E1B3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1.52</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15F42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1.78</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435AD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2.33</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10DE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2.33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7F0CF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2.35</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2051F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4.72</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5577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97.1</w:t>
            </w:r>
          </w:p>
        </w:tc>
      </w:tr>
      <w:tr w:rsidR="00DF395E" w:rsidRPr="00E15E12" w14:paraId="31122E14"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B708B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Strontium (Sr)</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5A35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0.22</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7A1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262A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2.23 (1.21)</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90B1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0.195</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9A882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63F7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1.67</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DCF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2.04</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743C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2.46</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FF30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3.69</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AFCD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20.1</w:t>
            </w:r>
          </w:p>
        </w:tc>
      </w:tr>
      <w:tr w:rsidR="00DF395E" w:rsidRPr="00E15E12" w14:paraId="5602A40D"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E7FA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lastRenderedPageBreak/>
              <w:t xml:space="preserve">  </w:t>
            </w:r>
            <w:r w:rsidRPr="00E15E12">
              <w:rPr>
                <w:rFonts w:ascii="Times New Roman" w:eastAsia="Arial" w:hAnsi="Times New Roman" w:cs="Times New Roman"/>
                <w:color w:val="000000"/>
              </w:rPr>
              <w:t>Uranium (U)</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F4AB2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0.004</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5A29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B955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0.00293 (0.000685)</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DB2B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0.00253</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E6E5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0.00283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C31F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0.00283</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A4835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0.00283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FF2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0.00283</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0D8A4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0.00283</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7F418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0.0117</w:t>
            </w:r>
          </w:p>
        </w:tc>
      </w:tr>
      <w:tr w:rsidR="00DF395E" w:rsidRPr="00E15E12" w14:paraId="2D71C2BC" w14:textId="77777777" w:rsidTr="008161DE">
        <w:trPr>
          <w:jc w:val="center"/>
        </w:trPr>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C5AC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Vanadium (V)</w:t>
            </w:r>
          </w:p>
        </w:tc>
        <w:tc>
          <w:tcPr>
            <w:tcW w:w="3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3EFF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0.06</w:t>
            </w:r>
          </w:p>
        </w:tc>
        <w:tc>
          <w:tcPr>
            <w:tcW w:w="4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8D45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24%</w:t>
            </w:r>
          </w:p>
        </w:tc>
        <w:tc>
          <w:tcPr>
            <w:tcW w:w="53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277EC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0.0848 (0.26)</w:t>
            </w:r>
          </w:p>
        </w:tc>
        <w:tc>
          <w:tcPr>
            <w:tcW w:w="4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84CD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0.0283</w:t>
            </w:r>
          </w:p>
        </w:tc>
        <w:tc>
          <w:tcPr>
            <w:tcW w:w="3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E8FA8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0.0424</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FAA6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0.0424</w:t>
            </w:r>
          </w:p>
        </w:tc>
        <w:tc>
          <w:tcPr>
            <w:tcW w:w="41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9862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0.0424</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BBE08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0.0424</w:t>
            </w:r>
          </w:p>
        </w:tc>
        <w:tc>
          <w:tcPr>
            <w:tcW w:w="4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A27A6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0.185</w:t>
            </w:r>
          </w:p>
        </w:tc>
        <w:tc>
          <w:tcPr>
            <w:tcW w:w="5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DD06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4.4</w:t>
            </w:r>
          </w:p>
        </w:tc>
      </w:tr>
      <w:tr w:rsidR="00DF395E" w:rsidRPr="00E15E12" w14:paraId="7E1138A5" w14:textId="77777777" w:rsidTr="008161DE">
        <w:trPr>
          <w:jc w:val="center"/>
        </w:trPr>
        <w:tc>
          <w:tcPr>
            <w:tcW w:w="62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4877A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Tungsten (W)</w:t>
            </w:r>
          </w:p>
        </w:tc>
        <w:tc>
          <w:tcPr>
            <w:tcW w:w="38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23BEF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w:t>
            </w:r>
          </w:p>
        </w:tc>
        <w:tc>
          <w:tcPr>
            <w:tcW w:w="45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6341B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w:t>
            </w:r>
          </w:p>
        </w:tc>
        <w:tc>
          <w:tcPr>
            <w:tcW w:w="53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DCBBC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0.0168 (0.0179)</w:t>
            </w:r>
          </w:p>
        </w:tc>
        <w:tc>
          <w:tcPr>
            <w:tcW w:w="48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1BD6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0.0114</w:t>
            </w:r>
          </w:p>
        </w:tc>
        <w:tc>
          <w:tcPr>
            <w:tcW w:w="39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0A2BF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0.0141</w:t>
            </w:r>
          </w:p>
        </w:tc>
        <w:tc>
          <w:tcPr>
            <w:tcW w:w="40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46513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0.0141</w:t>
            </w:r>
          </w:p>
        </w:tc>
        <w:tc>
          <w:tcPr>
            <w:tcW w:w="41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A68FA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0.0141</w:t>
            </w:r>
          </w:p>
        </w:tc>
        <w:tc>
          <w:tcPr>
            <w:tcW w:w="40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E30B3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0.0141</w:t>
            </w:r>
          </w:p>
        </w:tc>
        <w:tc>
          <w:tcPr>
            <w:tcW w:w="40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31D9E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0.0216</w:t>
            </w:r>
          </w:p>
        </w:tc>
        <w:tc>
          <w:tcPr>
            <w:tcW w:w="50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81511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0.269</w:t>
            </w:r>
          </w:p>
        </w:tc>
      </w:tr>
      <w:tr w:rsidR="00DF395E" w:rsidRPr="00E15E12" w14:paraId="09DB773A" w14:textId="77777777" w:rsidTr="008161DE">
        <w:trPr>
          <w:jc w:val="center"/>
        </w:trPr>
        <w:tc>
          <w:tcPr>
            <w:tcW w:w="5000" w:type="pct"/>
            <w:gridSpan w:val="11"/>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5B708D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 xml:space="preserve">LOD: limit of detection; SD: standard deviation. </w:t>
            </w:r>
            <w:r w:rsidRPr="00E15E12">
              <w:rPr>
                <w:rFonts w:ascii="Times New Roman" w:eastAsia="Arial" w:hAnsi="Times New Roman" w:cs="Times New Roman"/>
                <w:color w:val="000000"/>
              </w:rPr>
              <w:br/>
            </w: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LODs are metal- and batch-specific. Eight batches were run on eight separate days and concentration estimates on a given day were compared to the LOD for that day. LOD on a given day was calculated as follows: LOD = SD of method blank</w:t>
            </w: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 xml:space="preserve">(n=10) × 3. </w:t>
            </w:r>
            <w:r>
              <w:rPr>
                <w:rFonts w:ascii="Times New Roman" w:eastAsia="Arial" w:hAnsi="Times New Roman" w:cs="Times New Roman"/>
                <w:color w:val="000000"/>
              </w:rPr>
              <w:t>For simplicity</w:t>
            </w:r>
            <w:r w:rsidRPr="00E15E12">
              <w:rPr>
                <w:rFonts w:ascii="Times New Roman" w:eastAsia="Arial" w:hAnsi="Times New Roman" w:cs="Times New Roman"/>
                <w:color w:val="000000"/>
              </w:rPr>
              <w:t xml:space="preserve">, the mean across daily LODs is reported ('Mean LOD' column). Values below the LOD were imputed as LOD/sqrt(2). </w:t>
            </w:r>
            <w:r w:rsidRPr="00E15E12">
              <w:rPr>
                <w:rFonts w:ascii="Times New Roman" w:eastAsia="Arial" w:hAnsi="Times New Roman" w:cs="Times New Roman"/>
                <w:color w:val="000000"/>
              </w:rPr>
              <w:br/>
            </w:r>
            <w:r w:rsidRPr="00E15E12">
              <w:rPr>
                <w:rFonts w:ascii="Times New Roman" w:eastAsia="Arial" w:hAnsi="Times New Roman" w:cs="Times New Roman"/>
                <w:color w:val="000000"/>
                <w:vertAlign w:val="superscript"/>
              </w:rPr>
              <w:t>b</w:t>
            </w:r>
            <w:r w:rsidRPr="00E15E12">
              <w:rPr>
                <w:rFonts w:ascii="Times New Roman" w:eastAsia="Arial" w:hAnsi="Times New Roman" w:cs="Times New Roman"/>
                <w:color w:val="000000"/>
              </w:rPr>
              <w:t>Metals with detection rates of at least 60% were considered 'well-detected' and were analyzed in multivariate models for associations with cognition.</w:t>
            </w:r>
          </w:p>
        </w:tc>
      </w:tr>
    </w:tbl>
    <w:p w14:paraId="4379B26E"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2EBEEEF1"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2" w:name="_Toc153535173"/>
      <w:r w:rsidRPr="00AB37EA">
        <w:rPr>
          <w:rFonts w:ascii="Times New Roman" w:hAnsi="Times New Roman" w:cs="Times New Roman"/>
          <w:b w:val="0"/>
          <w:bCs w:val="0"/>
          <w:color w:val="auto"/>
          <w:sz w:val="24"/>
          <w:szCs w:val="24"/>
        </w:rPr>
        <w:lastRenderedPageBreak/>
        <w:t>Table S3. Measurement reliability statistics for well-detected (&gt;60%) early childhood (~3 years) erythrocyte metals, and comparisons to laboratory reference ranges and maternal first-trimester (~10 weeks) erythrocyte concentrations, in the Project Viva cohort, Boston, Massachusetts, USA.</w:t>
      </w:r>
      <w:bookmarkEnd w:id="2"/>
    </w:p>
    <w:tbl>
      <w:tblPr>
        <w:tblStyle w:val="Table"/>
        <w:tblW w:w="0" w:type="pct"/>
        <w:jc w:val="center"/>
        <w:tblLook w:val="0420" w:firstRow="1" w:lastRow="0" w:firstColumn="0" w:lastColumn="0" w:noHBand="0" w:noVBand="1"/>
      </w:tblPr>
      <w:tblGrid>
        <w:gridCol w:w="1790"/>
        <w:gridCol w:w="718"/>
        <w:gridCol w:w="2123"/>
        <w:gridCol w:w="3050"/>
        <w:gridCol w:w="2003"/>
        <w:gridCol w:w="3276"/>
      </w:tblGrid>
      <w:tr w:rsidR="00DF395E" w:rsidRPr="00E15E12" w14:paraId="6690C0BA" w14:textId="77777777" w:rsidTr="008161DE">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E16A3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Metal</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B5AC6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ICC</w:t>
            </w:r>
            <w:r w:rsidRPr="00E15E12">
              <w:rPr>
                <w:rFonts w:ascii="Times New Roman" w:eastAsia="Arial" w:hAnsi="Times New Roman" w:cs="Times New Roman"/>
                <w:color w:val="000000"/>
                <w:vertAlign w:val="superscript"/>
              </w:rPr>
              <w: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A4E4F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 xml:space="preserve">Percent of </w:t>
            </w:r>
            <w:r>
              <w:rPr>
                <w:rFonts w:ascii="Times New Roman" w:eastAsia="Arial" w:hAnsi="Times New Roman" w:cs="Times New Roman"/>
                <w:color w:val="000000"/>
              </w:rPr>
              <w:t>duplicates</w:t>
            </w:r>
            <w:r w:rsidRPr="00E15E12">
              <w:rPr>
                <w:rFonts w:ascii="Times New Roman" w:eastAsia="Arial" w:hAnsi="Times New Roman" w:cs="Times New Roman"/>
                <w:color w:val="000000"/>
              </w:rPr>
              <w:t xml:space="preserve"> with %RPD &lt; 20%</w:t>
            </w:r>
            <w:r w:rsidRPr="00E15E12">
              <w:rPr>
                <w:rFonts w:ascii="Times New Roman" w:eastAsia="Arial" w:hAnsi="Times New Roman" w:cs="Times New Roman"/>
                <w:color w:val="000000"/>
                <w:vertAlign w:val="superscript"/>
              </w:rPr>
              <w:t>b</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F1561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erythrocyte concentration, median (IQR) (ng/g)</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8163B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Laboratory reference range (ng/g)</w:t>
            </w:r>
            <w:r w:rsidRPr="00E15E12">
              <w:rPr>
                <w:rFonts w:ascii="Times New Roman" w:eastAsia="Arial" w:hAnsi="Times New Roman" w:cs="Times New Roman"/>
                <w:color w:val="000000"/>
                <w:vertAlign w:val="superscript"/>
              </w:rPr>
              <w:t>c</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DB1A6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Maternal first-trimester erythrocyte concentration, median (IQR) (ng/g)</w:t>
            </w:r>
            <w:r w:rsidRPr="00E15E12">
              <w:rPr>
                <w:rFonts w:ascii="Times New Roman" w:eastAsia="Arial" w:hAnsi="Times New Roman" w:cs="Times New Roman"/>
                <w:color w:val="000000"/>
                <w:vertAlign w:val="superscript"/>
              </w:rPr>
              <w:t>d</w:t>
            </w:r>
          </w:p>
        </w:tc>
      </w:tr>
      <w:tr w:rsidR="00DF395E" w:rsidRPr="00E15E12" w14:paraId="08113736" w14:textId="77777777" w:rsidTr="008161DE">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E7B3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Essential</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97FB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552B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F2278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2DD4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FBC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DF395E" w:rsidRPr="00E15E12" w14:paraId="57519463"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FC02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Cobalt (Co)</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C429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4205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A1A0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0.0342 (0.0141-0.0531)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63A2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1539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0.0458 (0.0458-0.0458)</w:t>
            </w:r>
          </w:p>
        </w:tc>
      </w:tr>
      <w:tr w:rsidR="00DF395E" w:rsidRPr="00E15E12" w14:paraId="73CB20CF"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B6787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Copper (Cu)</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7AF7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434D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7BDB3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564 (524-632)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4E4C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520-900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8A6F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564 (516-618)</w:t>
            </w:r>
          </w:p>
        </w:tc>
      </w:tr>
      <w:tr w:rsidR="00DF395E" w:rsidRPr="00E15E12" w14:paraId="4A0E547F"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68A6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Magnesium (Mg)</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960B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06CF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18F8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44,700 (41,100-48,600)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B3C3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39,000-59,000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25A4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41,100 (37,000-46,100)</w:t>
            </w:r>
          </w:p>
        </w:tc>
      </w:tr>
      <w:tr w:rsidR="00DF395E" w:rsidRPr="00E15E12" w14:paraId="52ED69F0"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C6BE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Manganese (Mn)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40F4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DADD8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71498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18.1 (14.6-21.9)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D9BF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49B0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16.2 (13.1-20.4)</w:t>
            </w:r>
          </w:p>
        </w:tc>
      </w:tr>
      <w:tr w:rsidR="00DF395E" w:rsidRPr="00E15E12" w14:paraId="66DE955B"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5EDB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Molybdenum (Mo)</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D2A9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6F99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19B2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0.32 (0.25-0.411)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AE33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B94F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0.242 (0.142-0.412)</w:t>
            </w:r>
          </w:p>
        </w:tc>
      </w:tr>
      <w:tr w:rsidR="00DF395E" w:rsidRPr="00E15E12" w14:paraId="5E1461EA"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4A4C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Selenium (Se)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02C65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F62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EED3C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212 (190-239)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3E276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160-490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7B165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248 (219-282)</w:t>
            </w:r>
          </w:p>
        </w:tc>
      </w:tr>
      <w:tr w:rsidR="00DF395E" w:rsidRPr="00E15E12" w14:paraId="74012EA2"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D403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Zinc (Zn)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94B77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F79B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D5C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6,690 (5,900-7,570)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B90C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7,200-13,000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4E257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10,400 (9,270-11,600)</w:t>
            </w:r>
          </w:p>
        </w:tc>
      </w:tr>
      <w:tr w:rsidR="00DF395E" w:rsidRPr="00E15E12" w14:paraId="67FBA07B"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66F13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hAnsi="Times New Roman" w:cs="Times New Roman"/>
              </w:rPr>
              <w:t>Non-Essential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0A84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4181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CE69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756E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E5F5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DF395E" w:rsidRPr="00E15E12" w14:paraId="187B23EC"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488AC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Arsenic (As)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00533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6941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ED22E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0.334 (0.199-0.596)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005B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&lt;8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8914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0.836 (0.41-1.54)</w:t>
            </w:r>
          </w:p>
        </w:tc>
      </w:tr>
      <w:tr w:rsidR="00DF395E" w:rsidRPr="00E15E12" w14:paraId="52D5FDDC"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DCC4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Barium (Ba)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1CA4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2AF35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69%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73F9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0.826 (0.12-1.81)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FEAB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C13F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3.18 (2-5.96)</w:t>
            </w:r>
          </w:p>
        </w:tc>
      </w:tr>
      <w:tr w:rsidR="00DF395E" w:rsidRPr="00E15E12" w14:paraId="0774D2AF"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78BDA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Cadmium (Cd)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11B77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B848C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81%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D513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0.166 (0.122-0.232)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0762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&lt;2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B2911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0.388 (0.269-0.563)</w:t>
            </w:r>
          </w:p>
        </w:tc>
      </w:tr>
      <w:tr w:rsidR="00DF395E" w:rsidRPr="00E15E12" w14:paraId="633C43EC"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3475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Cesium (Cs)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3835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2215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6672D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2.5 (2.01-3.05)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10A7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&lt;15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B0E9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2.53 (2.01-3.18)</w:t>
            </w:r>
          </w:p>
        </w:tc>
      </w:tr>
      <w:tr w:rsidR="00DF395E" w:rsidRPr="00E15E12" w14:paraId="14F1BA13"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698F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lastRenderedPageBreak/>
              <w:t xml:space="preserve">  </w:t>
            </w:r>
            <w:r w:rsidRPr="00E15E12">
              <w:rPr>
                <w:rFonts w:ascii="Times New Roman" w:eastAsia="Arial" w:hAnsi="Times New Roman" w:cs="Times New Roman"/>
                <w:color w:val="000000"/>
              </w:rPr>
              <w:t>Mercury (Hg)</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27FD1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5841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968A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0.454 (0.232-1.21)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0CA0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&lt;10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23B1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3.28 (1.64-6.5)</w:t>
            </w:r>
          </w:p>
        </w:tc>
      </w:tr>
      <w:tr w:rsidR="00DF395E" w:rsidRPr="00E15E12" w14:paraId="327A4298"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C2F2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Lead (Pb)</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A23F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B1AB8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EC8F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27.3 (19.3-43.3)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1756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&lt;50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245B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17.7 (13.5-23.8)</w:t>
            </w:r>
          </w:p>
        </w:tc>
      </w:tr>
      <w:tr w:rsidR="00DF395E" w:rsidRPr="00E15E12" w14:paraId="671BA7AD" w14:textId="77777777" w:rsidTr="008161D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9A06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Tin (Sn)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6A76F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0.82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1BCE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38%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8394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0.237 (0.17-0.36)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AAA2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E144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0.997 (0.997-1.58)</w:t>
            </w:r>
          </w:p>
        </w:tc>
      </w:tr>
      <w:tr w:rsidR="00DF395E" w:rsidRPr="00E15E12" w14:paraId="1AA2380F" w14:textId="77777777" w:rsidTr="008161DE">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FC7C2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Pr>
                <w:rFonts w:ascii="Times New Roman" w:eastAsia="Arial" w:hAnsi="Times New Roman" w:cs="Times New Roman"/>
                <w:color w:val="000000"/>
              </w:rPr>
              <w:t xml:space="preserve">  </w:t>
            </w:r>
            <w:r w:rsidRPr="00E15E12">
              <w:rPr>
                <w:rFonts w:ascii="Times New Roman" w:eastAsia="Arial" w:hAnsi="Times New Roman" w:cs="Times New Roman"/>
                <w:color w:val="000000"/>
              </w:rPr>
              <w:t>Strontium (Sr)</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34AC8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0.97</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CAA8C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94%</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B8D06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2.04 (1.67-2.46)</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20B70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1B0BD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w:t>
            </w:r>
          </w:p>
        </w:tc>
      </w:tr>
      <w:tr w:rsidR="00DF395E" w:rsidRPr="00E15E12" w14:paraId="1FB86FCF" w14:textId="77777777" w:rsidTr="008161DE">
        <w:trPr>
          <w:jc w:val="center"/>
        </w:trPr>
        <w:tc>
          <w:tcPr>
            <w:tcW w:w="0" w:type="auto"/>
            <w:gridSpan w:val="6"/>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C4D62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 xml:space="preserve">ICC: intraclass correlation coefficient; RPD: relative percent difference; SD: standard deviation. </w:t>
            </w:r>
            <w:r w:rsidRPr="00E15E12">
              <w:rPr>
                <w:rFonts w:ascii="Times New Roman" w:eastAsia="Arial" w:hAnsi="Times New Roman" w:cs="Times New Roman"/>
                <w:color w:val="000000"/>
              </w:rPr>
              <w:br/>
            </w: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ICC for within-person instrument replicate error (N=5 replicates per person), indicating the proportion of variability in measurements attributable to between-person variation rather than within-person variation. Higher ICC (range: 0-1) corresponds to lower instrument measurement error.</w:t>
            </w:r>
            <w:r w:rsidRPr="00E15E12">
              <w:rPr>
                <w:rFonts w:ascii="Times New Roman" w:eastAsia="Arial" w:hAnsi="Times New Roman" w:cs="Times New Roman"/>
                <w:color w:val="000000"/>
              </w:rPr>
              <w:br/>
            </w:r>
            <w:r w:rsidRPr="00E15E12">
              <w:rPr>
                <w:rFonts w:ascii="Times New Roman" w:eastAsia="Arial" w:hAnsi="Times New Roman" w:cs="Times New Roman"/>
                <w:color w:val="000000"/>
                <w:vertAlign w:val="superscript"/>
              </w:rPr>
              <w:t>b</w:t>
            </w:r>
            <w:r w:rsidRPr="00E15E12">
              <w:rPr>
                <w:rFonts w:ascii="Times New Roman" w:eastAsia="Arial" w:hAnsi="Times New Roman" w:cs="Times New Roman"/>
                <w:color w:val="000000"/>
              </w:rPr>
              <w:t xml:space="preserve">A randomly selected 4% of samples (N=16) were analyzed in duplicate to assess replicability, estimated using relative percent difference, the absolute difference between the two measurements divided by their average and converted to a percentage. For each analyte, the percent of the N=16 </w:t>
            </w:r>
            <w:r>
              <w:rPr>
                <w:rFonts w:ascii="Times New Roman" w:eastAsia="Arial" w:hAnsi="Times New Roman" w:cs="Times New Roman"/>
                <w:color w:val="000000"/>
              </w:rPr>
              <w:t xml:space="preserve">duplicates </w:t>
            </w:r>
            <w:r w:rsidRPr="00E15E12">
              <w:rPr>
                <w:rFonts w:ascii="Times New Roman" w:eastAsia="Arial" w:hAnsi="Times New Roman" w:cs="Times New Roman"/>
                <w:color w:val="000000"/>
              </w:rPr>
              <w:t xml:space="preserve">with %RPD &lt; 20% is provided. </w:t>
            </w:r>
            <w:r w:rsidRPr="00E15E12">
              <w:rPr>
                <w:rFonts w:ascii="Times New Roman" w:eastAsia="Arial" w:hAnsi="Times New Roman" w:cs="Times New Roman"/>
                <w:color w:val="000000"/>
              </w:rPr>
              <w:br/>
            </w:r>
            <w:r w:rsidRPr="00E15E12">
              <w:rPr>
                <w:rFonts w:ascii="Times New Roman" w:eastAsia="Arial" w:hAnsi="Times New Roman" w:cs="Times New Roman"/>
                <w:color w:val="000000"/>
                <w:vertAlign w:val="superscript"/>
              </w:rPr>
              <w:t>c</w:t>
            </w:r>
            <w:r w:rsidRPr="00E15E12">
              <w:rPr>
                <w:rFonts w:ascii="Times New Roman" w:eastAsia="Arial" w:hAnsi="Times New Roman" w:cs="Times New Roman"/>
                <w:color w:val="000000"/>
              </w:rPr>
              <w:t xml:space="preserve">Reference ranges for young children are derived from a laboratory website: Doctor’s Data Inc. Red Blood Cell (RBC) Elements. Accessed August 12, 2022. https://newsite.doctorsdata.com/Red-Blood-Cell-Elements </w:t>
            </w:r>
            <w:r w:rsidRPr="00E15E12">
              <w:rPr>
                <w:rFonts w:ascii="Times New Roman" w:eastAsia="Arial" w:hAnsi="Times New Roman" w:cs="Times New Roman"/>
                <w:color w:val="000000"/>
              </w:rPr>
              <w:br/>
            </w:r>
            <w:r w:rsidRPr="00E15E12">
              <w:rPr>
                <w:rFonts w:ascii="Times New Roman" w:eastAsia="Arial" w:hAnsi="Times New Roman" w:cs="Times New Roman"/>
                <w:color w:val="000000"/>
                <w:vertAlign w:val="superscript"/>
              </w:rPr>
              <w:t>d</w:t>
            </w:r>
            <w:r w:rsidRPr="00E15E12">
              <w:rPr>
                <w:rFonts w:ascii="Times New Roman" w:eastAsia="Arial" w:hAnsi="Times New Roman" w:cs="Times New Roman"/>
                <w:color w:val="000000"/>
              </w:rPr>
              <w:t>First-trimester (~10 weeks) maternal erythrocyte concentrations are reported. Strontium was not measured in maternal samples.</w:t>
            </w:r>
          </w:p>
        </w:tc>
      </w:tr>
    </w:tbl>
    <w:p w14:paraId="01A62A2D"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5EACA8E2"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3" w:name="_Toc153535174"/>
      <w:r w:rsidRPr="00AB37EA">
        <w:rPr>
          <w:rFonts w:ascii="Times New Roman" w:hAnsi="Times New Roman" w:cs="Times New Roman"/>
          <w:b w:val="0"/>
          <w:bCs w:val="0"/>
          <w:color w:val="auto"/>
          <w:sz w:val="24"/>
          <w:szCs w:val="24"/>
        </w:rPr>
        <w:lastRenderedPageBreak/>
        <w:t>Table S4. Tabular presentation of results from main text Figure 1: multivariable linear regression estimates and 95% confidence intervals of adjusted mean difference in early childhood (~3 years) cognitive test scores assessing visual-motor ability (WRAVMA) or receptive vocabulary (PPVT-III), associated with a doubling in early childhood erythrocyte concentration of a non-essential or essential metal.</w:t>
      </w:r>
      <w:bookmarkEnd w:id="3"/>
    </w:p>
    <w:tbl>
      <w:tblPr>
        <w:tblStyle w:val="Table"/>
        <w:tblW w:w="5000" w:type="pct"/>
        <w:jc w:val="center"/>
        <w:tblLook w:val="0420" w:firstRow="1" w:lastRow="0" w:firstColumn="0" w:lastColumn="0" w:noHBand="0" w:noVBand="1"/>
      </w:tblPr>
      <w:tblGrid>
        <w:gridCol w:w="1330"/>
        <w:gridCol w:w="2006"/>
        <w:gridCol w:w="2263"/>
        <w:gridCol w:w="2081"/>
        <w:gridCol w:w="2328"/>
        <w:gridCol w:w="2952"/>
      </w:tblGrid>
      <w:tr w:rsidR="00DF395E" w:rsidRPr="00E15E12" w14:paraId="5724A554" w14:textId="77777777" w:rsidTr="008161DE">
        <w:trPr>
          <w:cnfStyle w:val="100000000000" w:firstRow="1" w:lastRow="0" w:firstColumn="0" w:lastColumn="0" w:oddVBand="0" w:evenVBand="0" w:oddHBand="0" w:evenHBand="0" w:firstRowFirstColumn="0" w:firstRowLastColumn="0" w:lastRowFirstColumn="0" w:lastRowLastColumn="0"/>
          <w:jc w:val="center"/>
        </w:trPr>
        <w:tc>
          <w:tcPr>
            <w:tcW w:w="5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D7CA3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4487" w:type="pct"/>
            <w:gridSpan w:val="5"/>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752BF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Adjusted</w:t>
            </w: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 xml:space="preserve"> mean difference (95% CI) in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cognitive test score per doubling of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erythrocyte metal concentration</w:t>
            </w:r>
          </w:p>
        </w:tc>
      </w:tr>
      <w:tr w:rsidR="009F5772" w:rsidRPr="00E15E12" w14:paraId="6EAEE99F" w14:textId="77777777" w:rsidTr="008161DE">
        <w:trPr>
          <w:jc w:val="center"/>
        </w:trPr>
        <w:tc>
          <w:tcPr>
            <w:tcW w:w="5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E778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Metal</w:t>
            </w:r>
          </w:p>
        </w:tc>
        <w:tc>
          <w:tcPr>
            <w:tcW w:w="77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012A0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summary</w:t>
            </w:r>
          </w:p>
        </w:tc>
        <w:tc>
          <w:tcPr>
            <w:tcW w:w="87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B628C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visual-motor</w:t>
            </w:r>
          </w:p>
        </w:tc>
        <w:tc>
          <w:tcPr>
            <w:tcW w:w="8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4668A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fine-motor</w:t>
            </w:r>
          </w:p>
        </w:tc>
        <w:tc>
          <w:tcPr>
            <w:tcW w:w="89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28AD4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visual-spatial</w:t>
            </w:r>
          </w:p>
        </w:tc>
        <w:tc>
          <w:tcPr>
            <w:tcW w:w="113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8C268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PPVT-III perceptive vocabulary</w:t>
            </w:r>
          </w:p>
        </w:tc>
      </w:tr>
      <w:tr w:rsidR="009F5772" w:rsidRPr="00E15E12" w14:paraId="304A5616" w14:textId="77777777" w:rsidTr="008161DE">
        <w:trPr>
          <w:jc w:val="center"/>
        </w:trPr>
        <w:tc>
          <w:tcPr>
            <w:tcW w:w="51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57E3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Non-essential</w:t>
            </w:r>
          </w:p>
        </w:tc>
        <w:tc>
          <w:tcPr>
            <w:tcW w:w="77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07A46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7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BB60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2E8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9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EA56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113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B787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r>
      <w:tr w:rsidR="009F5772" w:rsidRPr="00E15E12" w14:paraId="605BC6BF"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D55B7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As</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1C28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-0.08 ( -1.31, 1.15)</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30DC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0.17 ( -1.13, 1.46)</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2800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0.39 ( -0.84, 1.62)</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7494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-0.61 ( -2.22, 1.00)</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4287A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0.63 ( -0.78, 2.05)</w:t>
            </w:r>
          </w:p>
        </w:tc>
      </w:tr>
      <w:tr w:rsidR="009F5772" w:rsidRPr="00E15E12" w14:paraId="503D2913"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4717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Ba</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E2BC0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-0.34 ( -0.95, 0.27)</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54167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-0.87 ( -1.52, -0.22)</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D7B8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-0.20 ( -0.81, 0.42)</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82C9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0.58 ( -0.22, 1.37)</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3EBE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0.77 ( 0.05, 1.49)</w:t>
            </w:r>
          </w:p>
        </w:tc>
      </w:tr>
      <w:tr w:rsidR="009F5772" w:rsidRPr="00E15E12" w14:paraId="376E2ED7"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D8D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Cd</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A96A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0.45 ( -0.90, 1.79)</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1C76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-0.06 ( -1.53, 1.41)</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A97B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-0.74 ( -2.11, 0.63)</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C78F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2.05 ( 0.28, 3.82)</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8875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0.55 ( -1.04, 2.14)</w:t>
            </w:r>
          </w:p>
        </w:tc>
      </w:tr>
      <w:tr w:rsidR="009F5772" w:rsidRPr="00E15E12" w14:paraId="3B5E061B"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07B42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Cs</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782B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0.68 ( -2.25, 3.62)</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F00B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1.23 ( -1.94, 4.40)</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C7DC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0.68 ( -2.30, 3.67)</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82CFD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-0.47 ( -4.32, 3.39)</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CC8B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-0.50 ( -3.97, 2.96)</w:t>
            </w:r>
          </w:p>
        </w:tc>
      </w:tr>
      <w:tr w:rsidR="009F5772" w:rsidRPr="00E15E12" w14:paraId="24EE06A0"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D059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Hg</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B314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0.28 ( -0.61, 1.18)</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EC4C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0.34 ( -0.62, 1.29)</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F67C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0.12 ( -0.79, 1.03)</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9DD9B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0.08 ( -1.09, 1.26)</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B6552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0.40 ( -0.65, 1.45)</w:t>
            </w:r>
          </w:p>
        </w:tc>
      </w:tr>
      <w:tr w:rsidR="009F5772" w:rsidRPr="00E15E12" w14:paraId="70461EEA"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80DDD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Pb</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BB0B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-2.43 ( -4.01, -0.86)</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8138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-1.76 ( -3.44, -0.08)</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213BB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-2.10 ( -3.69, -0.51)</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FBCA7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-2.07 ( -4.08, -0.06)</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431C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-1.45 ( -3.26, 0.36)</w:t>
            </w:r>
          </w:p>
        </w:tc>
      </w:tr>
      <w:tr w:rsidR="009F5772" w:rsidRPr="00E15E12" w14:paraId="4FD2CC13"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1CFAB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Sn</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CBBE3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-0.11 ( -1.26, 1.04)</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CF52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-0.13 ( -1.37, 1.12)</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64F92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1.15 ( -0.02, 2.32)</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B8662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-0.87 ( -2.37, 0.62)</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2D99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-0.15 ( -1.50, 1.21)</w:t>
            </w:r>
          </w:p>
        </w:tc>
      </w:tr>
      <w:tr w:rsidR="009F5772" w:rsidRPr="00E15E12" w14:paraId="616DF15B"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BDAA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Sr</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02C2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0.26 ( -2.02, 2.54)</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9EAA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-0.22 ( -2.65, 2.22)</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C858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-0.88 ( -3.20, 1.44)</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AC4D7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2.18 ( -0.80, 5.16)</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25710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0.76 ( -1.92, 3.45)</w:t>
            </w:r>
          </w:p>
        </w:tc>
      </w:tr>
      <w:tr w:rsidR="009F5772" w:rsidRPr="00E15E12" w14:paraId="3E693C73"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12BC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Essential</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8D3C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1170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DB8B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530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928A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r>
      <w:tr w:rsidR="009F5772" w:rsidRPr="00E15E12" w14:paraId="2AD4AF49"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40E0F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lastRenderedPageBreak/>
              <w:t>Co</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25D3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-0.38 ( -1.15, 0.38)</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F9EE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-0.35 ( -1.17, 0.47)</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041D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-0.53 ( -1.30, 0.24)</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B805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0.13 ( -0.86, 1.12)</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8821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-0.10 ( -0.99, 0.79)</w:t>
            </w:r>
          </w:p>
        </w:tc>
      </w:tr>
      <w:tr w:rsidR="009F5772" w:rsidRPr="00E15E12" w14:paraId="507CE59D"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55D0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Cu</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DFE49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-2.09 ( -7.99, 3.80)</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21E8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-0.89 ( -7.32, 5.53)</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AAD9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0.53 ( -5.47, 6.54)</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22D5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-4.76 (-12.42, 2.91)</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1E78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-2.79 ( -9.75, 4.18)</w:t>
            </w:r>
          </w:p>
        </w:tc>
      </w:tr>
      <w:tr w:rsidR="009F5772" w:rsidRPr="00E15E12" w14:paraId="54CFEF2E"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81864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Mg</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8841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8.11 ( 1.53, 14.68)</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C058B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6.40 ( -0.77, 13.56)</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17858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2.69 ( -3.98, 9.35)</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B206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10.28 ( 1.80, 18.77)</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5FEE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6.69 ( -1.05, 14.43)</w:t>
            </w:r>
          </w:p>
        </w:tc>
      </w:tr>
      <w:tr w:rsidR="009F5772" w:rsidRPr="00E15E12" w14:paraId="4CCD4F53"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791B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Mn</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D5FA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0.40 ( -2.49, 3.30)</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8AC15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2.81 ( -0.30, 5.92)</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8DBC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-0.15 ( -3.09, 2.79)</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38C8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-2.06 ( -5.81, 1.68)</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3C65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-0.78 ( -4.14, 2.59)</w:t>
            </w:r>
          </w:p>
        </w:tc>
      </w:tr>
      <w:tr w:rsidR="009F5772" w:rsidRPr="00E15E12" w14:paraId="73DF2FF0"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8FAD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Mo</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6B11B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0.33 ( -1.42, 2.07)</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2B78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-1.12 ( -2.99, 0.76)</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8668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0.37 ( -1.41, 2.15)</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310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0.49 ( -1.75, 2.74)</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3701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0.08 ( -1.95, 2.11)</w:t>
            </w:r>
          </w:p>
        </w:tc>
      </w:tr>
      <w:tr w:rsidR="009F5772" w:rsidRPr="00E15E12" w14:paraId="0FB2F231"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EFC7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Se</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7C82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-3.81 ( -9.51, 1.89)</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5799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-7.14 (-13.35, -0.94)</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6B3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-2.23 ( -8.06, 3.61)</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9DBE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1.61 ( -5.87, 9.10)</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63E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-4.97 (-11.75, 1.81)</w:t>
            </w:r>
          </w:p>
        </w:tc>
      </w:tr>
      <w:tr w:rsidR="009F5772" w:rsidRPr="00E15E12" w14:paraId="4B2912A0" w14:textId="77777777" w:rsidTr="008161DE">
        <w:trPr>
          <w:jc w:val="center"/>
        </w:trPr>
        <w:tc>
          <w:tcPr>
            <w:tcW w:w="51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02001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Zn</w:t>
            </w:r>
          </w:p>
        </w:tc>
        <w:tc>
          <w:tcPr>
            <w:tcW w:w="77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C963D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-4.58 ( -9.55, 0.39)</w:t>
            </w:r>
          </w:p>
        </w:tc>
        <w:tc>
          <w:tcPr>
            <w:tcW w:w="87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081CE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-2.46 ( -7.79, 2.87)</w:t>
            </w:r>
          </w:p>
        </w:tc>
        <w:tc>
          <w:tcPr>
            <w:tcW w:w="8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489B4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-1.62 ( -6.68, 3.44)</w:t>
            </w:r>
          </w:p>
        </w:tc>
        <w:tc>
          <w:tcPr>
            <w:tcW w:w="89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7923A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-7.25 (-13.66, -0.84)</w:t>
            </w:r>
          </w:p>
        </w:tc>
        <w:tc>
          <w:tcPr>
            <w:tcW w:w="113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5A382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-0.99 ( -6.81, 4.84)</w:t>
            </w:r>
          </w:p>
        </w:tc>
      </w:tr>
      <w:tr w:rsidR="00DF395E" w:rsidRPr="00E15E12" w14:paraId="309073DF" w14:textId="77777777" w:rsidTr="008161DE">
        <w:trPr>
          <w:jc w:val="center"/>
        </w:trPr>
        <w:tc>
          <w:tcPr>
            <w:tcW w:w="5000" w:type="pct"/>
            <w:gridSpan w:val="6"/>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1BC518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CI: confidence interval; PPVT-III: Peabody Picture Vocabulary Test, 3rd edition;  WRAVMA: Wide Range Assessment of Visual Motor Abilities</w:t>
            </w:r>
          </w:p>
        </w:tc>
      </w:tr>
      <w:tr w:rsidR="00DF395E" w:rsidRPr="00E15E12" w14:paraId="6B5D1EC4" w14:textId="77777777" w:rsidTr="008161DE">
        <w:trPr>
          <w:jc w:val="center"/>
        </w:trPr>
        <w:tc>
          <w:tcPr>
            <w:tcW w:w="5000" w:type="pct"/>
            <w:gridSpan w:val="6"/>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0BA04F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 xml:space="preserve">N=336 children were included in these analyses, on whom there was data on at least one exposure, one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outcome, and all covariates.</w:t>
            </w:r>
          </w:p>
        </w:tc>
      </w:tr>
      <w:tr w:rsidR="00DF395E" w:rsidRPr="00E15E12" w14:paraId="2EC3F0A3" w14:textId="77777777" w:rsidTr="008161DE">
        <w:trPr>
          <w:jc w:val="center"/>
        </w:trPr>
        <w:tc>
          <w:tcPr>
            <w:tcW w:w="5000" w:type="pct"/>
            <w:gridSpan w:val="6"/>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6E72376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 xml:space="preserve">Models adjusted for child race and ethnicity, fish consumption, daycare attendance, breastfeeding duration, household income, maternal PPVT-III score at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visit, education, marital status, and age at enrollment. For each metal, we also adjusted for the maternal first-trimester erythrocyte concentration of the metal, and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erythrocyte concentrations of the 14 other concurrently measured metals.</w:t>
            </w:r>
          </w:p>
        </w:tc>
      </w:tr>
    </w:tbl>
    <w:p w14:paraId="2DF37A0D"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709E2095"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4" w:name="_Toc153535175"/>
      <w:r w:rsidRPr="00AB37EA">
        <w:rPr>
          <w:rFonts w:ascii="Times New Roman" w:hAnsi="Times New Roman" w:cs="Times New Roman"/>
          <w:b w:val="0"/>
          <w:bCs w:val="0"/>
          <w:color w:val="auto"/>
          <w:sz w:val="24"/>
          <w:szCs w:val="24"/>
        </w:rPr>
        <w:lastRenderedPageBreak/>
        <w:t>Table S5. Tabular presentation of results from main text Figure 2: multivariable linear regression estimates and 95% confidence intervals of adjusted mean difference in mid-childhood (~8 years) cognitive test scores assessing visual memory (WRAML2), visual-motor ability (WRAVMA), crystallized intelligence (KBIT-II verbal), or fluid intelligence (KBIT-II non-verbal), associated with a doubling in early childhood (~3 years) erythrocyte concentration of a non-essential or essential metal.</w:t>
      </w:r>
      <w:bookmarkEnd w:id="4"/>
    </w:p>
    <w:tbl>
      <w:tblPr>
        <w:tblStyle w:val="Table"/>
        <w:tblW w:w="5000" w:type="pct"/>
        <w:jc w:val="center"/>
        <w:tblLook w:val="0420" w:firstRow="1" w:lastRow="0" w:firstColumn="0" w:lastColumn="0" w:noHBand="0" w:noVBand="1"/>
      </w:tblPr>
      <w:tblGrid>
        <w:gridCol w:w="1172"/>
        <w:gridCol w:w="1996"/>
        <w:gridCol w:w="1765"/>
        <w:gridCol w:w="2203"/>
        <w:gridCol w:w="2193"/>
        <w:gridCol w:w="1866"/>
        <w:gridCol w:w="1765"/>
      </w:tblGrid>
      <w:tr w:rsidR="00DF395E" w:rsidRPr="00E15E12" w14:paraId="5AE3A9D5" w14:textId="77777777" w:rsidTr="008161DE">
        <w:trPr>
          <w:cnfStyle w:val="100000000000" w:firstRow="1" w:lastRow="0" w:firstColumn="0" w:lastColumn="0" w:oddVBand="0" w:evenVBand="0" w:oddHBand="0" w:evenHBand="0" w:firstRowFirstColumn="0" w:firstRowLastColumn="0" w:lastRowFirstColumn="0" w:lastRowLastColumn="0"/>
          <w:jc w:val="center"/>
        </w:trPr>
        <w:tc>
          <w:tcPr>
            <w:tcW w:w="45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54E87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4548" w:type="pct"/>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68070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Adjusted</w:t>
            </w: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 xml:space="preserve"> mean difference (95% CI) in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cognitive test score per doubling of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erythrocyte metal concentration</w:t>
            </w:r>
          </w:p>
        </w:tc>
      </w:tr>
      <w:tr w:rsidR="009F5772" w:rsidRPr="00E15E12" w14:paraId="7F1780BE" w14:textId="77777777" w:rsidTr="008161DE">
        <w:trPr>
          <w:jc w:val="center"/>
        </w:trPr>
        <w:tc>
          <w:tcPr>
            <w:tcW w:w="45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F732F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Metal</w:t>
            </w:r>
          </w:p>
        </w:tc>
        <w:tc>
          <w:tcPr>
            <w:tcW w:w="77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6BC8E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visual-motor</w:t>
            </w:r>
          </w:p>
        </w:tc>
        <w:tc>
          <w:tcPr>
            <w:tcW w:w="68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06702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WRAML2 total</w:t>
            </w:r>
          </w:p>
        </w:tc>
        <w:tc>
          <w:tcPr>
            <w:tcW w:w="85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08564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WRAML2 picture memory</w:t>
            </w:r>
          </w:p>
        </w:tc>
        <w:tc>
          <w:tcPr>
            <w:tcW w:w="8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E3267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WRAML2 design memory</w:t>
            </w:r>
          </w:p>
        </w:tc>
        <w:tc>
          <w:tcPr>
            <w:tcW w:w="72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480F2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KBIT-II non-verbal</w:t>
            </w:r>
          </w:p>
        </w:tc>
        <w:tc>
          <w:tcPr>
            <w:tcW w:w="68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7B311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KBIT-II verbal</w:t>
            </w:r>
          </w:p>
        </w:tc>
      </w:tr>
      <w:tr w:rsidR="009F5772" w:rsidRPr="00E15E12" w14:paraId="2EB65978" w14:textId="77777777" w:rsidTr="008161DE">
        <w:trPr>
          <w:jc w:val="center"/>
        </w:trPr>
        <w:tc>
          <w:tcPr>
            <w:tcW w:w="45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B2F21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Non-essential</w:t>
            </w:r>
          </w:p>
        </w:tc>
        <w:tc>
          <w:tcPr>
            <w:tcW w:w="77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FEE40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8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EC1C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5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DA67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4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830F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72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C739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8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B303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9F5772" w:rsidRPr="00E15E12" w14:paraId="6627FDD1"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932B1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As</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994D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-0.49 ( -2.53, 1.55)</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F8A0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-0.40 ( -0.94, 0.14)</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F999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-0.25 ( -0.63, 0.14)</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42EA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-0.14 ( -0.49, 0.20)</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E1BE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0.14 ( -1.96, 2.25)</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21E7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-0.26 ( -1.75, 1.24)</w:t>
            </w:r>
          </w:p>
        </w:tc>
      </w:tr>
      <w:tr w:rsidR="009F5772" w:rsidRPr="00E15E12" w14:paraId="244BBA87"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1306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Ba</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EB252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-0.12 ( -1.15, 0.90)</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FD306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0.23 ( -0.04, 0.51)</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75E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0.21 ( 0.01, 0.40)</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78DF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0.02 ( -0.15, 0.19)</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D6EC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0.41 ( -0.65, 1.47)</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10BDB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0.08 ( -0.68, 0.83)</w:t>
            </w:r>
          </w:p>
        </w:tc>
      </w:tr>
      <w:tr w:rsidR="009F5772" w:rsidRPr="00E15E12" w14:paraId="34BFC294"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F8F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Cd</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79C5B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1.55 ( -0.69, 3.78)</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39E1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0.00 ( -0.59, 0.60)</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F53F5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-0.05 ( -0.47, 0.38)</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C862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0.04 ( -0.33, 0.42)</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04AA2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0.51 ( -1.79, 2.81)</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004A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0.37 ( -1.26, 2.01)</w:t>
            </w:r>
          </w:p>
        </w:tc>
      </w:tr>
      <w:tr w:rsidR="009F5772" w:rsidRPr="00E15E12" w14:paraId="75F13F31"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872E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Cs</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D825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-1.87 ( -6.96, 3.22)</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DAC0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-0.84 ( -2.20, 0.52)</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C73E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-0.66 ( -1.62, 0.31)</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B696E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-0.16 ( -1.02, 0.70)</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88BD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-2.08 ( -7.35, 3.19)</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A9821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-1.84 ( -5.58, 1.91)</w:t>
            </w:r>
          </w:p>
        </w:tc>
      </w:tr>
      <w:tr w:rsidR="009F5772" w:rsidRPr="00E15E12" w14:paraId="33F464DD"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21E8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Hg</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A18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0.09 ( -1.43, 1.62)</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14F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0.16 ( -0.24, 0.56)</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3877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0.22 ( -0.06, 0.50)</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20817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-0.06 ( -0.31, 0.20)</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4D7D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1.63 ( 0.08, 3.17)</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9A38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0.80 ( -0.31, 1.91)</w:t>
            </w:r>
          </w:p>
        </w:tc>
      </w:tr>
      <w:tr w:rsidR="009F5772" w:rsidRPr="00E15E12" w14:paraId="02745B6B"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CE49C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Pb</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21D4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-1.60 ( -4.29, 1.09)</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B1F6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-0.04 ( -0.76, 0.67)</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001F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0.25 ( -0.25, 0.76)</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E7406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-0.33 ( -0.78, 0.13)</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DD48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-0.76 ( -3.53, 2.00)</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EF329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-1.46 ( -3.43, 0.51)</w:t>
            </w:r>
          </w:p>
        </w:tc>
      </w:tr>
      <w:tr w:rsidR="009F5772" w:rsidRPr="00E15E12" w14:paraId="2F6B20C0"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E3D0D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Sn</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EBD9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-0.85 ( -2.79, 1.09)</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B33C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0.20 ( -0.32, 0.72)</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E13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-0.14 ( -0.51, 0.23)</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F679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0.34 ( 0.01, 0.68)</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64D1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0.37 ( -1.65, 2.39)</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87CD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-0.18 ( -1.61, 1.26)</w:t>
            </w:r>
          </w:p>
        </w:tc>
      </w:tr>
      <w:tr w:rsidR="009F5772" w:rsidRPr="00E15E12" w14:paraId="35924352"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D41FE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lastRenderedPageBreak/>
              <w:t>Sr</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86C3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-0.58 ( -4.99, 3.84)</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CFDA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0.56 ( -0.61, 1.73)</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CEBC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0.21 ( -0.62, 1.04)</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E1CE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0.36 ( -0.39, 1.10)</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72A6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-4.69 ( -9.25, -0.14)</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16CA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-0.72 ( -3.96, 2.52)</w:t>
            </w:r>
          </w:p>
        </w:tc>
      </w:tr>
      <w:tr w:rsidR="009F5772" w:rsidRPr="00E15E12" w14:paraId="25370A62"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D75F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Essential</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40C2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40D1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5FC2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780A4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2E83D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5486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9F5772" w:rsidRPr="00E15E12" w14:paraId="512E3683"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6143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Co</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247D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-0.72 ( -1.99, 0.55)</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9DB7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 -0.32, 0.35)</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63DF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 -0.24, 0.23)</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43708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0.02 ( -0.19, 0.24)</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2239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-0.10 ( -1.40, 1.20)</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D66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-0.47 ( -1.39, 0.45)</w:t>
            </w:r>
          </w:p>
        </w:tc>
      </w:tr>
      <w:tr w:rsidR="009F5772" w:rsidRPr="00E15E12" w14:paraId="29F87932"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E292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Cu</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E077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2.16 ( -8.23, 12.55)</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1974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0.38 ( -2.38, 3.15)</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F575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-0.87 ( -2.83, 1.10)</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5DED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1.19 ( -0.57, 2.95)</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63AB0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0.61 (-10.13, 11.34)</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46D0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2.04 ( -5.60, 9.68)</w:t>
            </w:r>
          </w:p>
        </w:tc>
      </w:tr>
      <w:tr w:rsidR="009F5772" w:rsidRPr="00E15E12" w14:paraId="7375AC40"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E409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Mg</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FC68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6.40 ( -5.28, 18.07)</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3F15C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-1.27 ( -4.36, 1.83)</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482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0.26 ( -1.94, 2.46)</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90EC4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-1.41 ( -3.37, 0.55)</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C4987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-2.68 (-14.68, 9.33)</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9C3B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-0.62 ( -9.15, 7.92)</w:t>
            </w:r>
          </w:p>
        </w:tc>
      </w:tr>
      <w:tr w:rsidR="009F5772" w:rsidRPr="00E15E12" w14:paraId="365CE86E"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E079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Mn</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56EF5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-4.39 ( -9.29, 0.52)</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27FC1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0.76 ( -0.54, 2.06)</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F26B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0.32 ( -0.60, 1.24)</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7D406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0.39 ( -0.43, 1.21)</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B936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2.74 ( -2.28, 7.76)</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F342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1.07 ( -2.49, 4.64)</w:t>
            </w:r>
          </w:p>
        </w:tc>
      </w:tr>
      <w:tr w:rsidR="009F5772" w:rsidRPr="00E15E12" w14:paraId="0185DF27"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DA79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Mo</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4223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0.62 ( -2.35, 3.59)</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0FB8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0.31 ( -0.48, 1.10)</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FD832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0.15 ( -0.41, 0.71)</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DD3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0.19 ( -0.31, 0.69)</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C3D48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0.96 ( -2.10, 4.01)</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BD558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1.82 ( -0.35, 3.98)</w:t>
            </w:r>
          </w:p>
        </w:tc>
      </w:tr>
      <w:tr w:rsidR="009F5772" w:rsidRPr="00E15E12" w14:paraId="37800A97" w14:textId="77777777" w:rsidTr="008161DE">
        <w:trPr>
          <w:jc w:val="center"/>
        </w:trPr>
        <w:tc>
          <w:tcPr>
            <w:tcW w:w="45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CE91D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Se</w:t>
            </w:r>
          </w:p>
        </w:tc>
        <w:tc>
          <w:tcPr>
            <w:tcW w:w="7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BEBC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3.50 ( -5.87, 12.87)</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1323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0.00 ( -2.47, 2.47)</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0A1B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-0.43 ( -2.18, 1.33)</w:t>
            </w:r>
          </w:p>
        </w:tc>
        <w:tc>
          <w:tcPr>
            <w:tcW w:w="8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7D17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0.39 ( -1.18, 1.97)</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C83E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-3.84 (-13.44, 5.77)</w:t>
            </w:r>
          </w:p>
        </w:tc>
        <w:tc>
          <w:tcPr>
            <w:tcW w:w="6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8CE02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-0.20 ( -7.03, 6.62)</w:t>
            </w:r>
          </w:p>
        </w:tc>
      </w:tr>
      <w:tr w:rsidR="009F5772" w:rsidRPr="00E15E12" w14:paraId="08F3C155" w14:textId="77777777" w:rsidTr="008161DE">
        <w:trPr>
          <w:jc w:val="center"/>
        </w:trPr>
        <w:tc>
          <w:tcPr>
            <w:tcW w:w="45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23153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Zn</w:t>
            </w:r>
          </w:p>
        </w:tc>
        <w:tc>
          <w:tcPr>
            <w:tcW w:w="77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F142B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-0.88 ( -9.48, 7.72)</w:t>
            </w:r>
          </w:p>
        </w:tc>
        <w:tc>
          <w:tcPr>
            <w:tcW w:w="68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99EDC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0.87 ( -1.40, 3.14)</w:t>
            </w:r>
          </w:p>
        </w:tc>
        <w:tc>
          <w:tcPr>
            <w:tcW w:w="85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43D01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1.00 ( -0.62, 2.62)</w:t>
            </w:r>
          </w:p>
        </w:tc>
        <w:tc>
          <w:tcPr>
            <w:tcW w:w="84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92282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-0.17 ( -1.61, 1.28)</w:t>
            </w:r>
          </w:p>
        </w:tc>
        <w:tc>
          <w:tcPr>
            <w:tcW w:w="72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1AD29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-10.01 (-18.83, -1.18)</w:t>
            </w:r>
          </w:p>
        </w:tc>
        <w:tc>
          <w:tcPr>
            <w:tcW w:w="68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0E62D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-1.21 ( -7.50, 5.08)</w:t>
            </w:r>
          </w:p>
        </w:tc>
      </w:tr>
      <w:tr w:rsidR="00DF395E" w:rsidRPr="00E15E12" w14:paraId="371F5EFD" w14:textId="77777777" w:rsidTr="008161DE">
        <w:trPr>
          <w:jc w:val="center"/>
        </w:trPr>
        <w:tc>
          <w:tcPr>
            <w:tcW w:w="5000" w:type="pct"/>
            <w:gridSpan w:val="7"/>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A4C95E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CI: confidence interval; KBIT-II: Kaufman Brief Intelligence Test, 2nd edition; WRAML2: Wide Range Assessment of Memory and Learning, 2nd edition; WRAVMA: Wide Range Assessment of Visual Motor Abilities</w:t>
            </w:r>
          </w:p>
        </w:tc>
      </w:tr>
      <w:tr w:rsidR="00DF395E" w:rsidRPr="00E15E12" w14:paraId="1617CD7F" w14:textId="77777777" w:rsidTr="008161DE">
        <w:trPr>
          <w:jc w:val="center"/>
        </w:trPr>
        <w:tc>
          <w:tcPr>
            <w:tcW w:w="5000" w:type="pct"/>
            <w:gridSpan w:val="7"/>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498BDFD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N=296 children were included in these analyses, on whom there was data on at least one exposure, one mid-childhood outcome, and all covariates.</w:t>
            </w:r>
          </w:p>
        </w:tc>
      </w:tr>
      <w:tr w:rsidR="00DF395E" w:rsidRPr="00E15E12" w14:paraId="0A6D7197" w14:textId="77777777" w:rsidTr="008161DE">
        <w:trPr>
          <w:jc w:val="center"/>
        </w:trPr>
        <w:tc>
          <w:tcPr>
            <w:tcW w:w="5000" w:type="pct"/>
            <w:gridSpan w:val="7"/>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A333B0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 xml:space="preserve">Models adjusted for child race and ethnicity, fish consumption, daycare attendance, breastfeeding duration, household income, maternal KBIT-II composite score at mid-childhood visit, education, marital status, and age at enrollment. For each metal, we also adjusted for the maternal first-trimester erythrocyte concentration of the metal, and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erythrocyte concentrations of the 14 other concurrently measured metals.</w:t>
            </w:r>
          </w:p>
        </w:tc>
      </w:tr>
    </w:tbl>
    <w:p w14:paraId="23AB57BE"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lastRenderedPageBreak/>
        <w:br w:type="page"/>
      </w:r>
    </w:p>
    <w:p w14:paraId="7F51DC1A"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5" w:name="_Toc153535176"/>
      <w:r w:rsidRPr="00AB37EA">
        <w:rPr>
          <w:rFonts w:ascii="Times New Roman" w:hAnsi="Times New Roman" w:cs="Times New Roman"/>
          <w:b w:val="0"/>
          <w:bCs w:val="0"/>
          <w:color w:val="auto"/>
          <w:sz w:val="24"/>
          <w:szCs w:val="24"/>
        </w:rPr>
        <w:lastRenderedPageBreak/>
        <w:t>Table S6. Estimates and 95% confidence intervals of adjusted mean difference in early childhood (~3 years) cognitive test scores assessing visual-motor ability (WRAVMA) or receptive vocabulary (PPVT-III), associated with a doubling in early childhood erythrocyte concentration of a non-essential or essential metal. Estimates are from multivariable linear regression models with adjustment for covariates, including first-trimester erythrocyte concentration, but no adjustment for other concurrently measured early childhood erythrocyte metals.</w:t>
      </w:r>
      <w:bookmarkEnd w:id="5"/>
    </w:p>
    <w:tbl>
      <w:tblPr>
        <w:tblStyle w:val="Table"/>
        <w:tblW w:w="5000" w:type="pct"/>
        <w:jc w:val="center"/>
        <w:tblLook w:val="0420" w:firstRow="1" w:lastRow="0" w:firstColumn="0" w:lastColumn="0" w:noHBand="0" w:noVBand="1"/>
      </w:tblPr>
      <w:tblGrid>
        <w:gridCol w:w="1330"/>
        <w:gridCol w:w="2006"/>
        <w:gridCol w:w="2263"/>
        <w:gridCol w:w="2081"/>
        <w:gridCol w:w="2328"/>
        <w:gridCol w:w="2952"/>
      </w:tblGrid>
      <w:tr w:rsidR="00DF395E" w:rsidRPr="00E15E12" w14:paraId="301F28BC" w14:textId="77777777" w:rsidTr="008161DE">
        <w:trPr>
          <w:cnfStyle w:val="100000000000" w:firstRow="1" w:lastRow="0" w:firstColumn="0" w:lastColumn="0" w:oddVBand="0" w:evenVBand="0" w:oddHBand="0" w:evenHBand="0" w:firstRowFirstColumn="0" w:firstRowLastColumn="0" w:lastRowFirstColumn="0" w:lastRowLastColumn="0"/>
          <w:jc w:val="center"/>
        </w:trPr>
        <w:tc>
          <w:tcPr>
            <w:tcW w:w="5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75C79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4487" w:type="pct"/>
            <w:gridSpan w:val="5"/>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77706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Adjusted</w:t>
            </w: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 xml:space="preserve"> mean difference (95% CI) in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cognitive test score per doubling of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erythrocyte metal concentration</w:t>
            </w:r>
          </w:p>
        </w:tc>
      </w:tr>
      <w:tr w:rsidR="009F5772" w:rsidRPr="00E15E12" w14:paraId="7CDFD015" w14:textId="77777777" w:rsidTr="008161DE">
        <w:trPr>
          <w:jc w:val="center"/>
        </w:trPr>
        <w:tc>
          <w:tcPr>
            <w:tcW w:w="5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6A897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Metal</w:t>
            </w:r>
          </w:p>
        </w:tc>
        <w:tc>
          <w:tcPr>
            <w:tcW w:w="77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296E6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summary</w:t>
            </w:r>
          </w:p>
        </w:tc>
        <w:tc>
          <w:tcPr>
            <w:tcW w:w="87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7D582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visual-motor</w:t>
            </w:r>
          </w:p>
        </w:tc>
        <w:tc>
          <w:tcPr>
            <w:tcW w:w="8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AAEDB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fine-motor</w:t>
            </w:r>
          </w:p>
        </w:tc>
        <w:tc>
          <w:tcPr>
            <w:tcW w:w="89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6E456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visual-spatial</w:t>
            </w:r>
          </w:p>
        </w:tc>
        <w:tc>
          <w:tcPr>
            <w:tcW w:w="113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690B3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PPVT-III perceptive vocabulary</w:t>
            </w:r>
          </w:p>
        </w:tc>
      </w:tr>
      <w:tr w:rsidR="009F5772" w:rsidRPr="00E15E12" w14:paraId="440A365C" w14:textId="77777777" w:rsidTr="008161DE">
        <w:trPr>
          <w:jc w:val="center"/>
        </w:trPr>
        <w:tc>
          <w:tcPr>
            <w:tcW w:w="51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EC21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Non-essential</w:t>
            </w:r>
          </w:p>
        </w:tc>
        <w:tc>
          <w:tcPr>
            <w:tcW w:w="77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9E8E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7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9480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DFBE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9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5BD4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113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C6B3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r>
      <w:tr w:rsidR="009F5772" w:rsidRPr="00E15E12" w14:paraId="30D9096D"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D43A4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As</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CD250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-0.05 (-1.04, 0.95)</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2C9A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-0.10 (-1.18, 0.98)</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CEB7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0.17 (-0.83, 1.17)</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14E1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-0.18 (-1.49, 1.13)</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D45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0.52 (-0.63, 1.68)</w:t>
            </w:r>
          </w:p>
        </w:tc>
      </w:tr>
      <w:tr w:rsidR="009F5772" w:rsidRPr="00E15E12" w14:paraId="5E2E4359"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4B63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Ba</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3DC5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-0.37 (-0.93, 0.20)</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C9B22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-0.90 (-1.50, -0.30)</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552B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-0.11 (-0.68, 0.45)</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4408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0.32 (-0.42, 1.06)</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2C5E6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0.71 ( 0.06, 1.37)</w:t>
            </w:r>
          </w:p>
        </w:tc>
      </w:tr>
      <w:tr w:rsidR="009F5772" w:rsidRPr="00E15E12" w14:paraId="4932D6E2"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A946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Cd</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D3DC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0.37 (-0.88, 1.62)</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B7611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-0.14 (-1.51, 1.22)</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3B35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-0.46 (-1.72, 0.81)</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D445E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1.49 (-0.15, 3.13)</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8BAB2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0.50 (-0.96, 1.95)</w:t>
            </w:r>
          </w:p>
        </w:tc>
      </w:tr>
      <w:tr w:rsidR="009F5772" w:rsidRPr="00E15E12" w14:paraId="5087BED1"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A676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Cs</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DC95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-0.56 (-2.98, 1.85)</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F0D55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-0.61 (-3.25, 2.03)</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409F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-0.23 (-2.69, 2.22)</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F59D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-0.76 (-3.94, 2.42)</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76D4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0.13 (-2.70, 2.95)</w:t>
            </w:r>
          </w:p>
        </w:tc>
      </w:tr>
      <w:tr w:rsidR="009F5772" w:rsidRPr="00E15E12" w14:paraId="07D68B12"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02E1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Hg</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5243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0.04 (-0.70, 0.77)</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B0F1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0.05 (-0.74, 0.85)</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70118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0.05 (-0.69, 0.80)</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C0A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-0.06 (-1.02, 0.90)</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1C257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0.29 (-0.56, 1.15)</w:t>
            </w:r>
          </w:p>
        </w:tc>
      </w:tr>
      <w:tr w:rsidR="009F5772" w:rsidRPr="00E15E12" w14:paraId="1F1D5CF8"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1EB8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Pb</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5B0D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-1.73 (-3.09, -0.37)</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EF4D8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-1.56 (-3.02, -0.10)</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D165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-1.51 (-2.88, -0.14)</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CE142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-1.26 (-3.04, 0.53)</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7866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-0.60 (-2.18, 0.98)</w:t>
            </w:r>
          </w:p>
        </w:tc>
      </w:tr>
      <w:tr w:rsidR="009F5772" w:rsidRPr="00E15E12" w14:paraId="7CF052DE"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4475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Sn</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0FB9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-0.21 (-1.34, 0.92)</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0B1C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-0.41 (-1.64, 0.83)</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1555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1.08 (-0.05, 2.22)</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4DFD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-0.82 (-2.30, 0.65)</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B71F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-0.24 (-1.56, 1.09)</w:t>
            </w:r>
          </w:p>
        </w:tc>
      </w:tr>
      <w:tr w:rsidR="009F5772" w:rsidRPr="00E15E12" w14:paraId="733DBE57"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800B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Sr</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2F4B5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0.10 (-2.09, 2.30)</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68FAB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-0.35 (-2.72, 2.03)</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69F8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-0.88 (-3.10, 1.35)</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0323E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1.61 (-1.26, 4.47)</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6678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-0.22 (-2.78, 2.35)</w:t>
            </w:r>
          </w:p>
        </w:tc>
      </w:tr>
      <w:tr w:rsidR="009F5772" w:rsidRPr="00E15E12" w14:paraId="27C3E77A"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C00D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Essential</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863D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9EF2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7803F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D8E1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12DB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r>
      <w:tr w:rsidR="009F5772" w:rsidRPr="00E15E12" w14:paraId="25908261"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9401E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Co</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A82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-0.16 (-0.90, 0.58)</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F1B7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-0.05 (-0.85, 0.75)</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D86F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-0.46 (-1.20, 0.28)</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05AD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0.24 (-0.72, 1.19)</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9230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-0.20 (-1.05, 0.65)</w:t>
            </w:r>
          </w:p>
        </w:tc>
      </w:tr>
      <w:tr w:rsidR="009F5772" w:rsidRPr="00E15E12" w14:paraId="4F2D09E2"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E692B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Cu</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82BC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-0.37 (-4.26, 3.53)</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490A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-1.74 (-6.01, 2.53)</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EB10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0.72 (-3.25, 4.69)</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97F1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-0.58 (-5.71, 4.55)</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DFF6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0.68 (-3.88, 5.25)</w:t>
            </w:r>
          </w:p>
        </w:tc>
      </w:tr>
      <w:tr w:rsidR="009F5772" w:rsidRPr="00E15E12" w14:paraId="4EDDDBB0"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E104A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lastRenderedPageBreak/>
              <w:t>Mg</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C8DE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2.46 (-1.68, 6.60)</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CADD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0.84 (-3.72, 5.39)</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5B93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1.45 (-2.78, 5.68)</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E6D7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3.27 (-2.18, 8.71)</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A077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3.55 (-1.33, 8.43)</w:t>
            </w:r>
          </w:p>
        </w:tc>
      </w:tr>
      <w:tr w:rsidR="009F5772" w:rsidRPr="00E15E12" w14:paraId="75158203"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41DF4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Mn</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EA52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0.86 (-1.46, 3.17)</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B3335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1.31 (-1.21, 3.84)</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C49C5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0.28 (-2.09, 2.64)</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DACD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(-3.02, 3.05)</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CD612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0.59 (-2.11, 3.29)</w:t>
            </w:r>
          </w:p>
        </w:tc>
      </w:tr>
      <w:tr w:rsidR="009F5772" w:rsidRPr="00E15E12" w14:paraId="038CBD2B"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29B3A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Mo</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DE3C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0.49 (-1.18, 2.15)</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4247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-1.21 (-3.01, 0.60)</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87D74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0.61 (-1.09, 2.32)</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B784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0.90 (-1.27, 3.06)</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2AE7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0.67 (-1.26, 2.59)</w:t>
            </w:r>
          </w:p>
        </w:tc>
      </w:tr>
      <w:tr w:rsidR="009F5772" w:rsidRPr="00E15E12" w14:paraId="596A6853" w14:textId="77777777" w:rsidTr="008161DE">
        <w:trPr>
          <w:jc w:val="center"/>
        </w:trPr>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1C03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Se</w:t>
            </w:r>
          </w:p>
        </w:tc>
        <w:tc>
          <w:tcPr>
            <w:tcW w:w="7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789EA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-0.74 (-4.35, 2.88)</w:t>
            </w:r>
          </w:p>
        </w:tc>
        <w:tc>
          <w:tcPr>
            <w:tcW w:w="8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C4DB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-2.63 (-6.57, 1.31)</w:t>
            </w:r>
          </w:p>
        </w:tc>
        <w:tc>
          <w:tcPr>
            <w:tcW w:w="8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ED49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0.13 (-3.54, 3.80)</w:t>
            </w:r>
          </w:p>
        </w:tc>
        <w:tc>
          <w:tcPr>
            <w:tcW w:w="8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5DFCD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0.87 (-3.89, 5.63)</w:t>
            </w:r>
          </w:p>
        </w:tc>
        <w:tc>
          <w:tcPr>
            <w:tcW w:w="11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9CFE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0.29 (-3.94, 4.51)</w:t>
            </w:r>
          </w:p>
        </w:tc>
      </w:tr>
      <w:tr w:rsidR="009F5772" w:rsidRPr="00E15E12" w14:paraId="0F3804C6" w14:textId="77777777" w:rsidTr="008161DE">
        <w:trPr>
          <w:jc w:val="center"/>
        </w:trPr>
        <w:tc>
          <w:tcPr>
            <w:tcW w:w="51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311EF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Zn</w:t>
            </w:r>
          </w:p>
        </w:tc>
        <w:tc>
          <w:tcPr>
            <w:tcW w:w="77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7D589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-1.40 (-4.82, 2.01)</w:t>
            </w:r>
          </w:p>
        </w:tc>
        <w:tc>
          <w:tcPr>
            <w:tcW w:w="87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BBC26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-1.67 (-5.37, 2.03)</w:t>
            </w:r>
          </w:p>
        </w:tc>
        <w:tc>
          <w:tcPr>
            <w:tcW w:w="8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1D38A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(-3.45, 3.46)</w:t>
            </w:r>
          </w:p>
        </w:tc>
        <w:tc>
          <w:tcPr>
            <w:tcW w:w="89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12BBE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-2.30 (-6.77, 2.16)</w:t>
            </w:r>
          </w:p>
        </w:tc>
        <w:tc>
          <w:tcPr>
            <w:tcW w:w="113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BF5B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1.21 (-2.79, 5.20)</w:t>
            </w:r>
          </w:p>
        </w:tc>
      </w:tr>
      <w:tr w:rsidR="00DF395E" w:rsidRPr="00E15E12" w14:paraId="102AB032" w14:textId="77777777" w:rsidTr="008161DE">
        <w:trPr>
          <w:jc w:val="center"/>
        </w:trPr>
        <w:tc>
          <w:tcPr>
            <w:tcW w:w="5000" w:type="pct"/>
            <w:gridSpan w:val="6"/>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31BE4F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CI: confidence interval; PPVT-III: Peabody Picture Vocabulary Test, 3rd edition;  WRAVMA: Wide Range Assessment of Visual Motor Abilities</w:t>
            </w:r>
          </w:p>
        </w:tc>
      </w:tr>
      <w:tr w:rsidR="00DF395E" w:rsidRPr="00E15E12" w14:paraId="755AEC13" w14:textId="77777777" w:rsidTr="008161DE">
        <w:trPr>
          <w:jc w:val="center"/>
        </w:trPr>
        <w:tc>
          <w:tcPr>
            <w:tcW w:w="5000" w:type="pct"/>
            <w:gridSpan w:val="6"/>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0B61BF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 xml:space="preserve">N=336 children were included in these analyses, on whom there was data on at least one exposure, one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outcome, and all covariates.</w:t>
            </w:r>
          </w:p>
        </w:tc>
      </w:tr>
      <w:tr w:rsidR="00DF395E" w:rsidRPr="00E15E12" w14:paraId="23883478" w14:textId="77777777" w:rsidTr="008161DE">
        <w:trPr>
          <w:jc w:val="center"/>
        </w:trPr>
        <w:tc>
          <w:tcPr>
            <w:tcW w:w="5000" w:type="pct"/>
            <w:gridSpan w:val="6"/>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C1F9AF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 xml:space="preserve">Models adjusted for child race and ethnicity, fish consumption, daycare attendance, breastfeeding duration, household income, maternal PPVT-III score at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visit, education, marital status, and age at enrollment. For each metal, we also adjusted for the maternal first-trimester erythrocyte concentration of the metal.</w:t>
            </w:r>
          </w:p>
        </w:tc>
      </w:tr>
    </w:tbl>
    <w:p w14:paraId="3B51B16B"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481016D5"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6" w:name="_Toc153535177"/>
      <w:r w:rsidRPr="00AB37EA">
        <w:rPr>
          <w:rFonts w:ascii="Times New Roman" w:hAnsi="Times New Roman" w:cs="Times New Roman"/>
          <w:b w:val="0"/>
          <w:bCs w:val="0"/>
          <w:color w:val="auto"/>
          <w:sz w:val="24"/>
          <w:szCs w:val="24"/>
        </w:rPr>
        <w:lastRenderedPageBreak/>
        <w:t>Table S7. Estimates and 95% confidence intervals of adjusted mean difference in mid-childhood (~8 years)cognitive test scores assessing visual memory (WRAML2), visual-motor ability (WRAVMA), crystallized intelligence (KBIT-II verbal), or fluid intelligence (KBIT-II non-verbal), associated with a doubling in early childhood (~3 years) erythrocyte concentration of a non-essential or essential metal. Estimates are from multivariable linear regression models with adjustment for covariates, including first-trimester erythrocyte concentration, but no adjustment for other concurrently measured early childhood erythrocyte metals.</w:t>
      </w:r>
      <w:bookmarkEnd w:id="6"/>
    </w:p>
    <w:tbl>
      <w:tblPr>
        <w:tblStyle w:val="Table"/>
        <w:tblW w:w="5000" w:type="pct"/>
        <w:jc w:val="center"/>
        <w:tblLook w:val="0420" w:firstRow="1" w:lastRow="0" w:firstColumn="0" w:lastColumn="0" w:noHBand="0" w:noVBand="1"/>
      </w:tblPr>
      <w:tblGrid>
        <w:gridCol w:w="1190"/>
        <w:gridCol w:w="2027"/>
        <w:gridCol w:w="1744"/>
        <w:gridCol w:w="2237"/>
        <w:gridCol w:w="2227"/>
        <w:gridCol w:w="1791"/>
        <w:gridCol w:w="1744"/>
      </w:tblGrid>
      <w:tr w:rsidR="00DF395E" w:rsidRPr="00E15E12" w14:paraId="77CE56D5" w14:textId="77777777" w:rsidTr="008161DE">
        <w:trPr>
          <w:cnfStyle w:val="100000000000" w:firstRow="1" w:lastRow="0" w:firstColumn="0" w:lastColumn="0" w:oddVBand="0" w:evenVBand="0" w:oddHBand="0" w:evenHBand="0" w:firstRowFirstColumn="0" w:firstRowLastColumn="0" w:lastRowFirstColumn="0" w:lastRowLastColumn="0"/>
          <w:jc w:val="center"/>
        </w:trPr>
        <w:tc>
          <w:tcPr>
            <w:tcW w:w="45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48D5B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p>
        </w:tc>
        <w:tc>
          <w:tcPr>
            <w:tcW w:w="4541" w:type="pct"/>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3C0D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Adjusted</w:t>
            </w: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 xml:space="preserve"> mean difference (95% CI) in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cognitive test score per doubling of </w:t>
            </w:r>
            <w:r>
              <w:rPr>
                <w:rFonts w:ascii="Times New Roman" w:eastAsia="Arial" w:hAnsi="Times New Roman" w:cs="Times New Roman"/>
                <w:color w:val="000000"/>
              </w:rPr>
              <w:t>early childhood</w:t>
            </w:r>
            <w:r w:rsidRPr="00E15E12">
              <w:rPr>
                <w:rFonts w:ascii="Times New Roman" w:eastAsia="Arial" w:hAnsi="Times New Roman" w:cs="Times New Roman"/>
                <w:color w:val="000000"/>
              </w:rPr>
              <w:t xml:space="preserve"> erythrocyte metal concentration</w:t>
            </w:r>
          </w:p>
        </w:tc>
      </w:tr>
      <w:tr w:rsidR="009F5772" w:rsidRPr="00E15E12" w14:paraId="6AFB3CF4" w14:textId="77777777" w:rsidTr="008161DE">
        <w:trPr>
          <w:jc w:val="center"/>
        </w:trPr>
        <w:tc>
          <w:tcPr>
            <w:tcW w:w="45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E62DC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Metal</w:t>
            </w:r>
          </w:p>
        </w:tc>
        <w:tc>
          <w:tcPr>
            <w:tcW w:w="78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770F0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WRAVMA visual-motor</w:t>
            </w:r>
          </w:p>
        </w:tc>
        <w:tc>
          <w:tcPr>
            <w:tcW w:w="67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8829F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WRAML2 total</w:t>
            </w:r>
          </w:p>
        </w:tc>
        <w:tc>
          <w:tcPr>
            <w:tcW w:w="86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BE482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WRAML2 picture memory</w:t>
            </w:r>
          </w:p>
        </w:tc>
        <w:tc>
          <w:tcPr>
            <w:tcW w:w="85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E2400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WRAML2 design memory</w:t>
            </w:r>
          </w:p>
        </w:tc>
        <w:tc>
          <w:tcPr>
            <w:tcW w:w="69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BF3A2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KBIT-II non-verbal</w:t>
            </w:r>
          </w:p>
        </w:tc>
        <w:tc>
          <w:tcPr>
            <w:tcW w:w="67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272D2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E15E12">
              <w:rPr>
                <w:rFonts w:ascii="Times New Roman" w:eastAsia="Arial" w:hAnsi="Times New Roman" w:cs="Times New Roman"/>
                <w:color w:val="000000"/>
              </w:rPr>
              <w:t>KBIT-II verbal</w:t>
            </w:r>
          </w:p>
        </w:tc>
      </w:tr>
      <w:tr w:rsidR="009F5772" w:rsidRPr="00E15E12" w14:paraId="3B9CD8A7" w14:textId="77777777" w:rsidTr="008161DE">
        <w:trPr>
          <w:jc w:val="center"/>
        </w:trPr>
        <w:tc>
          <w:tcPr>
            <w:tcW w:w="45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E410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Non-essential</w:t>
            </w:r>
          </w:p>
        </w:tc>
        <w:tc>
          <w:tcPr>
            <w:tcW w:w="78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22C2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7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3750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6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FD909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5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A0E52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9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8392B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7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9F200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9F5772" w:rsidRPr="00E15E12" w14:paraId="11619613"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0614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As</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095C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-0.38 ( -2.07, 1.32)</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E6A2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-0.27 ( -0.72, 0.18)</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B2DD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-0.07 ( -0.39, 0.25)</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B4D0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-0.20 ( -0.48, 0.09)</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35F16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0.90 ( -0.87, 2.66)</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B1F0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0.18 ( -1.06, 1.43)</w:t>
            </w:r>
          </w:p>
        </w:tc>
      </w:tr>
      <w:tr w:rsidR="009F5772" w:rsidRPr="00E15E12" w14:paraId="5756B486"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7248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Ba</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D12FC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-0.07 ( -1.02, 0.89)</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2ABE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0.17 ( -0.08, 0.42)</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288E4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0.19 ( 0.01, 0.37)</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66AA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-0.02 ( -0.18, 0.14)</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97032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0.60 ( -0.39, 1.60)</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0D1A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0.17 ( -0.53, 0.86)</w:t>
            </w:r>
          </w:p>
        </w:tc>
      </w:tr>
      <w:tr w:rsidR="009F5772" w:rsidRPr="00E15E12" w14:paraId="5AEEF4BE"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586AE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Cd</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8D6F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1.74 ( -0.33, 3.81)</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B6F10"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 -0.54, 0.56)</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508E8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-0.06 ( -0.45, 0.33)</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8C97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0.06 ( -0.29, 0.41)</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53D0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0.54 ( -1.63, 2.72)</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255B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0.38 ( -1.15, 1.91)</w:t>
            </w:r>
          </w:p>
        </w:tc>
      </w:tr>
      <w:tr w:rsidR="009F5772" w:rsidRPr="00E15E12" w14:paraId="09419944"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2FFDC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Cs</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6C2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-0.94 ( -5.25, 3.37)</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EF975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-0.65 ( -1.79, 0.50)</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8D88A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-0.33 ( -1.15, 0.48)</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009F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-0.32 ( -1.05, 0.41)</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A57E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-1.34 ( -5.84, 3.17)</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A8A8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-1.95 ( -5.12, 1.21)</w:t>
            </w:r>
          </w:p>
        </w:tc>
      </w:tr>
      <w:tr w:rsidR="009F5772" w:rsidRPr="00E15E12" w14:paraId="2D65952F"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A183F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Hg</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098C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-0.21 ( -1.45, 1.03)</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1383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0.02 ( -0.31, 0.35)</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7A6B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0.16 ( -0.07, 0.40)</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22E46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-0.14 ( -0.35, 0.07)</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08F1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1.46 ( 0.18, 2.74)</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F53F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0.56 ( -0.34, 1.47)</w:t>
            </w:r>
          </w:p>
        </w:tc>
      </w:tr>
      <w:tr w:rsidR="009F5772" w:rsidRPr="00E15E12" w14:paraId="278C4A0E"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8ED1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Pb</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4D3E7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-1.34 ( -3.67, 0.98)</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6309C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-0.12 ( -0.74, 0.50)</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B76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0.11 ( -0.33, 0.55)</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6CD19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-0.26 ( -0.65, 0.14)</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B1C49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-0.42 ( -2.85, 2.01)</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D048F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-1.50 ( -3.20, 0.21)</w:t>
            </w:r>
          </w:p>
        </w:tc>
      </w:tr>
      <w:tr w:rsidR="009F5772" w:rsidRPr="00E15E12" w14:paraId="0B3BE877"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01CD8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Sn</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5C69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-0.74 ( -2.63, 1.16)</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FC0C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0.20 ( -0.30, 0.70)</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3882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-0.18 ( -0.53, 0.18)</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6B35A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0.37 ( 0.05, 0.69)</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F640A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0.10 ( -1.89, 2.08)</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C141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-0.06 ( -1.46, 1.34)</w:t>
            </w:r>
          </w:p>
        </w:tc>
      </w:tr>
      <w:tr w:rsidR="009F5772" w:rsidRPr="00E15E12" w14:paraId="5615BEA2"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1C79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lastRenderedPageBreak/>
              <w:t>Sr</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1D13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-1.28 ( -5.17, 2.61)</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A3955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0.25 ( -0.78, 1.29)</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47E6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-0.15 ( -0.88, 0.59)</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1E273"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0.41 ( -0.25, 1.07)</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935F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-3.75 ( -7.79, 0.30)</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8E71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-1.13 ( -3.99, 1.73)</w:t>
            </w:r>
          </w:p>
        </w:tc>
      </w:tr>
      <w:tr w:rsidR="009F5772" w:rsidRPr="00E15E12" w14:paraId="6F175A29"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F3AE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E15E12">
              <w:rPr>
                <w:rFonts w:ascii="Times New Roman" w:eastAsia="Arial" w:hAnsi="Times New Roman" w:cs="Times New Roman"/>
                <w:color w:val="000000"/>
              </w:rPr>
              <w:t>Essential</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C4430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D495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2DBC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741D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5539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45493D"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p>
        </w:tc>
      </w:tr>
      <w:tr w:rsidR="009F5772" w:rsidRPr="00E15E12" w14:paraId="01585C90"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EACF2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Co</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19F98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-0.75 ( -1.96, 0.45)</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6EC0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 -0.31, 0.33)</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A0B5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 -0.22, 0.24)</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2861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0.01 ( -0.20, 0.21)</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4EE6B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0.15 ( -1.10, 1.41)</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F5C37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-0.32 ( -1.20, 0.56)</w:t>
            </w:r>
          </w:p>
        </w:tc>
      </w:tr>
      <w:tr w:rsidR="009F5772" w:rsidRPr="00E15E12" w14:paraId="54CDCDCD"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E3B9DC"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Cu</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DF39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4.35 ( -3.74, 12.45)</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6651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0.70 ( -1.45, 2.85)</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70BB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-0.11 ( -1.64, 1.43)</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CAAA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0.75 ( -0.62, 2.12)</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BB435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-1.79 (-10.25, 6.68)</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38B2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1.74 ( -4.22, 7.69)</w:t>
            </w:r>
          </w:p>
        </w:tc>
      </w:tr>
      <w:tr w:rsidR="009F5772" w:rsidRPr="00E15E12" w14:paraId="11C6E125"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D169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Mg</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9DA3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5.80 ( -2.74, 14.34)</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4F4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-0.05 ( -2.30, 2.20)</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B22B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0.52 ( -1.09, 2.12)</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000D7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-0.54 ( -1.98, 0.90)</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2760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-1.28 (-10.16, 7.61)</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471A4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2.02 ( -4.23, 8.27)</w:t>
            </w:r>
          </w:p>
        </w:tc>
      </w:tr>
      <w:tr w:rsidR="009F5772" w:rsidRPr="00E15E12" w14:paraId="3196F759"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7FE6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Mn</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A713C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-1.41 ( -5.56, 2.74)</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E7DC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0.70 ( -0.39, 1.79)</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C15E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0.38 ( -0.40, 1.16)</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8049C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0.29 ( -0.41, 0.99)</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C415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2.89 ( -1.40, 7.17)</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3C12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2.16 ( -0.85, 5.18)</w:t>
            </w:r>
          </w:p>
        </w:tc>
      </w:tr>
      <w:tr w:rsidR="009F5772" w:rsidRPr="00E15E12" w14:paraId="5B40EA88"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BF1EB"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Mo</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9C7D0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0.89 ( -1.94, 3.71)</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4E89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0.46 ( -0.29, 1.21)</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B65B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0.20 ( -0.33, 0.74)</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9B8D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0.28 ( -0.20, 0.76)</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44995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1.76 ( -1.18, 4.71)</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BAC5B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2.41 ( 0.35, 4.47)</w:t>
            </w:r>
          </w:p>
        </w:tc>
      </w:tr>
      <w:tr w:rsidR="009F5772" w:rsidRPr="00E15E12" w14:paraId="053D6E6C" w14:textId="77777777" w:rsidTr="008161DE">
        <w:trPr>
          <w:jc w:val="center"/>
        </w:trPr>
        <w:tc>
          <w:tcPr>
            <w:tcW w:w="4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723B72"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Se</w:t>
            </w:r>
          </w:p>
        </w:tc>
        <w:tc>
          <w:tcPr>
            <w:tcW w:w="7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5F6EAA"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3.37 ( -3.75, 10.49)</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538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0.21 ( -1.67, 2.09)</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720F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0.12 ( -1.22, 1.46)</w:t>
            </w:r>
          </w:p>
        </w:tc>
        <w:tc>
          <w:tcPr>
            <w:tcW w:w="8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8774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0.08 ( -1.12, 1.28)</w:t>
            </w:r>
          </w:p>
        </w:tc>
        <w:tc>
          <w:tcPr>
            <w:tcW w:w="6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54A694"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-1.65 ( -9.06, 5.75)</w:t>
            </w:r>
          </w:p>
        </w:tc>
        <w:tc>
          <w:tcPr>
            <w:tcW w:w="6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72FB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1.83 ( -3.38, 7.03)</w:t>
            </w:r>
          </w:p>
        </w:tc>
      </w:tr>
      <w:tr w:rsidR="009F5772" w:rsidRPr="00E15E12" w14:paraId="777E00CC" w14:textId="77777777" w:rsidTr="008161DE">
        <w:trPr>
          <w:jc w:val="center"/>
        </w:trPr>
        <w:tc>
          <w:tcPr>
            <w:tcW w:w="45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C1E5E6"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Zn</w:t>
            </w:r>
          </w:p>
        </w:tc>
        <w:tc>
          <w:tcPr>
            <w:tcW w:w="78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9D790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3.65 ( -3.22, 10.51)</w:t>
            </w:r>
          </w:p>
        </w:tc>
        <w:tc>
          <w:tcPr>
            <w:tcW w:w="67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38DE8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0.74 ( -1.08, 2.56)</w:t>
            </w:r>
          </w:p>
        </w:tc>
        <w:tc>
          <w:tcPr>
            <w:tcW w:w="86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BDCAD7"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0.78 ( -0.52, 2.07)</w:t>
            </w:r>
          </w:p>
        </w:tc>
        <w:tc>
          <w:tcPr>
            <w:tcW w:w="85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1B8639"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-0.05 ( -1.22, 1.11)</w:t>
            </w:r>
          </w:p>
        </w:tc>
        <w:tc>
          <w:tcPr>
            <w:tcW w:w="69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F93D08"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E15E12">
              <w:rPr>
                <w:rFonts w:ascii="Times New Roman" w:eastAsia="Arial" w:hAnsi="Times New Roman" w:cs="Times New Roman"/>
                <w:color w:val="000000"/>
              </w:rPr>
              <w:t>-6.36 (-13.50, 0.77)</w:t>
            </w:r>
          </w:p>
        </w:tc>
        <w:tc>
          <w:tcPr>
            <w:tcW w:w="67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A72D35"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0.43 ( -4.62, 5.48)</w:t>
            </w:r>
          </w:p>
        </w:tc>
      </w:tr>
      <w:tr w:rsidR="00DF395E" w:rsidRPr="00E15E12" w14:paraId="4ADFC94A" w14:textId="77777777" w:rsidTr="008161DE">
        <w:trPr>
          <w:jc w:val="center"/>
        </w:trPr>
        <w:tc>
          <w:tcPr>
            <w:tcW w:w="5000" w:type="pct"/>
            <w:gridSpan w:val="7"/>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7F19B4E"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CI: confidence interval; KBIT-II: Kaufman Brief Intelligence Test, 2nd edition; WRAML2: Wide Range Assessment of Memory and Learning, 2nd edition; WRAVMA: Wide Range Assessment of Visual Motor Abilities</w:t>
            </w:r>
          </w:p>
        </w:tc>
      </w:tr>
      <w:tr w:rsidR="00DF395E" w:rsidRPr="00E15E12" w14:paraId="7A2F9962" w14:textId="77777777" w:rsidTr="008161DE">
        <w:trPr>
          <w:jc w:val="center"/>
        </w:trPr>
        <w:tc>
          <w:tcPr>
            <w:tcW w:w="5000" w:type="pct"/>
            <w:gridSpan w:val="7"/>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63A0071"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rPr>
              <w:t>N=296 children were included in these analyses, on whom there was data on at least one exposure, one mid-childhood outcome, and all covariates.</w:t>
            </w:r>
          </w:p>
        </w:tc>
      </w:tr>
      <w:tr w:rsidR="00DF395E" w:rsidRPr="00E15E12" w14:paraId="48635D35" w14:textId="77777777" w:rsidTr="008161DE">
        <w:trPr>
          <w:jc w:val="center"/>
        </w:trPr>
        <w:tc>
          <w:tcPr>
            <w:tcW w:w="5000" w:type="pct"/>
            <w:gridSpan w:val="7"/>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F1C367F" w14:textId="77777777" w:rsidR="00DF395E" w:rsidRPr="00E15E12" w:rsidRDefault="00DF395E" w:rsidP="008161DE">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E15E12">
              <w:rPr>
                <w:rFonts w:ascii="Times New Roman" w:eastAsia="Arial" w:hAnsi="Times New Roman" w:cs="Times New Roman"/>
                <w:color w:val="000000"/>
                <w:vertAlign w:val="superscript"/>
              </w:rPr>
              <w:t>a</w:t>
            </w:r>
            <w:r w:rsidRPr="00E15E12">
              <w:rPr>
                <w:rFonts w:ascii="Times New Roman" w:eastAsia="Arial" w:hAnsi="Times New Roman" w:cs="Times New Roman"/>
                <w:color w:val="000000"/>
              </w:rPr>
              <w:t>Models adjusted for child race and ethnicity, fish consumption, daycare attendance, breastfeeding duration, household income, maternal KBIT-II composite score at mid-childhood visit, education, marital status, and age at enrollment. For each</w:t>
            </w:r>
            <w:r>
              <w:rPr>
                <w:rFonts w:ascii="Times New Roman" w:eastAsia="Arial" w:hAnsi="Times New Roman" w:cs="Times New Roman"/>
                <w:color w:val="000000"/>
              </w:rPr>
              <w:t xml:space="preserve"> early childhood</w:t>
            </w:r>
            <w:r w:rsidRPr="00E15E12">
              <w:rPr>
                <w:rFonts w:ascii="Times New Roman" w:eastAsia="Arial" w:hAnsi="Times New Roman" w:cs="Times New Roman"/>
                <w:color w:val="000000"/>
              </w:rPr>
              <w:t xml:space="preserve"> metal, we also adjusted for the maternal first-trimester erythrocyte concentration of the</w:t>
            </w:r>
            <w:r>
              <w:rPr>
                <w:rFonts w:ascii="Times New Roman" w:eastAsia="Arial" w:hAnsi="Times New Roman" w:cs="Times New Roman"/>
                <w:color w:val="000000"/>
              </w:rPr>
              <w:t xml:space="preserve"> same</w:t>
            </w:r>
            <w:r w:rsidRPr="00E15E12">
              <w:rPr>
                <w:rFonts w:ascii="Times New Roman" w:eastAsia="Arial" w:hAnsi="Times New Roman" w:cs="Times New Roman"/>
                <w:color w:val="000000"/>
              </w:rPr>
              <w:t xml:space="preserve"> metal.</w:t>
            </w:r>
          </w:p>
        </w:tc>
      </w:tr>
    </w:tbl>
    <w:p w14:paraId="26FBA780" w14:textId="77777777" w:rsidR="00DF395E" w:rsidRPr="00E15E12" w:rsidRDefault="00DF395E" w:rsidP="00DF395E">
      <w:pPr>
        <w:rPr>
          <w:rFonts w:ascii="Times New Roman" w:hAnsi="Times New Roman" w:cs="Times New Roman"/>
        </w:rPr>
        <w:sectPr w:rsidR="00DF395E" w:rsidRPr="00E15E12" w:rsidSect="00922E55">
          <w:type w:val="continuous"/>
          <w:pgSz w:w="15840" w:h="12240" w:orient="landscape"/>
          <w:pgMar w:top="1440" w:right="1440" w:bottom="1440" w:left="1440" w:header="720" w:footer="720" w:gutter="0"/>
          <w:cols w:space="720"/>
          <w:docGrid w:linePitch="326"/>
        </w:sectPr>
      </w:pPr>
      <w:r w:rsidRPr="00E15E12">
        <w:rPr>
          <w:rFonts w:ascii="Times New Roman" w:hAnsi="Times New Roman" w:cs="Times New Roman"/>
        </w:rPr>
        <w:br w:type="page"/>
      </w:r>
    </w:p>
    <w:p w14:paraId="1F55ACE6"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32C161C9" wp14:editId="3FD13615">
            <wp:extent cx="5334000" cy="3303255"/>
            <wp:effectExtent l="0" t="0" r="0" b="0"/>
            <wp:docPr id="1181113009" name="Picture 1181113009" descr="A diagram of a child's heal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81113009" name="Picture 1181113009" descr="A diagram of a child's health&#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334000" cy="3303255"/>
                    </a:xfrm>
                    <a:prstGeom prst="rect">
                      <a:avLst/>
                    </a:prstGeom>
                    <a:noFill/>
                    <a:ln w="9525">
                      <a:noFill/>
                      <a:headEnd/>
                      <a:tailEnd/>
                    </a:ln>
                  </pic:spPr>
                </pic:pic>
              </a:graphicData>
            </a:graphic>
          </wp:inline>
        </w:drawing>
      </w:r>
    </w:p>
    <w:p w14:paraId="34D6AD66"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7" w:name="_Toc153535178"/>
      <w:r w:rsidRPr="00AB37EA">
        <w:rPr>
          <w:rFonts w:ascii="Times New Roman" w:hAnsi="Times New Roman" w:cs="Times New Roman"/>
          <w:b w:val="0"/>
          <w:bCs w:val="0"/>
          <w:color w:val="auto"/>
          <w:sz w:val="24"/>
          <w:szCs w:val="24"/>
        </w:rPr>
        <w:t>Figure S1. Causal diagram for a study of the associations of early childhood (~3 years) erythrocyte concentrations of metals with child cognition in early and mid- (~8 years) childhood, in the Project Viva pre-birth cohort, Boston, Massachusetts, USA. PPVT-III: Peabody Picture Vocabulary Test, 3rd edition; WRAVMA: Wide Range Assessment of Visual Motor Abilities; WRAML2: Wide Range Assessment of Memory and Learning, 2nd edition; KBIT-II: Kaufman Brief Intelligence Test, 2nd edition.</w:t>
      </w:r>
      <w:bookmarkEnd w:id="7"/>
    </w:p>
    <w:p w14:paraId="2AC70496"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3007C2DD"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5814AA34" wp14:editId="2BD28048">
            <wp:extent cx="5334000" cy="4409440"/>
            <wp:effectExtent l="0" t="0" r="0" b="0"/>
            <wp:docPr id="24" name="Picture"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descr="A screenshot of a computer scre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5334000" cy="4409440"/>
                    </a:xfrm>
                    <a:prstGeom prst="rect">
                      <a:avLst/>
                    </a:prstGeom>
                    <a:noFill/>
                    <a:ln w="9525">
                      <a:noFill/>
                      <a:headEnd/>
                      <a:tailEnd/>
                    </a:ln>
                  </pic:spPr>
                </pic:pic>
              </a:graphicData>
            </a:graphic>
          </wp:inline>
        </w:drawing>
      </w:r>
    </w:p>
    <w:p w14:paraId="34CB5FFE"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8" w:name="_Toc153535179"/>
      <w:r w:rsidRPr="00AB37EA">
        <w:rPr>
          <w:rFonts w:ascii="Times New Roman" w:hAnsi="Times New Roman" w:cs="Times New Roman"/>
          <w:b w:val="0"/>
          <w:bCs w:val="0"/>
          <w:color w:val="auto"/>
          <w:sz w:val="24"/>
          <w:szCs w:val="24"/>
        </w:rPr>
        <w:t>Figure S2. Flow diagram of participant selection from the Project Viva pre-birth cohort (Boston, Massachusetts, USA) for a study of associations of early childhood (~3 years) erythrocyte metal concentrations with child cognitive test scores at early and mid-childhood (~8 years).</w:t>
      </w:r>
      <w:bookmarkEnd w:id="8"/>
    </w:p>
    <w:p w14:paraId="792E6697"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0422AE76"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45901981" wp14:editId="442F516A">
            <wp:extent cx="5332730" cy="4445668"/>
            <wp:effectExtent l="0" t="0" r="0" b="0"/>
            <wp:docPr id="28" name="Picture"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344007" cy="4455069"/>
                    </a:xfrm>
                    <a:prstGeom prst="rect">
                      <a:avLst/>
                    </a:prstGeom>
                    <a:noFill/>
                    <a:ln w="9525">
                      <a:noFill/>
                      <a:headEnd/>
                      <a:tailEnd/>
                    </a:ln>
                  </pic:spPr>
                </pic:pic>
              </a:graphicData>
            </a:graphic>
          </wp:inline>
        </w:drawing>
      </w:r>
    </w:p>
    <w:p w14:paraId="418BA53B"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9" w:name="_Toc153535180"/>
      <w:r w:rsidRPr="00AB37EA">
        <w:rPr>
          <w:rFonts w:ascii="Times New Roman" w:hAnsi="Times New Roman" w:cs="Times New Roman"/>
          <w:b w:val="0"/>
          <w:bCs w:val="0"/>
          <w:color w:val="auto"/>
          <w:sz w:val="24"/>
          <w:szCs w:val="24"/>
        </w:rPr>
        <w:t>Figure S3. Spearman correlation coefficients among early childhood (~3 years) erythrocyte concentrations of well-detected (&gt;60%) non-essential (arsenic (As), barium (Ba), cadmium (Cd), cesium (Cs), mercury (Hg), lead (Pb), tin (Sn), and strontium (Sr)) and essential (cobalt (Co), copper (Cu), magnesium (Mg), manganese (Mn), molybdenum (Mo), selenium (Se), and zinc (Zn)) metals, in the Project Viva pre-birth cohort, Boston, Massachusetts, USA (N=349).</w:t>
      </w:r>
      <w:bookmarkEnd w:id="9"/>
    </w:p>
    <w:p w14:paraId="254EA366"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54DF4729"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66532A65" wp14:editId="1F8E4B32">
            <wp:extent cx="5334000" cy="525780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3" name="Picture" descr="C:/Users/Ruwan%20General/OneDrive/Documents/UC%20Berkeley%20-%20PhD/Dissertation%20research/R%20-%20Postnatal%20metals%20and%20neuro/scripts/figure_s4.tiff"/>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335891" cy="5259664"/>
                    </a:xfrm>
                    <a:prstGeom prst="rect">
                      <a:avLst/>
                    </a:prstGeom>
                    <a:noFill/>
                    <a:ln w="9525">
                      <a:noFill/>
                      <a:headEnd/>
                      <a:tailEnd/>
                    </a:ln>
                  </pic:spPr>
                </pic:pic>
              </a:graphicData>
            </a:graphic>
          </wp:inline>
        </w:drawing>
      </w:r>
    </w:p>
    <w:p w14:paraId="14B9D833"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0" w:name="_Toc153535181"/>
      <w:r w:rsidRPr="00AB37EA">
        <w:rPr>
          <w:rFonts w:ascii="Times New Roman" w:hAnsi="Times New Roman" w:cs="Times New Roman"/>
          <w:b w:val="0"/>
          <w:bCs w:val="0"/>
          <w:color w:val="auto"/>
          <w:sz w:val="24"/>
          <w:szCs w:val="24"/>
        </w:rPr>
        <w:t>Figure S4. Pearson correlation coefficients between child cognitive test scores in early (~3 years) and mid- (~8 years) childhood in the Project Viva pre-birth cohort, Boston, Massachusetts, USA (N=349 children). In early childhood, receptive vocabulary (Peabody Picture Vocabulary Test, 3rd edition (PPTV-III)) and visual-motor ability (Wide Range Assessment of Visual Motor Abilities (WRAVMA)) were assessed, and in mid-childhood, visual memory (Wide Range Assessment of Memory and Learning, 2nd edition (WRAML2)), visual-motor ability (WRAVMA visual-motor subtest), fluid intelligence (Kaufman Brief Intelligence Test, 2nd edition (KBIT-II) non-verbal component), and crystallized intelligence (KBIT-II verbal component) were assessed. ECH: early childhood visit (~3 years); MCH: mid-childhood visit (~8 years).</w:t>
      </w:r>
      <w:bookmarkEnd w:id="10"/>
    </w:p>
    <w:p w14:paraId="38A7CA02"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17FD9262"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30E78339" wp14:editId="3CA1F52D">
            <wp:extent cx="5334000" cy="666750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7" name="Picture" descr="C:/Users/Ruwan%20General/OneDrive/Documents/UC%20Berkeley%20-%20PhD/Dissertation%20research/R%20-%20Postnatal%20metals%20and%20neuro/scripts/figure_s5_ech_qgcomp.tiff"/>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334000" cy="6667500"/>
                    </a:xfrm>
                    <a:prstGeom prst="rect">
                      <a:avLst/>
                    </a:prstGeom>
                    <a:noFill/>
                    <a:ln w="9525">
                      <a:noFill/>
                      <a:headEnd/>
                      <a:tailEnd/>
                    </a:ln>
                  </pic:spPr>
                </pic:pic>
              </a:graphicData>
            </a:graphic>
          </wp:inline>
        </w:drawing>
      </w:r>
    </w:p>
    <w:p w14:paraId="75E58367"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1" w:name="_Toc153535182"/>
      <w:r w:rsidRPr="00AB37EA">
        <w:rPr>
          <w:rFonts w:ascii="Times New Roman" w:hAnsi="Times New Roman" w:cs="Times New Roman"/>
          <w:b w:val="0"/>
          <w:bCs w:val="0"/>
          <w:color w:val="auto"/>
          <w:sz w:val="24"/>
          <w:szCs w:val="24"/>
        </w:rPr>
        <w:lastRenderedPageBreak/>
        <w:t>Figure S5. Quantile g-computation estimates and 95% confidence intervals of adjusted mean difference in early childhood cognitive test scores for each quartile increase in early childhood erythrocyte concentration of a mixture of non-essential (As, Ba, Cd, Cs, Hg, Pb, Sn, and Sr) (A) or essential (Co, Cu, Mg, Mn, Mo, Se, and Zn) (B) metals. Cognitive tests assessed visual-motor function (WRAVMA) or receptive vocabulary (PPVT-III). WRAVMA is composed of three subtests assessing visual-motor, fine motor, and visual spatial abilities, which are combined to create a summary score. Mixture component point estimates are provided to the right of the point estimates and intervals. Models adjusted for child race and ethnicity, fish consumption, daycare attendance, breastfeeding duration, household income, maternal KBIT-II composite score at mid-childhood visit, education, marital status, age at enrollment, maternal first-trimester erythrocyte concentrations of metals in the mixture, and early childhood erythrocyte concentrations of metals in the other mixture (e.g. non-essential metal mixture estimate is adjusted for essential metal mixture). WRAVMA: Wide Range Assessment of Visual Motor Abilities; PPVT-III: Peabody Picture Vocabulary Test, 3rd edition.</w:t>
      </w:r>
      <w:bookmarkEnd w:id="11"/>
    </w:p>
    <w:p w14:paraId="00EF0367"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6C6238FE"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2C47A687" wp14:editId="53CC4117">
            <wp:extent cx="5334000" cy="533400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1" name="Picture" descr="figure_s6.tiff"/>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334000" cy="5334000"/>
                    </a:xfrm>
                    <a:prstGeom prst="rect">
                      <a:avLst/>
                    </a:prstGeom>
                    <a:noFill/>
                    <a:ln w="9525">
                      <a:noFill/>
                      <a:headEnd/>
                      <a:tailEnd/>
                    </a:ln>
                  </pic:spPr>
                </pic:pic>
              </a:graphicData>
            </a:graphic>
          </wp:inline>
        </w:drawing>
      </w:r>
    </w:p>
    <w:p w14:paraId="0F31596B"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2" w:name="_Toc153535183"/>
      <w:r w:rsidRPr="00AB37EA">
        <w:rPr>
          <w:rFonts w:ascii="Times New Roman" w:hAnsi="Times New Roman" w:cs="Times New Roman"/>
          <w:b w:val="0"/>
          <w:bCs w:val="0"/>
          <w:color w:val="auto"/>
          <w:sz w:val="24"/>
          <w:szCs w:val="24"/>
        </w:rPr>
        <w:t>Figure S6. Concentration-response functions for the associations of early childhood (~3 years) erythrocyte concentrations of each of nine non-essential (As, Ba, Cd, Cs, Hg, Pb, Sn, Sr) and six essential metals (Co, Cu, Mg, Mn, Mo, Se, Zn) (top horizontal axis) with early childhood (~3 years) visual-motor function (WRAVMA summary)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WRAVMA: Wide Range Assessment of Visual Motor Abilities.</w:t>
      </w:r>
      <w:bookmarkEnd w:id="12"/>
    </w:p>
    <w:p w14:paraId="73402786"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7F392EB8"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5DE9E419" wp14:editId="70E07DA1">
            <wp:extent cx="5334000" cy="533400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5" name="Picture" descr="figure_s7.tiff"/>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334000" cy="5334000"/>
                    </a:xfrm>
                    <a:prstGeom prst="rect">
                      <a:avLst/>
                    </a:prstGeom>
                    <a:noFill/>
                    <a:ln w="9525">
                      <a:noFill/>
                      <a:headEnd/>
                      <a:tailEnd/>
                    </a:ln>
                  </pic:spPr>
                </pic:pic>
              </a:graphicData>
            </a:graphic>
          </wp:inline>
        </w:drawing>
      </w:r>
    </w:p>
    <w:p w14:paraId="4FC25063"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3" w:name="_Toc153535184"/>
      <w:r w:rsidRPr="00AB37EA">
        <w:rPr>
          <w:rFonts w:ascii="Times New Roman" w:hAnsi="Times New Roman" w:cs="Times New Roman"/>
          <w:b w:val="0"/>
          <w:bCs w:val="0"/>
          <w:color w:val="auto"/>
          <w:sz w:val="24"/>
          <w:szCs w:val="24"/>
        </w:rPr>
        <w:t>Figure S7. Concentration-response functions for the associations of early childhood (~3 years) erythrocyte concentrations of each of nine non-essential (As, Ba, Cd, Cs, Hg, Pb, Sn, Sr) and six essential metals (Co, Cu, Mg, Mn, Mo, Se, Zn) (top horizontal axis) with early childhood (~3 years) receptive vocabulary (PPVT-III)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PPVT-III: Peabody Picture Vocabulary Test, 3rd edition.</w:t>
      </w:r>
      <w:bookmarkEnd w:id="13"/>
    </w:p>
    <w:p w14:paraId="6C92D66E" w14:textId="77777777" w:rsidR="00DF395E" w:rsidRPr="00AB37EA" w:rsidRDefault="00DF395E" w:rsidP="00DF395E">
      <w:pPr>
        <w:pStyle w:val="Heading1"/>
        <w:spacing w:before="0"/>
        <w:rPr>
          <w:rFonts w:ascii="Times New Roman" w:hAnsi="Times New Roman" w:cs="Times New Roman"/>
          <w:b w:val="0"/>
          <w:bCs w:val="0"/>
          <w:color w:val="auto"/>
          <w:sz w:val="24"/>
          <w:szCs w:val="24"/>
        </w:rPr>
      </w:pPr>
      <w:r w:rsidRPr="00AB37EA">
        <w:rPr>
          <w:rFonts w:ascii="Times New Roman" w:hAnsi="Times New Roman" w:cs="Times New Roman"/>
          <w:b w:val="0"/>
          <w:bCs w:val="0"/>
          <w:color w:val="auto"/>
          <w:sz w:val="24"/>
          <w:szCs w:val="24"/>
        </w:rPr>
        <w:br w:type="page"/>
      </w:r>
    </w:p>
    <w:p w14:paraId="58392C73"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6F406E90" wp14:editId="15DE8BDE">
            <wp:extent cx="5334000" cy="5334000"/>
            <wp:effectExtent l="0" t="0" r="0" b="0"/>
            <wp:docPr id="48" name="Picture" descr="A chart of lines drawn on a grid&#10;&#10;Description automatically generated"/>
            <wp:cNvGraphicFramePr/>
            <a:graphic xmlns:a="http://schemas.openxmlformats.org/drawingml/2006/main">
              <a:graphicData uri="http://schemas.openxmlformats.org/drawingml/2006/picture">
                <pic:pic xmlns:pic="http://schemas.openxmlformats.org/drawingml/2006/picture">
                  <pic:nvPicPr>
                    <pic:cNvPr id="48" name="Picture" descr="A chart of lines drawn on a gri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334000" cy="5334000"/>
                    </a:xfrm>
                    <a:prstGeom prst="rect">
                      <a:avLst/>
                    </a:prstGeom>
                    <a:noFill/>
                    <a:ln w="9525">
                      <a:noFill/>
                      <a:headEnd/>
                      <a:tailEnd/>
                    </a:ln>
                  </pic:spPr>
                </pic:pic>
              </a:graphicData>
            </a:graphic>
          </wp:inline>
        </w:drawing>
      </w:r>
    </w:p>
    <w:p w14:paraId="246B2699"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4" w:name="_Toc153535185"/>
      <w:r w:rsidRPr="00AB37EA">
        <w:rPr>
          <w:rFonts w:ascii="Times New Roman" w:hAnsi="Times New Roman" w:cs="Times New Roman"/>
          <w:b w:val="0"/>
          <w:bCs w:val="0"/>
          <w:color w:val="auto"/>
          <w:sz w:val="24"/>
          <w:szCs w:val="24"/>
        </w:rPr>
        <w:t>Figure S8. Concentration-response functions for the associations of early childhood (~3 years) erythrocyte concentrations of each of nine non-essential (As, Ba, Cd, Cs, Hg, Pb, Sn, Sr) and six essential metals (Co, Cu, Mg, Mn, Mo, Se, Zn) (top horizontal axis) with mid-childhood (~8 years) visual memory (WRAML2)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WRAML2: Wide Range Assessment of Memory and Learning, 2nd edition.</w:t>
      </w:r>
      <w:bookmarkEnd w:id="14"/>
    </w:p>
    <w:p w14:paraId="3DB487DC"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51CCD950"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15A87960" wp14:editId="7B45146A">
            <wp:extent cx="5334000" cy="533400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figure_s9.tiff"/>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334000" cy="5334000"/>
                    </a:xfrm>
                    <a:prstGeom prst="rect">
                      <a:avLst/>
                    </a:prstGeom>
                    <a:noFill/>
                    <a:ln w="9525">
                      <a:noFill/>
                      <a:headEnd/>
                      <a:tailEnd/>
                    </a:ln>
                  </pic:spPr>
                </pic:pic>
              </a:graphicData>
            </a:graphic>
          </wp:inline>
        </w:drawing>
      </w:r>
      <w:r>
        <w:rPr>
          <w:rFonts w:ascii="Times New Roman" w:hAnsi="Times New Roman" w:cs="Times New Roman"/>
        </w:rPr>
        <w:softHyphen/>
      </w:r>
    </w:p>
    <w:p w14:paraId="3AB9BC76"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5" w:name="_Toc153535186"/>
      <w:r w:rsidRPr="00AB37EA">
        <w:rPr>
          <w:rFonts w:ascii="Times New Roman" w:hAnsi="Times New Roman" w:cs="Times New Roman"/>
          <w:b w:val="0"/>
          <w:bCs w:val="0"/>
          <w:color w:val="auto"/>
          <w:sz w:val="24"/>
          <w:szCs w:val="24"/>
        </w:rPr>
        <w:t>Figure S9. Concentration-response functions for the associations of early childhood (~3 years) erythrocyte concentrations of each of nine non-essential (As, Ba, Cd, Cs, Hg, Pb, Sn, Sr) and six essential metals (Co, Cu, Mg, Mn, Mo, Se, Zn) (top horizontal axis) with mid-childhood (~8 years) visual-motor (WRAVMA visual-motor subtest)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WRAVMA: Wide Range Assessment of Visual-Motor Function.</w:t>
      </w:r>
      <w:bookmarkEnd w:id="15"/>
    </w:p>
    <w:p w14:paraId="027FD203"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7CA87A14"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242D1DB9" wp14:editId="71D9F561">
            <wp:extent cx="5334000" cy="533400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7" name="Picture" descr="figure_s10.tiff"/>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334000" cy="5334000"/>
                    </a:xfrm>
                    <a:prstGeom prst="rect">
                      <a:avLst/>
                    </a:prstGeom>
                    <a:noFill/>
                    <a:ln w="9525">
                      <a:noFill/>
                      <a:headEnd/>
                      <a:tailEnd/>
                    </a:ln>
                  </pic:spPr>
                </pic:pic>
              </a:graphicData>
            </a:graphic>
          </wp:inline>
        </w:drawing>
      </w:r>
    </w:p>
    <w:p w14:paraId="66604BEC"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6" w:name="_Toc153535187"/>
      <w:r w:rsidRPr="00AB37EA">
        <w:rPr>
          <w:rFonts w:ascii="Times New Roman" w:hAnsi="Times New Roman" w:cs="Times New Roman"/>
          <w:b w:val="0"/>
          <w:bCs w:val="0"/>
          <w:color w:val="auto"/>
          <w:sz w:val="24"/>
          <w:szCs w:val="24"/>
        </w:rPr>
        <w:t>Figure S10. Concentration-response functions for the associations of early childhood (~3 years) erythrocyte concentrations of each of nine non-essential (As, Ba, Cd, Cs, Hg, Pb, Sn, Sr) and six essential metals (Co, Cu, Mg, Mn, Mo, Se, Zn) (top horizontal axis) with mid-childhood (~8 years) crystallized intelligence (KBIT-II verbal)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KBIT-II: Kaufman Brief Intelligence Test, 2nd edition.</w:t>
      </w:r>
      <w:bookmarkEnd w:id="16"/>
    </w:p>
    <w:p w14:paraId="174D9AD7" w14:textId="77777777" w:rsidR="00DF395E" w:rsidRPr="00E15E12" w:rsidRDefault="00DF395E" w:rsidP="00DF395E">
      <w:pPr>
        <w:pStyle w:val="Heading1"/>
      </w:pPr>
      <w:r w:rsidRPr="00E15E12">
        <w:br w:type="page"/>
      </w:r>
    </w:p>
    <w:p w14:paraId="1739F87C"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51A78CC3" wp14:editId="23CFFEB7">
            <wp:extent cx="5334000" cy="5334000"/>
            <wp:effectExtent l="0" t="0" r="0" b="0"/>
            <wp:docPr id="60" name="Picture" descr="A chart of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descr="A chart of different colored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334000" cy="5334000"/>
                    </a:xfrm>
                    <a:prstGeom prst="rect">
                      <a:avLst/>
                    </a:prstGeom>
                    <a:noFill/>
                    <a:ln w="9525">
                      <a:noFill/>
                      <a:headEnd/>
                      <a:tailEnd/>
                    </a:ln>
                  </pic:spPr>
                </pic:pic>
              </a:graphicData>
            </a:graphic>
          </wp:inline>
        </w:drawing>
      </w:r>
    </w:p>
    <w:p w14:paraId="25FE6060"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7" w:name="_Toc153535188"/>
      <w:r w:rsidRPr="00AB37EA">
        <w:rPr>
          <w:rFonts w:ascii="Times New Roman" w:hAnsi="Times New Roman" w:cs="Times New Roman"/>
          <w:b w:val="0"/>
          <w:bCs w:val="0"/>
          <w:color w:val="auto"/>
          <w:sz w:val="24"/>
          <w:szCs w:val="24"/>
        </w:rPr>
        <w:t>Figure S11. Concentration-response functions for the associations of early childhood (~3 years) erythrocyte concentrations of each of nine non-essential (As, Ba, Cd, Cs, Hg, Pb, Sn, Sr) and six essential metals (Co, Cu, Mg, Mn, Mo, Se, Zn) (top horizontal axis) with mid-childhood (~8 years) fluid intelligence (KBIT-II non-verbal) cognitive test scores, stratified by the 10th, 50th, or 90th percentile of each other metal (right vertical axis), from Bayesian kernel machine regression models. All other components were fixed at their medians. Variation in the shape of the functions across quantiles of other metals indicates interaction. KBIT-II: Kaufman Brief Intelligence Test, 2nd edition.</w:t>
      </w:r>
      <w:bookmarkEnd w:id="17"/>
    </w:p>
    <w:p w14:paraId="2AC4069D" w14:textId="77777777" w:rsidR="00DF395E" w:rsidRPr="00AB37EA" w:rsidRDefault="00DF395E" w:rsidP="00DF395E">
      <w:pPr>
        <w:pStyle w:val="Heading1"/>
        <w:spacing w:before="0"/>
        <w:rPr>
          <w:rFonts w:ascii="Times New Roman" w:hAnsi="Times New Roman" w:cs="Times New Roman"/>
          <w:b w:val="0"/>
          <w:bCs w:val="0"/>
          <w:color w:val="auto"/>
          <w:sz w:val="24"/>
          <w:szCs w:val="24"/>
        </w:rPr>
      </w:pPr>
      <w:r w:rsidRPr="00AB37EA">
        <w:rPr>
          <w:rFonts w:ascii="Times New Roman" w:hAnsi="Times New Roman" w:cs="Times New Roman"/>
          <w:b w:val="0"/>
          <w:bCs w:val="0"/>
          <w:color w:val="auto"/>
          <w:sz w:val="24"/>
          <w:szCs w:val="24"/>
        </w:rPr>
        <w:br w:type="page"/>
      </w:r>
    </w:p>
    <w:p w14:paraId="3D3E704E"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7D6B7F34" wp14:editId="1FFBEE18">
            <wp:extent cx="5334000" cy="3692769"/>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5" name="Picture" descr="sensitivity_figure_s12.tiff"/>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5334000" cy="3692769"/>
                    </a:xfrm>
                    <a:prstGeom prst="rect">
                      <a:avLst/>
                    </a:prstGeom>
                    <a:noFill/>
                    <a:ln w="9525">
                      <a:noFill/>
                      <a:headEnd/>
                      <a:tailEnd/>
                    </a:ln>
                  </pic:spPr>
                </pic:pic>
              </a:graphicData>
            </a:graphic>
          </wp:inline>
        </w:drawing>
      </w:r>
    </w:p>
    <w:p w14:paraId="1F672DD0"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8" w:name="_Toc153535189"/>
      <w:r w:rsidRPr="00AB37EA">
        <w:rPr>
          <w:rFonts w:ascii="Times New Roman" w:hAnsi="Times New Roman" w:cs="Times New Roman"/>
          <w:b w:val="0"/>
          <w:bCs w:val="0"/>
          <w:color w:val="auto"/>
          <w:sz w:val="24"/>
          <w:szCs w:val="24"/>
        </w:rPr>
        <w:t>Figure S12. Sensitivity analyses of adjusted mean difference in early childhood (~3 years) (A) and mid-childhood (~8 years) (B) cognitive test scores and 95% confidence intervals per doubling of early childhood erythrocyte concentration of non-essential metals. Reference model (“Ref.”) is a multivariable linear regression model adjusting for child race and ethnicity, fish consumption, daycare attendance, breastfeeding duration, household income, maternal intelligence (PPVT-III for early childhood visit; KBIT-II composite for mid-childhood visit), education, marital status, age at enrollment, early childhood erythrocyte concentrations of all other metals, and maternal first-trimester erythrocyte concentration of the metal. Estimates and intervals for each metal present, from left to right: Ref.; Ref. with additional adjustment for Youth Healthy Eating Index; Ref. with additional adjustment for presence of household smoking; and Ref. with removal of other early childhood metals from the model. KBIT-II: Kaufman Brief Intelligence Test, 2nd edition; PPVT-III: Peabody Picture Vocabulary Test, 3rd edition; WRAVMA: Wide Range Assessment of Visual Motor Abilities; WRAML2: Wide Range Assessment of Memory and Learning, 2nd edition; YHEI: Youth Healthy Eating Index.</w:t>
      </w:r>
      <w:bookmarkEnd w:id="18"/>
    </w:p>
    <w:p w14:paraId="5455575B"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6905333F"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1EE9E078" wp14:editId="0D551597">
            <wp:extent cx="5334000" cy="3692769"/>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9" name="Picture" descr="sensitivity_figure_s13.tiff"/>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334000" cy="3692769"/>
                    </a:xfrm>
                    <a:prstGeom prst="rect">
                      <a:avLst/>
                    </a:prstGeom>
                    <a:noFill/>
                    <a:ln w="9525">
                      <a:noFill/>
                      <a:headEnd/>
                      <a:tailEnd/>
                    </a:ln>
                  </pic:spPr>
                </pic:pic>
              </a:graphicData>
            </a:graphic>
          </wp:inline>
        </w:drawing>
      </w:r>
    </w:p>
    <w:p w14:paraId="078BD507"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19" w:name="_Toc153535190"/>
      <w:r w:rsidRPr="00AB37EA">
        <w:rPr>
          <w:rFonts w:ascii="Times New Roman" w:hAnsi="Times New Roman" w:cs="Times New Roman"/>
          <w:b w:val="0"/>
          <w:bCs w:val="0"/>
          <w:color w:val="auto"/>
          <w:sz w:val="24"/>
          <w:szCs w:val="24"/>
        </w:rPr>
        <w:t>Figure S13. Sensitivity analyses of adjusted mean difference in early childhood (~3 years) (A) and mid-childhood (~8 years) (B) cognitive test scores and 95% confidence intervals per doubling of early childhood erythrocyte concentration of essential metals. Reference model (“Ref.”) is a multivariable linear regression model adjusting for child race and ethnicity, fish consumption, daycare attendance, breastfeeding duration, household income, maternal intelligence (PPVT-III for early childhood visit; KBIT-II composite for mid-childhood visit), education, marital status, age at enrollment, early childhood erythrocyte concentrations of all other metals, and maternal first-trimester erythrocyte concentration of the metal. Estimates and intervals for each metal present, from left to right: Ref.; Ref. with additional adjustment for Youth Healthy Eating Index; Ref. with additional adjustment for presence of household smoking; and Ref. with removal of other early childhood metals from the model. KBIT-II: Kaufman Brief Intelligence Test, 2nd edition; PPVT-III: Peabody Picture Vocabulary Test, 3rd edition; WRAVMA: Wide Range Assessment of Visual Motor Abilities; WRAML2: Wide Range Assessment of Memory and Learning, 2nd edition; YHEI: Youth Healthy Eating Index.</w:t>
      </w:r>
      <w:bookmarkEnd w:id="19"/>
    </w:p>
    <w:p w14:paraId="1A78188E" w14:textId="77777777" w:rsidR="00DF395E" w:rsidRPr="00E15E12" w:rsidRDefault="00DF395E" w:rsidP="00DF395E">
      <w:pPr>
        <w:rPr>
          <w:rFonts w:ascii="Times New Roman" w:hAnsi="Times New Roman" w:cs="Times New Roman"/>
        </w:rPr>
      </w:pPr>
      <w:r w:rsidRPr="00E15E12">
        <w:rPr>
          <w:rFonts w:ascii="Times New Roman" w:hAnsi="Times New Roman" w:cs="Times New Roman"/>
        </w:rPr>
        <w:br w:type="page"/>
      </w:r>
    </w:p>
    <w:p w14:paraId="0C52BD1B" w14:textId="77777777" w:rsidR="00DF395E" w:rsidRPr="00E15E12" w:rsidRDefault="00DF395E" w:rsidP="00DF395E">
      <w:pPr>
        <w:pStyle w:val="BodyText"/>
        <w:rPr>
          <w:rFonts w:ascii="Times New Roman" w:hAnsi="Times New Roman" w:cs="Times New Roman"/>
        </w:rPr>
      </w:pPr>
      <w:r w:rsidRPr="00E15E12">
        <w:rPr>
          <w:rFonts w:ascii="Times New Roman" w:hAnsi="Times New Roman" w:cs="Times New Roman"/>
          <w:noProof/>
        </w:rPr>
        <w:lastRenderedPageBreak/>
        <w:drawing>
          <wp:inline distT="0" distB="0" distL="0" distR="0" wp14:anchorId="142A0BF6" wp14:editId="2C19A87F">
            <wp:extent cx="5334000" cy="3692769"/>
            <wp:effectExtent l="0" t="0" r="0" b="0"/>
            <wp:docPr id="72" name="Picture"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72" name="Picture" descr="A screenshot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5334000" cy="3692769"/>
                    </a:xfrm>
                    <a:prstGeom prst="rect">
                      <a:avLst/>
                    </a:prstGeom>
                    <a:noFill/>
                    <a:ln w="9525">
                      <a:noFill/>
                      <a:headEnd/>
                      <a:tailEnd/>
                    </a:ln>
                  </pic:spPr>
                </pic:pic>
              </a:graphicData>
            </a:graphic>
          </wp:inline>
        </w:drawing>
      </w:r>
    </w:p>
    <w:p w14:paraId="5D2D6D27" w14:textId="77777777" w:rsidR="00DF395E" w:rsidRPr="00AB37EA" w:rsidRDefault="00DF395E" w:rsidP="00DF395E">
      <w:pPr>
        <w:pStyle w:val="Heading1"/>
        <w:spacing w:before="0"/>
        <w:rPr>
          <w:rFonts w:ascii="Times New Roman" w:hAnsi="Times New Roman" w:cs="Times New Roman"/>
          <w:b w:val="0"/>
          <w:bCs w:val="0"/>
          <w:color w:val="auto"/>
          <w:sz w:val="24"/>
          <w:szCs w:val="24"/>
        </w:rPr>
      </w:pPr>
      <w:bookmarkStart w:id="20" w:name="_Toc153535191"/>
      <w:r w:rsidRPr="00AB37EA">
        <w:rPr>
          <w:rFonts w:ascii="Times New Roman" w:hAnsi="Times New Roman" w:cs="Times New Roman"/>
          <w:b w:val="0"/>
          <w:bCs w:val="0"/>
          <w:color w:val="auto"/>
          <w:sz w:val="24"/>
          <w:szCs w:val="24"/>
        </w:rPr>
        <w:t>Figure S14. Sensitivity analyses of adjusted mean difference in early childhood (~3 years) (A) and mid-childhood (~8 years) (B) cognitive test scores and 95% confidence intervals per quartile increase in early childhood erythrocyte concentration of a mixture of non-essential (As, Ba, Cd, Cs, Hg, Pb, Sn, and Sr) or essential (Co, Cu, Mg, Mn, Mo, Se, and Zn) metals. Reference model is a quantile g-computation model adjusting for child race and ethnicity, fish consumption, daycare attendance, breastfeeding duration, household income, maternal intelligence (PPVT-III for early childhood visit; KBIT-II composite for mid-childhood visit), education, marital status, age at enrollment, early childhood erythrocyte concentrations of metals in the other mixture, and maternal first-trimester erythrocyte concentration of all metals in the mixture. Estimates and intervals for each mixture present, from left to right: Ref.; Ref. with additional adjustment for Youth Healthy Eating Index; Ref. with additional adjustment for presence of household smoking; and Ref. with removal of early childhood erythrocyte metals in the other mixture from the model. KBIT-II: Kaufman Brief Intelligence Test, 2nd edition; PPVT-III: Peabody Picture Vocabulary Test, 3rd edition; WRAVMA: Wide Range Assessment of Visual Motor Abilities; WRAML2: Wide Range Assessment of Memory and Learning, 2nd edition; YHEI: Youth Healthy Eating Index.</w:t>
      </w:r>
      <w:bookmarkEnd w:id="20"/>
    </w:p>
    <w:p w14:paraId="194088A8" w14:textId="4E427D9C" w:rsidR="0079528A" w:rsidRPr="00DF395E" w:rsidRDefault="0079528A" w:rsidP="00DF395E"/>
    <w:sectPr w:rsidR="0079528A" w:rsidRPr="00DF395E" w:rsidSect="00922E5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C2EAA" w14:textId="77777777" w:rsidR="00922E55" w:rsidRDefault="00922E55">
      <w:pPr>
        <w:spacing w:after="0"/>
      </w:pPr>
      <w:r>
        <w:separator/>
      </w:r>
    </w:p>
  </w:endnote>
  <w:endnote w:type="continuationSeparator" w:id="0">
    <w:p w14:paraId="0BABB160" w14:textId="77777777" w:rsidR="00922E55" w:rsidRDefault="00922E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2385532"/>
      <w:docPartObj>
        <w:docPartGallery w:val="Page Numbers (Bottom of Page)"/>
        <w:docPartUnique/>
      </w:docPartObj>
    </w:sdtPr>
    <w:sdtContent>
      <w:p w14:paraId="1F212012" w14:textId="7F7F8CB5" w:rsidR="00F03481" w:rsidRDefault="00F03481" w:rsidP="00F0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9736E1" w14:textId="77777777" w:rsidR="00F03481" w:rsidRDefault="00F03481" w:rsidP="00F034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0075254"/>
      <w:docPartObj>
        <w:docPartGallery w:val="Page Numbers (Bottom of Page)"/>
        <w:docPartUnique/>
      </w:docPartObj>
    </w:sdtPr>
    <w:sdtContent>
      <w:p w14:paraId="74F73DBD" w14:textId="2AA0E6CF" w:rsidR="00F03481" w:rsidRDefault="00F03481" w:rsidP="00F0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1BF79E" w14:textId="77777777" w:rsidR="00F03481" w:rsidRDefault="00F03481" w:rsidP="00F034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A3AC3" w14:textId="77777777" w:rsidR="00922E55" w:rsidRDefault="00922E55">
      <w:r>
        <w:separator/>
      </w:r>
    </w:p>
  </w:footnote>
  <w:footnote w:type="continuationSeparator" w:id="0">
    <w:p w14:paraId="61D715E8" w14:textId="77777777" w:rsidR="00922E55" w:rsidRDefault="00922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204A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A990"/>
    <w:multiLevelType w:val="multilevel"/>
    <w:tmpl w:val="B6186E6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2" w15:restartNumberingAfterBreak="0">
    <w:nsid w:val="09006E15"/>
    <w:multiLevelType w:val="hybridMultilevel"/>
    <w:tmpl w:val="D05E51A2"/>
    <w:lvl w:ilvl="0" w:tplc="F6E66A7E">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B11563"/>
    <w:multiLevelType w:val="hybridMultilevel"/>
    <w:tmpl w:val="9FA4FC0C"/>
    <w:lvl w:ilvl="0" w:tplc="A19EB1B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561850">
    <w:abstractNumId w:val="1"/>
  </w:num>
  <w:num w:numId="2" w16cid:durableId="77560949">
    <w:abstractNumId w:val="2"/>
  </w:num>
  <w:num w:numId="3" w16cid:durableId="1361514395">
    <w:abstractNumId w:val="3"/>
  </w:num>
  <w:num w:numId="4" w16cid:durableId="136540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28A"/>
    <w:rsid w:val="00092717"/>
    <w:rsid w:val="0011370F"/>
    <w:rsid w:val="00134305"/>
    <w:rsid w:val="00177F8E"/>
    <w:rsid w:val="00263BCB"/>
    <w:rsid w:val="002E392E"/>
    <w:rsid w:val="00344A11"/>
    <w:rsid w:val="0034613A"/>
    <w:rsid w:val="004141E3"/>
    <w:rsid w:val="00427EE3"/>
    <w:rsid w:val="00457288"/>
    <w:rsid w:val="00585DA3"/>
    <w:rsid w:val="00587AEB"/>
    <w:rsid w:val="005D340C"/>
    <w:rsid w:val="006D1427"/>
    <w:rsid w:val="006D17A4"/>
    <w:rsid w:val="006F12F6"/>
    <w:rsid w:val="0079528A"/>
    <w:rsid w:val="007D5E61"/>
    <w:rsid w:val="00850E4A"/>
    <w:rsid w:val="008C7188"/>
    <w:rsid w:val="008E2D6C"/>
    <w:rsid w:val="00922E55"/>
    <w:rsid w:val="009D10B7"/>
    <w:rsid w:val="009F5772"/>
    <w:rsid w:val="00A208FA"/>
    <w:rsid w:val="00A3326B"/>
    <w:rsid w:val="00AB37EA"/>
    <w:rsid w:val="00AC649B"/>
    <w:rsid w:val="00AD7A3F"/>
    <w:rsid w:val="00BB7F24"/>
    <w:rsid w:val="00BD6F03"/>
    <w:rsid w:val="00CD0428"/>
    <w:rsid w:val="00CD696A"/>
    <w:rsid w:val="00DF395E"/>
    <w:rsid w:val="00E15E12"/>
    <w:rsid w:val="00E25AE4"/>
    <w:rsid w:val="00EB1FA8"/>
    <w:rsid w:val="00F03481"/>
    <w:rsid w:val="00FF49A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083D1"/>
  <w15:docId w15:val="{95DD67BA-1303-489A-8E98-FE7868E7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annotation text" w:uiPriority="99"/>
    <w:lsdException w:name="header" w:uiPriority="99"/>
    <w:lsdException w:name="footer" w:uiPriority="99"/>
    <w:lsdException w:name="annotation reference" w:uiPriority="99"/>
    <w:lsdException w:name="line number" w:uiPriority="99"/>
    <w:lsdException w:name="toa heading" w:uiPriority="99"/>
    <w:lsdException w:name="List Bullet" w:uiPriority="99"/>
    <w:lsdException w:name="Hyperlink" w:uiPriority="99"/>
    <w:lsdException w:name="FollowedHyperlink" w:uiPriority="99"/>
    <w:lsdException w:name="Emphasis" w:uiPriority="20"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link w:val="Heading4Char"/>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link w:val="Heading5Char"/>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link w:val="Heading6Cha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link w:val="Heading7Char"/>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link w:val="Heading8Char"/>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link w:val="Heading9Char"/>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link w:val="SubtitleChar"/>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link w:val="DateChar"/>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link w:val="FootnoteTextChar"/>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styleId="Emphasis">
    <w:name w:val="Emphasis"/>
    <w:basedOn w:val="DefaultParagraphFont"/>
    <w:uiPriority w:val="20"/>
    <w:qFormat/>
    <w:rsid w:val="007D5E61"/>
    <w:rPr>
      <w:i/>
      <w:iCs/>
    </w:rPr>
  </w:style>
  <w:style w:type="paragraph" w:styleId="TOC1">
    <w:name w:val="toc 1"/>
    <w:basedOn w:val="Normal"/>
    <w:next w:val="Normal"/>
    <w:autoRedefine/>
    <w:uiPriority w:val="39"/>
    <w:rsid w:val="00AB37EA"/>
    <w:pPr>
      <w:spacing w:after="100"/>
    </w:pPr>
  </w:style>
  <w:style w:type="paragraph" w:customStyle="1" w:styleId="SupplementalmaterialTOC">
    <w:name w:val="Supplemental material TOC"/>
    <w:basedOn w:val="Title"/>
    <w:next w:val="TOAHeading"/>
    <w:link w:val="SupplementalmaterialTOCChar"/>
    <w:qFormat/>
    <w:rsid w:val="0011370F"/>
    <w:pPr>
      <w:spacing w:before="0" w:after="0" w:line="480" w:lineRule="auto"/>
      <w:jc w:val="left"/>
    </w:pPr>
    <w:rPr>
      <w:rFonts w:ascii="Times New Roman" w:hAnsi="Times New Roman" w:cs="Times New Roman"/>
      <w:b w:val="0"/>
      <w:spacing w:val="-10"/>
      <w:kern w:val="28"/>
    </w:rPr>
  </w:style>
  <w:style w:type="character" w:customStyle="1" w:styleId="SupplementalmaterialTOCChar">
    <w:name w:val="Supplemental material TOC Char"/>
    <w:basedOn w:val="TitleChar"/>
    <w:link w:val="SupplementalmaterialTOC"/>
    <w:rsid w:val="0011370F"/>
    <w:rPr>
      <w:rFonts w:ascii="Times New Roman" w:eastAsiaTheme="majorEastAsia" w:hAnsi="Times New Roman" w:cs="Times New Roman"/>
      <w:b/>
      <w:bCs w:val="0"/>
      <w:color w:val="345A8A" w:themeColor="accent1" w:themeShade="B5"/>
      <w:sz w:val="36"/>
      <w:szCs w:val="36"/>
    </w:rPr>
  </w:style>
  <w:style w:type="character" w:customStyle="1" w:styleId="TitleChar">
    <w:name w:val="Title Char"/>
    <w:basedOn w:val="DefaultParagraphFont"/>
    <w:link w:val="Title"/>
    <w:uiPriority w:val="10"/>
    <w:rsid w:val="0011370F"/>
    <w:rPr>
      <w:rFonts w:asciiTheme="majorHAnsi" w:eastAsiaTheme="majorEastAsia" w:hAnsiTheme="majorHAnsi" w:cstheme="majorBidi"/>
      <w:b/>
      <w:bCs/>
      <w:color w:val="345A8A" w:themeColor="accent1" w:themeShade="B5"/>
      <w:sz w:val="36"/>
      <w:szCs w:val="36"/>
    </w:rPr>
  </w:style>
  <w:style w:type="paragraph" w:styleId="TOAHeading">
    <w:name w:val="toa heading"/>
    <w:basedOn w:val="Normal"/>
    <w:next w:val="Normal"/>
    <w:uiPriority w:val="99"/>
    <w:unhideWhenUsed/>
    <w:rsid w:val="0011370F"/>
    <w:pPr>
      <w:spacing w:before="120" w:after="160" w:line="259" w:lineRule="auto"/>
    </w:pPr>
    <w:rPr>
      <w:rFonts w:asciiTheme="majorHAnsi" w:eastAsiaTheme="majorEastAsia" w:hAnsiTheme="majorHAnsi" w:cstheme="majorBidi"/>
      <w:b/>
      <w:bCs/>
    </w:rPr>
  </w:style>
  <w:style w:type="character" w:customStyle="1" w:styleId="BodyTextChar">
    <w:name w:val="Body Text Char"/>
    <w:basedOn w:val="DefaultParagraphFont"/>
    <w:link w:val="BodyText"/>
    <w:rsid w:val="0011370F"/>
  </w:style>
  <w:style w:type="character" w:styleId="CommentReference">
    <w:name w:val="annotation reference"/>
    <w:basedOn w:val="DefaultParagraphFont"/>
    <w:uiPriority w:val="99"/>
    <w:unhideWhenUsed/>
    <w:rsid w:val="0011370F"/>
    <w:rPr>
      <w:sz w:val="16"/>
      <w:szCs w:val="16"/>
    </w:rPr>
  </w:style>
  <w:style w:type="paragraph" w:styleId="CommentText">
    <w:name w:val="annotation text"/>
    <w:basedOn w:val="Normal"/>
    <w:link w:val="CommentTextChar"/>
    <w:uiPriority w:val="99"/>
    <w:unhideWhenUsed/>
    <w:rsid w:val="0011370F"/>
    <w:pPr>
      <w:spacing w:after="160"/>
    </w:pPr>
    <w:rPr>
      <w:rFonts w:eastAsia="PMingLiU"/>
      <w:sz w:val="20"/>
      <w:szCs w:val="20"/>
    </w:rPr>
  </w:style>
  <w:style w:type="character" w:customStyle="1" w:styleId="CommentTextChar">
    <w:name w:val="Comment Text Char"/>
    <w:basedOn w:val="DefaultParagraphFont"/>
    <w:link w:val="CommentText"/>
    <w:uiPriority w:val="99"/>
    <w:rsid w:val="0011370F"/>
    <w:rPr>
      <w:rFonts w:eastAsia="PMingLiU"/>
      <w:sz w:val="20"/>
      <w:szCs w:val="20"/>
    </w:rPr>
  </w:style>
  <w:style w:type="paragraph" w:styleId="CommentSubject">
    <w:name w:val="annotation subject"/>
    <w:basedOn w:val="CommentText"/>
    <w:next w:val="CommentText"/>
    <w:link w:val="CommentSubjectChar"/>
    <w:uiPriority w:val="99"/>
    <w:unhideWhenUsed/>
    <w:rsid w:val="0011370F"/>
    <w:rPr>
      <w:b/>
      <w:bCs/>
    </w:rPr>
  </w:style>
  <w:style w:type="character" w:customStyle="1" w:styleId="CommentSubjectChar">
    <w:name w:val="Comment Subject Char"/>
    <w:basedOn w:val="CommentTextChar"/>
    <w:link w:val="CommentSubject"/>
    <w:uiPriority w:val="99"/>
    <w:rsid w:val="0011370F"/>
    <w:rPr>
      <w:rFonts w:eastAsia="PMingLiU"/>
      <w:b/>
      <w:bCs/>
      <w:sz w:val="20"/>
      <w:szCs w:val="20"/>
    </w:rPr>
  </w:style>
  <w:style w:type="character" w:styleId="UnresolvedMention">
    <w:name w:val="Unresolved Mention"/>
    <w:basedOn w:val="DefaultParagraphFont"/>
    <w:uiPriority w:val="99"/>
    <w:semiHidden/>
    <w:unhideWhenUsed/>
    <w:rsid w:val="0011370F"/>
    <w:rPr>
      <w:color w:val="605E5C"/>
      <w:shd w:val="clear" w:color="auto" w:fill="E1DFDD"/>
    </w:rPr>
  </w:style>
  <w:style w:type="character" w:styleId="FollowedHyperlink">
    <w:name w:val="FollowedHyperlink"/>
    <w:basedOn w:val="DefaultParagraphFont"/>
    <w:uiPriority w:val="99"/>
    <w:unhideWhenUsed/>
    <w:rsid w:val="0011370F"/>
    <w:rPr>
      <w:color w:val="800080" w:themeColor="followedHyperlink"/>
      <w:u w:val="single"/>
    </w:rPr>
  </w:style>
  <w:style w:type="paragraph" w:styleId="Revision">
    <w:name w:val="Revision"/>
    <w:hidden/>
    <w:uiPriority w:val="99"/>
    <w:rsid w:val="0011370F"/>
    <w:pPr>
      <w:spacing w:after="0"/>
    </w:pPr>
    <w:rPr>
      <w:rFonts w:eastAsia="PMingLiU"/>
      <w:sz w:val="22"/>
      <w:szCs w:val="22"/>
    </w:rPr>
  </w:style>
  <w:style w:type="paragraph" w:styleId="Header">
    <w:name w:val="header"/>
    <w:basedOn w:val="Normal"/>
    <w:link w:val="HeaderChar"/>
    <w:uiPriority w:val="99"/>
    <w:unhideWhenUsed/>
    <w:rsid w:val="0011370F"/>
    <w:pPr>
      <w:tabs>
        <w:tab w:val="center" w:pos="4680"/>
        <w:tab w:val="right" w:pos="9360"/>
      </w:tabs>
      <w:spacing w:after="0"/>
    </w:pPr>
    <w:rPr>
      <w:rFonts w:eastAsia="PMingLiU"/>
      <w:sz w:val="22"/>
      <w:szCs w:val="22"/>
    </w:rPr>
  </w:style>
  <w:style w:type="character" w:customStyle="1" w:styleId="HeaderChar">
    <w:name w:val="Header Char"/>
    <w:basedOn w:val="DefaultParagraphFont"/>
    <w:link w:val="Header"/>
    <w:uiPriority w:val="99"/>
    <w:rsid w:val="0011370F"/>
    <w:rPr>
      <w:rFonts w:eastAsia="PMingLiU"/>
      <w:sz w:val="22"/>
      <w:szCs w:val="22"/>
    </w:rPr>
  </w:style>
  <w:style w:type="paragraph" w:styleId="Footer">
    <w:name w:val="footer"/>
    <w:basedOn w:val="Normal"/>
    <w:link w:val="FooterChar"/>
    <w:uiPriority w:val="99"/>
    <w:unhideWhenUsed/>
    <w:rsid w:val="0011370F"/>
    <w:pPr>
      <w:tabs>
        <w:tab w:val="center" w:pos="4680"/>
        <w:tab w:val="right" w:pos="9360"/>
      </w:tabs>
      <w:spacing w:after="0"/>
    </w:pPr>
    <w:rPr>
      <w:rFonts w:eastAsia="PMingLiU"/>
      <w:sz w:val="22"/>
      <w:szCs w:val="22"/>
    </w:rPr>
  </w:style>
  <w:style w:type="character" w:customStyle="1" w:styleId="FooterChar">
    <w:name w:val="Footer Char"/>
    <w:basedOn w:val="DefaultParagraphFont"/>
    <w:link w:val="Footer"/>
    <w:uiPriority w:val="99"/>
    <w:rsid w:val="0011370F"/>
    <w:rPr>
      <w:rFonts w:eastAsia="PMingLiU"/>
      <w:sz w:val="22"/>
      <w:szCs w:val="22"/>
    </w:rPr>
  </w:style>
  <w:style w:type="paragraph" w:styleId="ListParagraph">
    <w:name w:val="List Paragraph"/>
    <w:basedOn w:val="Normal"/>
    <w:link w:val="ListParagraphChar"/>
    <w:uiPriority w:val="34"/>
    <w:qFormat/>
    <w:rsid w:val="0011370F"/>
    <w:pPr>
      <w:spacing w:after="160" w:line="259" w:lineRule="auto"/>
      <w:ind w:left="720"/>
      <w:contextualSpacing/>
    </w:pPr>
    <w:rPr>
      <w:sz w:val="22"/>
      <w:szCs w:val="22"/>
    </w:rPr>
  </w:style>
  <w:style w:type="character" w:customStyle="1" w:styleId="ListParagraphChar">
    <w:name w:val="List Paragraph Char"/>
    <w:basedOn w:val="DefaultParagraphFont"/>
    <w:link w:val="ListParagraph"/>
    <w:uiPriority w:val="34"/>
    <w:locked/>
    <w:rsid w:val="0011370F"/>
    <w:rPr>
      <w:sz w:val="22"/>
      <w:szCs w:val="22"/>
    </w:rPr>
  </w:style>
  <w:style w:type="character" w:customStyle="1" w:styleId="UnresolvedMention1">
    <w:name w:val="Unresolved Mention1"/>
    <w:basedOn w:val="DefaultParagraphFont"/>
    <w:uiPriority w:val="99"/>
    <w:semiHidden/>
    <w:unhideWhenUsed/>
    <w:rsid w:val="0011370F"/>
    <w:rPr>
      <w:color w:val="605E5C"/>
      <w:shd w:val="clear" w:color="auto" w:fill="E1DFDD"/>
    </w:rPr>
  </w:style>
  <w:style w:type="paragraph" w:styleId="BalloonText">
    <w:name w:val="Balloon Text"/>
    <w:basedOn w:val="Normal"/>
    <w:link w:val="BalloonTextChar"/>
    <w:uiPriority w:val="99"/>
    <w:unhideWhenUsed/>
    <w:rsid w:val="0011370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11370F"/>
    <w:rPr>
      <w:rFonts w:ascii="Segoe UI" w:hAnsi="Segoe UI" w:cs="Segoe UI"/>
      <w:sz w:val="18"/>
      <w:szCs w:val="18"/>
    </w:rPr>
  </w:style>
  <w:style w:type="character" w:styleId="LineNumber">
    <w:name w:val="line number"/>
    <w:basedOn w:val="DefaultParagraphFont"/>
    <w:uiPriority w:val="99"/>
    <w:unhideWhenUsed/>
    <w:rsid w:val="0011370F"/>
  </w:style>
  <w:style w:type="character" w:customStyle="1" w:styleId="Heading1Char">
    <w:name w:val="Heading 1 Char"/>
    <w:basedOn w:val="DefaultParagraphFont"/>
    <w:link w:val="Heading1"/>
    <w:uiPriority w:val="9"/>
    <w:rsid w:val="0011370F"/>
    <w:rPr>
      <w:rFonts w:asciiTheme="majorHAnsi" w:eastAsiaTheme="majorEastAsia" w:hAnsiTheme="majorHAnsi" w:cstheme="majorBidi"/>
      <w:b/>
      <w:bCs/>
      <w:color w:val="4F81BD" w:themeColor="accent1"/>
      <w:sz w:val="32"/>
      <w:szCs w:val="32"/>
    </w:rPr>
  </w:style>
  <w:style w:type="character" w:customStyle="1" w:styleId="Heading2Char">
    <w:name w:val="Heading 2 Char"/>
    <w:basedOn w:val="DefaultParagraphFont"/>
    <w:link w:val="Heading2"/>
    <w:uiPriority w:val="9"/>
    <w:rsid w:val="0011370F"/>
    <w:rPr>
      <w:rFonts w:asciiTheme="majorHAnsi" w:eastAsiaTheme="majorEastAsia" w:hAnsiTheme="majorHAnsi" w:cstheme="majorBidi"/>
      <w:b/>
      <w:bCs/>
      <w:color w:val="4F81BD" w:themeColor="accent1"/>
      <w:sz w:val="28"/>
      <w:szCs w:val="28"/>
    </w:rPr>
  </w:style>
  <w:style w:type="character" w:customStyle="1" w:styleId="Heading3Char">
    <w:name w:val="Heading 3 Char"/>
    <w:basedOn w:val="DefaultParagraphFont"/>
    <w:link w:val="Heading3"/>
    <w:uiPriority w:val="9"/>
    <w:rsid w:val="001137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1370F"/>
    <w:rPr>
      <w:rFonts w:asciiTheme="majorHAnsi" w:eastAsiaTheme="majorEastAsia" w:hAnsiTheme="majorHAnsi" w:cstheme="majorBidi"/>
      <w:bCs/>
      <w:i/>
      <w:color w:val="4F81BD" w:themeColor="accent1"/>
    </w:rPr>
  </w:style>
  <w:style w:type="character" w:customStyle="1" w:styleId="Heading5Char">
    <w:name w:val="Heading 5 Char"/>
    <w:basedOn w:val="DefaultParagraphFont"/>
    <w:link w:val="Heading5"/>
    <w:uiPriority w:val="9"/>
    <w:rsid w:val="0011370F"/>
    <w:rPr>
      <w:rFonts w:asciiTheme="majorHAnsi" w:eastAsiaTheme="majorEastAsia" w:hAnsiTheme="majorHAnsi" w:cstheme="majorBidi"/>
      <w:iCs/>
      <w:color w:val="4F81BD" w:themeColor="accent1"/>
    </w:rPr>
  </w:style>
  <w:style w:type="character" w:customStyle="1" w:styleId="Heading6Char">
    <w:name w:val="Heading 6 Char"/>
    <w:basedOn w:val="DefaultParagraphFont"/>
    <w:link w:val="Heading6"/>
    <w:uiPriority w:val="9"/>
    <w:rsid w:val="0011370F"/>
    <w:rPr>
      <w:rFonts w:asciiTheme="majorHAnsi" w:eastAsiaTheme="majorEastAsia" w:hAnsiTheme="majorHAnsi" w:cstheme="majorBidi"/>
      <w:color w:val="4F81BD" w:themeColor="accent1"/>
    </w:rPr>
  </w:style>
  <w:style w:type="character" w:customStyle="1" w:styleId="Heading7Char">
    <w:name w:val="Heading 7 Char"/>
    <w:basedOn w:val="DefaultParagraphFont"/>
    <w:link w:val="Heading7"/>
    <w:uiPriority w:val="9"/>
    <w:rsid w:val="0011370F"/>
    <w:rPr>
      <w:rFonts w:asciiTheme="majorHAnsi" w:eastAsiaTheme="majorEastAsia" w:hAnsiTheme="majorHAnsi" w:cstheme="majorBidi"/>
      <w:color w:val="4F81BD" w:themeColor="accent1"/>
    </w:rPr>
  </w:style>
  <w:style w:type="character" w:customStyle="1" w:styleId="Heading8Char">
    <w:name w:val="Heading 8 Char"/>
    <w:basedOn w:val="DefaultParagraphFont"/>
    <w:link w:val="Heading8"/>
    <w:uiPriority w:val="9"/>
    <w:rsid w:val="0011370F"/>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rsid w:val="0011370F"/>
    <w:rPr>
      <w:rFonts w:asciiTheme="majorHAnsi" w:eastAsiaTheme="majorEastAsia" w:hAnsiTheme="majorHAnsi" w:cstheme="majorBidi"/>
      <w:color w:val="4F81BD" w:themeColor="accent1"/>
    </w:rPr>
  </w:style>
  <w:style w:type="character" w:customStyle="1" w:styleId="SubtitleChar">
    <w:name w:val="Subtitle Char"/>
    <w:basedOn w:val="DefaultParagraphFont"/>
    <w:link w:val="Subtitle"/>
    <w:rsid w:val="0011370F"/>
    <w:rPr>
      <w:rFonts w:asciiTheme="majorHAnsi" w:eastAsiaTheme="majorEastAsia" w:hAnsiTheme="majorHAnsi" w:cstheme="majorBidi"/>
      <w:b/>
      <w:bCs/>
      <w:color w:val="345A8A" w:themeColor="accent1" w:themeShade="B5"/>
      <w:sz w:val="30"/>
      <w:szCs w:val="30"/>
    </w:rPr>
  </w:style>
  <w:style w:type="character" w:customStyle="1" w:styleId="DateChar">
    <w:name w:val="Date Char"/>
    <w:basedOn w:val="DefaultParagraphFont"/>
    <w:link w:val="Date"/>
    <w:rsid w:val="0011370F"/>
  </w:style>
  <w:style w:type="character" w:customStyle="1" w:styleId="FootnoteTextChar">
    <w:name w:val="Footnote Text Char"/>
    <w:basedOn w:val="DefaultParagraphFont"/>
    <w:link w:val="FootnoteText"/>
    <w:uiPriority w:val="9"/>
    <w:rsid w:val="0011370F"/>
  </w:style>
  <w:style w:type="paragraph" w:styleId="ListBullet">
    <w:name w:val="List Bullet"/>
    <w:basedOn w:val="Normal"/>
    <w:uiPriority w:val="99"/>
    <w:unhideWhenUsed/>
    <w:rsid w:val="0011370F"/>
    <w:pPr>
      <w:numPr>
        <w:numId w:val="4"/>
      </w:numPr>
      <w:spacing w:after="160" w:line="256" w:lineRule="auto"/>
      <w:contextualSpacing/>
    </w:pPr>
    <w:rPr>
      <w:rFonts w:eastAsia="PMingLiU"/>
      <w:sz w:val="22"/>
      <w:szCs w:val="22"/>
    </w:rPr>
  </w:style>
  <w:style w:type="character" w:styleId="PageNumber">
    <w:name w:val="page number"/>
    <w:basedOn w:val="DefaultParagraphFont"/>
    <w:rsid w:val="00F03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764E7-9FE2-4D13-8A6C-4BE2B56B2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7259</Words>
  <Characters>41378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Supplemental Material</vt:lpstr>
    </vt:vector>
  </TitlesOfParts>
  <Company/>
  <LinksUpToDate>false</LinksUpToDate>
  <CharactersWithSpaces>48540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Material</dc:title>
  <dc:creator>Ruwan Thilakaratne</dc:creator>
  <cp:keywords/>
  <cp:lastModifiedBy>Ruwan Thilakaratne</cp:lastModifiedBy>
  <cp:revision>7</cp:revision>
  <dcterms:created xsi:type="dcterms:W3CDTF">2023-12-15T00:13:00Z</dcterms:created>
  <dcterms:modified xsi:type="dcterms:W3CDTF">2023-12-15T20:19:00Z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August 29, 2023</vt:lpwstr>
  </property>
  <property fmtid="{D5CDD505-2E9C-101B-9397-08002B2CF9AE}" pid="3" name="knit">
    <vt:lpwstr>(function(inputFile, encoding) { out_dir &lt;- ‘manuscript_results’; rmarkdown::render(inputFile, encoding=encoding, output_file=file.path(dirname(inputFile), out_dir, ‘Supplemental Material.docx’)) })</vt:lpwstr>
  </property>
  <property fmtid="{D5CDD505-2E9C-101B-9397-08002B2CF9AE}" pid="4" name="output">
    <vt:lpwstr>word_document</vt:lpwstr>
  </property>
  <property fmtid="{D5CDD505-2E9C-101B-9397-08002B2CF9AE}" pid="5" name="subtitle">
    <vt:lpwstr>Postnatal metals and early- and mid-childhood cognition in Project Viva</vt:lpwstr>
  </property>
</Properties>
</file>