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949B" w14:textId="77777777" w:rsidR="002805EA" w:rsidRDefault="002805EA" w:rsidP="002805EA">
      <w:r>
        <w:t>Supplementary table 1. Characteristics of included and excluded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340"/>
        <w:gridCol w:w="3700"/>
      </w:tblGrid>
      <w:tr w:rsidR="002805EA" w:rsidRPr="00176225" w14:paraId="0CA58B55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417AF84B" w14:textId="77777777" w:rsidR="002805EA" w:rsidRPr="00176225" w:rsidRDefault="002805EA" w:rsidP="00DB3303"/>
        </w:tc>
        <w:tc>
          <w:tcPr>
            <w:tcW w:w="2340" w:type="dxa"/>
            <w:noWrap/>
            <w:hideMark/>
          </w:tcPr>
          <w:p w14:paraId="259423FF" w14:textId="77777777" w:rsidR="002805EA" w:rsidRPr="00176225" w:rsidRDefault="002805EA" w:rsidP="00DB3303">
            <w:r w:rsidRPr="00176225">
              <w:t>Included children (n=585)</w:t>
            </w:r>
          </w:p>
        </w:tc>
        <w:tc>
          <w:tcPr>
            <w:tcW w:w="3700" w:type="dxa"/>
            <w:noWrap/>
            <w:hideMark/>
          </w:tcPr>
          <w:p w14:paraId="3F35C3CE" w14:textId="77777777" w:rsidR="002805EA" w:rsidRPr="00176225" w:rsidRDefault="002805EA" w:rsidP="00DB3303">
            <w:r w:rsidRPr="00176225">
              <w:t>Insufficient card documentation (n=117)</w:t>
            </w:r>
          </w:p>
        </w:tc>
      </w:tr>
      <w:tr w:rsidR="002805EA" w:rsidRPr="00176225" w14:paraId="13FC6A8A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45DEF905" w14:textId="77777777" w:rsidR="002805EA" w:rsidRPr="00176225" w:rsidRDefault="002805EA" w:rsidP="00DB3303">
            <w:r w:rsidRPr="00176225">
              <w:t>Age</w:t>
            </w:r>
            <w:r>
              <w:t xml:space="preserve"> in weeks</w:t>
            </w:r>
            <w:r w:rsidRPr="00176225">
              <w:t>, median (IQR)</w:t>
            </w:r>
          </w:p>
        </w:tc>
        <w:tc>
          <w:tcPr>
            <w:tcW w:w="2340" w:type="dxa"/>
            <w:noWrap/>
            <w:hideMark/>
          </w:tcPr>
          <w:p w14:paraId="1604170D" w14:textId="77777777" w:rsidR="002805EA" w:rsidRPr="00176225" w:rsidRDefault="002805EA" w:rsidP="00DB3303">
            <w:r w:rsidRPr="00176225">
              <w:t>24 (19-29)</w:t>
            </w:r>
          </w:p>
        </w:tc>
        <w:tc>
          <w:tcPr>
            <w:tcW w:w="3700" w:type="dxa"/>
            <w:noWrap/>
            <w:hideMark/>
          </w:tcPr>
          <w:p w14:paraId="35F50638" w14:textId="77777777" w:rsidR="002805EA" w:rsidRPr="00176225" w:rsidRDefault="002805EA" w:rsidP="00DB3303">
            <w:r w:rsidRPr="00176225">
              <w:t>26 (19-35)</w:t>
            </w:r>
          </w:p>
        </w:tc>
      </w:tr>
      <w:tr w:rsidR="002805EA" w:rsidRPr="00176225" w14:paraId="747D07F3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558FDB97" w14:textId="77777777" w:rsidR="002805EA" w:rsidRPr="00176225" w:rsidRDefault="002805EA" w:rsidP="00DB3303">
            <w:r w:rsidRPr="00176225">
              <w:t>Male sex, n (%)</w:t>
            </w:r>
          </w:p>
        </w:tc>
        <w:tc>
          <w:tcPr>
            <w:tcW w:w="2340" w:type="dxa"/>
            <w:noWrap/>
            <w:hideMark/>
          </w:tcPr>
          <w:p w14:paraId="0AE8172F" w14:textId="77777777" w:rsidR="002805EA" w:rsidRPr="00176225" w:rsidRDefault="002805EA" w:rsidP="00DB3303">
            <w:r w:rsidRPr="00176225">
              <w:t>351 (60)</w:t>
            </w:r>
          </w:p>
        </w:tc>
        <w:tc>
          <w:tcPr>
            <w:tcW w:w="3700" w:type="dxa"/>
            <w:noWrap/>
            <w:hideMark/>
          </w:tcPr>
          <w:p w14:paraId="04CE2C10" w14:textId="77777777" w:rsidR="002805EA" w:rsidRPr="00176225" w:rsidRDefault="002805EA" w:rsidP="00DB3303">
            <w:r w:rsidRPr="00176225">
              <w:t>77 (66)</w:t>
            </w:r>
          </w:p>
        </w:tc>
      </w:tr>
      <w:tr w:rsidR="002805EA" w:rsidRPr="00176225" w14:paraId="3070964D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7BA6E092" w14:textId="77777777" w:rsidR="002805EA" w:rsidRPr="00176225" w:rsidRDefault="002805EA" w:rsidP="00DB3303">
            <w:r w:rsidRPr="00176225">
              <w:t>Transferred</w:t>
            </w:r>
            <w:r>
              <w:t xml:space="preserve"> from first hospital to surveillance hospital</w:t>
            </w:r>
            <w:r w:rsidRPr="00176225">
              <w:t>, n (%)</w:t>
            </w:r>
          </w:p>
        </w:tc>
        <w:tc>
          <w:tcPr>
            <w:tcW w:w="2340" w:type="dxa"/>
            <w:noWrap/>
            <w:hideMark/>
          </w:tcPr>
          <w:p w14:paraId="4C024570" w14:textId="77777777" w:rsidR="002805EA" w:rsidRPr="00176225" w:rsidRDefault="002805EA" w:rsidP="00DB3303">
            <w:r w:rsidRPr="00176225">
              <w:t>283 (48)</w:t>
            </w:r>
          </w:p>
        </w:tc>
        <w:tc>
          <w:tcPr>
            <w:tcW w:w="3700" w:type="dxa"/>
            <w:noWrap/>
            <w:hideMark/>
          </w:tcPr>
          <w:p w14:paraId="0E2EB208" w14:textId="77777777" w:rsidR="002805EA" w:rsidRPr="00176225" w:rsidRDefault="002805EA" w:rsidP="00DB3303">
            <w:r w:rsidRPr="00176225">
              <w:t>48 (41)</w:t>
            </w:r>
          </w:p>
        </w:tc>
      </w:tr>
      <w:tr w:rsidR="002805EA" w:rsidRPr="00176225" w14:paraId="6F3412DB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6A42E70E" w14:textId="77777777" w:rsidR="002805EA" w:rsidRPr="00176225" w:rsidRDefault="002805EA" w:rsidP="00DB3303">
            <w:r>
              <w:t>Number of days to transfer</w:t>
            </w:r>
            <w:r w:rsidRPr="00176225">
              <w:t>, median (IQR)</w:t>
            </w:r>
          </w:p>
        </w:tc>
        <w:tc>
          <w:tcPr>
            <w:tcW w:w="2340" w:type="dxa"/>
            <w:noWrap/>
            <w:hideMark/>
          </w:tcPr>
          <w:p w14:paraId="23A6F12F" w14:textId="77777777" w:rsidR="002805EA" w:rsidRPr="00176225" w:rsidRDefault="002805EA" w:rsidP="00DB3303">
            <w:r w:rsidRPr="00176225">
              <w:t>2 (1-3)</w:t>
            </w:r>
          </w:p>
        </w:tc>
        <w:tc>
          <w:tcPr>
            <w:tcW w:w="3700" w:type="dxa"/>
            <w:noWrap/>
            <w:hideMark/>
          </w:tcPr>
          <w:p w14:paraId="567F5D88" w14:textId="77777777" w:rsidR="002805EA" w:rsidRPr="00176225" w:rsidRDefault="002805EA" w:rsidP="00DB3303">
            <w:r w:rsidRPr="00176225">
              <w:t>1.5 (1-2.5)</w:t>
            </w:r>
          </w:p>
        </w:tc>
      </w:tr>
      <w:tr w:rsidR="002805EA" w:rsidRPr="00176225" w14:paraId="61AB95F9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3BC43D57" w14:textId="77777777" w:rsidR="002805EA" w:rsidRPr="00176225" w:rsidRDefault="002805EA" w:rsidP="00DB3303">
            <w:r w:rsidRPr="00176225">
              <w:t>Management</w:t>
            </w:r>
          </w:p>
        </w:tc>
        <w:tc>
          <w:tcPr>
            <w:tcW w:w="2340" w:type="dxa"/>
            <w:noWrap/>
            <w:hideMark/>
          </w:tcPr>
          <w:p w14:paraId="72720E17" w14:textId="77777777" w:rsidR="002805EA" w:rsidRPr="00176225" w:rsidRDefault="002805EA" w:rsidP="00DB3303"/>
        </w:tc>
        <w:tc>
          <w:tcPr>
            <w:tcW w:w="3700" w:type="dxa"/>
            <w:noWrap/>
            <w:hideMark/>
          </w:tcPr>
          <w:p w14:paraId="1C93803E" w14:textId="77777777" w:rsidR="002805EA" w:rsidRPr="00176225" w:rsidRDefault="002805EA" w:rsidP="00DB3303"/>
        </w:tc>
      </w:tr>
      <w:tr w:rsidR="002805EA" w:rsidRPr="00176225" w14:paraId="661562C6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0EA56E4A" w14:textId="77777777" w:rsidR="002805EA" w:rsidRPr="00176225" w:rsidRDefault="002805EA" w:rsidP="00DB3303">
            <w:r w:rsidRPr="00176225">
              <w:t>Surgery, n (%)</w:t>
            </w:r>
          </w:p>
        </w:tc>
        <w:tc>
          <w:tcPr>
            <w:tcW w:w="2340" w:type="dxa"/>
            <w:noWrap/>
            <w:hideMark/>
          </w:tcPr>
          <w:p w14:paraId="7B84D7E2" w14:textId="77777777" w:rsidR="002805EA" w:rsidRPr="00176225" w:rsidRDefault="002805EA" w:rsidP="00DB3303">
            <w:r w:rsidRPr="00176225">
              <w:t>574 (98%)</w:t>
            </w:r>
          </w:p>
        </w:tc>
        <w:tc>
          <w:tcPr>
            <w:tcW w:w="3700" w:type="dxa"/>
            <w:noWrap/>
            <w:hideMark/>
          </w:tcPr>
          <w:p w14:paraId="325AF27D" w14:textId="77777777" w:rsidR="002805EA" w:rsidRPr="00176225" w:rsidRDefault="002805EA" w:rsidP="00DB3303">
            <w:r w:rsidRPr="00176225">
              <w:t>117 (100)</w:t>
            </w:r>
          </w:p>
        </w:tc>
      </w:tr>
      <w:tr w:rsidR="002805EA" w:rsidRPr="00176225" w14:paraId="4F5441BB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5D7B3D10" w14:textId="77777777" w:rsidR="002805EA" w:rsidRPr="00176225" w:rsidRDefault="002805EA" w:rsidP="00DB3303">
            <w:r w:rsidRPr="00176225">
              <w:t>Enema, n (%)</w:t>
            </w:r>
          </w:p>
        </w:tc>
        <w:tc>
          <w:tcPr>
            <w:tcW w:w="2340" w:type="dxa"/>
            <w:noWrap/>
            <w:hideMark/>
          </w:tcPr>
          <w:p w14:paraId="5BE287AC" w14:textId="77777777" w:rsidR="002805EA" w:rsidRPr="00176225" w:rsidRDefault="002805EA" w:rsidP="00DB3303">
            <w:r w:rsidRPr="00176225">
              <w:t>11 (2%)</w:t>
            </w:r>
          </w:p>
        </w:tc>
        <w:tc>
          <w:tcPr>
            <w:tcW w:w="3700" w:type="dxa"/>
            <w:noWrap/>
            <w:hideMark/>
          </w:tcPr>
          <w:p w14:paraId="1C7BAACD" w14:textId="77777777" w:rsidR="002805EA" w:rsidRPr="00176225" w:rsidRDefault="002805EA" w:rsidP="00DB3303">
            <w:r w:rsidRPr="00176225">
              <w:t>0 (0)</w:t>
            </w:r>
          </w:p>
        </w:tc>
      </w:tr>
      <w:tr w:rsidR="002805EA" w:rsidRPr="00176225" w14:paraId="184B905F" w14:textId="77777777" w:rsidTr="00DB3303">
        <w:trPr>
          <w:trHeight w:val="288"/>
        </w:trPr>
        <w:tc>
          <w:tcPr>
            <w:tcW w:w="2560" w:type="dxa"/>
            <w:noWrap/>
            <w:hideMark/>
          </w:tcPr>
          <w:p w14:paraId="6E6A72CE" w14:textId="77777777" w:rsidR="002805EA" w:rsidRPr="00176225" w:rsidRDefault="002805EA" w:rsidP="00DB3303">
            <w:r w:rsidRPr="00176225">
              <w:t>Died, n (%)</w:t>
            </w:r>
          </w:p>
        </w:tc>
        <w:tc>
          <w:tcPr>
            <w:tcW w:w="2340" w:type="dxa"/>
            <w:noWrap/>
            <w:hideMark/>
          </w:tcPr>
          <w:p w14:paraId="04C33ACE" w14:textId="77777777" w:rsidR="002805EA" w:rsidRPr="00176225" w:rsidRDefault="002805EA" w:rsidP="00DB3303">
            <w:r w:rsidRPr="00176225">
              <w:t>27 (5%)</w:t>
            </w:r>
          </w:p>
        </w:tc>
        <w:tc>
          <w:tcPr>
            <w:tcW w:w="3700" w:type="dxa"/>
            <w:noWrap/>
            <w:hideMark/>
          </w:tcPr>
          <w:p w14:paraId="50B3AEF3" w14:textId="77777777" w:rsidR="002805EA" w:rsidRPr="00176225" w:rsidRDefault="002805EA" w:rsidP="00DB3303">
            <w:r w:rsidRPr="00176225">
              <w:t>18 (16)</w:t>
            </w:r>
          </w:p>
        </w:tc>
      </w:tr>
    </w:tbl>
    <w:p w14:paraId="25EE5C2A" w14:textId="77777777" w:rsidR="002805EA" w:rsidRDefault="002805EA" w:rsidP="002805EA"/>
    <w:p w14:paraId="44526DF5" w14:textId="77777777" w:rsidR="002805EA" w:rsidRDefault="002805EA" w:rsidP="002805EA">
      <w:r>
        <w:t>Supplementary information. Participating Sites</w:t>
      </w:r>
    </w:p>
    <w:p w14:paraId="29511A69" w14:textId="77777777" w:rsidR="002805EA" w:rsidRPr="00764231" w:rsidRDefault="002805EA" w:rsidP="002805EA">
      <w:pPr>
        <w:ind w:left="360"/>
      </w:pPr>
      <w:r w:rsidRPr="00764231">
        <w:t>National Institute of Child health (NICH), Karachi</w:t>
      </w:r>
      <w:r>
        <w:t>, Pakistan</w:t>
      </w:r>
    </w:p>
    <w:p w14:paraId="276EEFC9" w14:textId="77777777" w:rsidR="002805EA" w:rsidRPr="00764231" w:rsidRDefault="002805EA" w:rsidP="002805EA">
      <w:pPr>
        <w:ind w:left="360"/>
      </w:pPr>
      <w:r w:rsidRPr="00764231">
        <w:t>Aga Khan University Hospital (AKU), Karachi</w:t>
      </w:r>
      <w:r>
        <w:t>, Pakistan</w:t>
      </w:r>
    </w:p>
    <w:p w14:paraId="65F1A9FD" w14:textId="77777777" w:rsidR="002805EA" w:rsidRPr="00764231" w:rsidRDefault="002805EA" w:rsidP="002805EA">
      <w:pPr>
        <w:ind w:left="360"/>
      </w:pPr>
      <w:r w:rsidRPr="00764231">
        <w:t>Children’s hospital (CHM), Multan</w:t>
      </w:r>
      <w:r>
        <w:t>, Pakistan</w:t>
      </w:r>
    </w:p>
    <w:p w14:paraId="0313430E" w14:textId="77777777" w:rsidR="002805EA" w:rsidRDefault="002805EA" w:rsidP="002805EA">
      <w:pPr>
        <w:ind w:left="360"/>
      </w:pPr>
      <w:r w:rsidRPr="00764231">
        <w:t>Children’s hospital (CHL), Lahore</w:t>
      </w:r>
      <w:r>
        <w:t>, Pakistan</w:t>
      </w:r>
    </w:p>
    <w:p w14:paraId="15001208" w14:textId="77777777" w:rsidR="002805EA" w:rsidRDefault="002805EA" w:rsidP="002805EA">
      <w:pPr>
        <w:ind w:left="360"/>
      </w:pPr>
      <w:r w:rsidRPr="00764231">
        <w:t>Yangon Children Hospital</w:t>
      </w:r>
      <w:r>
        <w:t>, Yangon, Myanmar</w:t>
      </w:r>
    </w:p>
    <w:p w14:paraId="3EC07B40" w14:textId="77777777" w:rsidR="002805EA" w:rsidRDefault="002805EA" w:rsidP="002805EA">
      <w:pPr>
        <w:ind w:left="360"/>
      </w:pPr>
      <w:proofErr w:type="spellStart"/>
      <w:r w:rsidRPr="00764231">
        <w:t>Yankin</w:t>
      </w:r>
      <w:proofErr w:type="spellEnd"/>
      <w:r w:rsidRPr="00764231">
        <w:t xml:space="preserve"> Children Hospital</w:t>
      </w:r>
      <w:r>
        <w:t xml:space="preserve">, </w:t>
      </w:r>
      <w:proofErr w:type="spellStart"/>
      <w:r>
        <w:t>Yankin</w:t>
      </w:r>
      <w:proofErr w:type="spellEnd"/>
      <w:r>
        <w:t>, Myanmar</w:t>
      </w:r>
    </w:p>
    <w:p w14:paraId="79451585" w14:textId="77777777" w:rsidR="002805EA" w:rsidRDefault="002805EA" w:rsidP="002805EA">
      <w:pPr>
        <w:ind w:left="360"/>
      </w:pPr>
      <w:r w:rsidRPr="00764231">
        <w:t>Mandalay Children Hospital</w:t>
      </w:r>
      <w:r>
        <w:t>, Mandalay, Myanmar</w:t>
      </w:r>
    </w:p>
    <w:p w14:paraId="6A579643" w14:textId="77777777" w:rsidR="002805EA" w:rsidRDefault="002805EA" w:rsidP="002805EA">
      <w:pPr>
        <w:ind w:left="360"/>
      </w:pPr>
      <w:r>
        <w:t xml:space="preserve">Indra </w:t>
      </w:r>
      <w:proofErr w:type="spellStart"/>
      <w:r>
        <w:t>Ghandi</w:t>
      </w:r>
      <w:proofErr w:type="spellEnd"/>
      <w:r>
        <w:t xml:space="preserve"> Children’s Hospital, Kabul, Afghanistan</w:t>
      </w:r>
    </w:p>
    <w:p w14:paraId="3D2C676D" w14:textId="77777777" w:rsidR="002805EA" w:rsidRDefault="002805EA" w:rsidP="002805EA">
      <w:pPr>
        <w:ind w:left="360"/>
      </w:pPr>
      <w:r>
        <w:t>Ataturk Children’s Hospital, Kabul, Afghanistan</w:t>
      </w:r>
    </w:p>
    <w:p w14:paraId="6B888754" w14:textId="77777777" w:rsidR="002805EA" w:rsidRDefault="002805EA" w:rsidP="002805EA">
      <w:pPr>
        <w:ind w:left="360"/>
      </w:pPr>
      <w:r>
        <w:t>Herat Regional Hospital, Herat, Afghanistan</w:t>
      </w:r>
    </w:p>
    <w:p w14:paraId="6FBC8D56" w14:textId="77777777" w:rsidR="002805EA" w:rsidRDefault="002805EA" w:rsidP="002805EA">
      <w:pPr>
        <w:ind w:left="360"/>
      </w:pPr>
      <w:r>
        <w:t>Nangarhar Regional Hospital, Nangarhar, Afghanistan</w:t>
      </w:r>
    </w:p>
    <w:p w14:paraId="2F8704C5" w14:textId="77777777" w:rsidR="002805EA" w:rsidRDefault="002805EA" w:rsidP="002805EA">
      <w:pPr>
        <w:ind w:left="360"/>
      </w:pPr>
    </w:p>
    <w:p w14:paraId="69CEBC07" w14:textId="77777777" w:rsidR="002805EA" w:rsidRDefault="002805EA" w:rsidP="002805EA"/>
    <w:p w14:paraId="22C362D8" w14:textId="77777777" w:rsidR="001F143E" w:rsidRDefault="001F143E"/>
    <w:sectPr w:rsidR="001F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EA"/>
    <w:rsid w:val="001F143E"/>
    <w:rsid w:val="002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4B76"/>
  <w15:chartTrackingRefBased/>
  <w15:docId w15:val="{E3FD5AFE-2942-4F53-9ACE-8FA7DF4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Eleanor (CDC/NCIRD/DVD)</dc:creator>
  <cp:keywords/>
  <dc:description/>
  <cp:lastModifiedBy>Burnett, Eleanor (CDC/NCIRD/DVD)</cp:lastModifiedBy>
  <cp:revision>1</cp:revision>
  <dcterms:created xsi:type="dcterms:W3CDTF">2024-03-06T15:34:00Z</dcterms:created>
  <dcterms:modified xsi:type="dcterms:W3CDTF">2024-03-06T15:38:00Z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2024-03-06T15:38:53Z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bf2fbd2b-988b-4bb2-a356-1fe17b2dc9ad</vt:lpwstr>
  </property>
  <property fmtid="{D5CDD505-2E9C-101B-9397-08002B2CF9AE}" pid="8" name="MSIP_Label_7b94a7b8-f06c-4dfe-bdcc-9b548fd58c31_ContentBits">
    <vt:lpwstr>0</vt:lpwstr>
  </property>
</Properties>
</file>