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4A848" w14:textId="77777777" w:rsidR="006C1A3C" w:rsidRDefault="006C1A3C" w:rsidP="006C1A3C">
      <w:pPr>
        <w:rPr>
          <w:rFonts w:ascii="Times New Roman" w:hAnsi="Times New Roman"/>
          <w:b/>
          <w:bCs/>
          <w:sz w:val="22"/>
          <w:szCs w:val="22"/>
        </w:rPr>
      </w:pPr>
      <w:bookmarkStart w:id="0" w:name="_Hlk117077035"/>
      <w:r w:rsidRPr="00947F6B">
        <w:rPr>
          <w:rFonts w:ascii="Times New Roman" w:hAnsi="Times New Roman"/>
          <w:b/>
          <w:bCs/>
          <w:sz w:val="22"/>
          <w:szCs w:val="22"/>
        </w:rPr>
        <w:t xml:space="preserve">Supplemental Figure 1. </w:t>
      </w:r>
      <w:r>
        <w:rPr>
          <w:rFonts w:ascii="Times New Roman" w:hAnsi="Times New Roman"/>
          <w:b/>
          <w:bCs/>
          <w:sz w:val="22"/>
          <w:szCs w:val="22"/>
        </w:rPr>
        <w:t xml:space="preserve">Direct Acyclic Graph (DAG) for the relationship between zolpidem exposure and birth defects </w:t>
      </w:r>
    </w:p>
    <w:p w14:paraId="58F8851B" w14:textId="77777777" w:rsidR="006C1A3C" w:rsidRDefault="006C1A3C" w:rsidP="006C1A3C">
      <w:pPr>
        <w:rPr>
          <w:rFonts w:ascii="Times New Roman" w:hAnsi="Times New Roman"/>
          <w:b/>
          <w:bCs/>
          <w:sz w:val="22"/>
          <w:szCs w:val="22"/>
        </w:rPr>
      </w:pPr>
    </w:p>
    <w:p w14:paraId="51174A6E" w14:textId="77777777" w:rsidR="006C1A3C" w:rsidRPr="00947F6B" w:rsidRDefault="006C1A3C" w:rsidP="006C1A3C">
      <w:pPr>
        <w:pStyle w:val="EndNoteBibliography"/>
        <w:rPr>
          <w:szCs w:val="22"/>
        </w:rPr>
      </w:pPr>
      <w:r>
        <w:rPr>
          <w:szCs w:val="22"/>
        </w:rPr>
        <w:t>The directed acyclic graph (DAG) for the relationship (black arrow) between early pregnancy zolpidem exposure (green node) and the risk of birth defects (blue node). Confounders are denoted with pink nodes (a</w:t>
      </w:r>
      <w:r w:rsidRPr="00947F6B">
        <w:rPr>
          <w:szCs w:val="22"/>
        </w:rPr>
        <w:t>ge at delivery, race/ethnicity, educational attainment, pre-pregnancy body mass index (BMI, kg/m</w:t>
      </w:r>
      <w:r w:rsidRPr="00947F6B">
        <w:rPr>
          <w:szCs w:val="22"/>
          <w:vertAlign w:val="superscript"/>
        </w:rPr>
        <w:t>2</w:t>
      </w:r>
      <w:r w:rsidRPr="00947F6B">
        <w:rPr>
          <w:szCs w:val="22"/>
        </w:rPr>
        <w:t>), parity, early pregnancy use of antipsychotics, anxiolytics, or antidepressants, early pregnancy opioid use, early pregnancy smoking, and study).</w:t>
      </w:r>
    </w:p>
    <w:p w14:paraId="058F2DD7" w14:textId="77777777" w:rsidR="006C1A3C" w:rsidRPr="00947F6B" w:rsidRDefault="006C1A3C" w:rsidP="006C1A3C">
      <w:pPr>
        <w:rPr>
          <w:rFonts w:ascii="Times New Roman" w:hAnsi="Times New Roman"/>
          <w:sz w:val="22"/>
          <w:szCs w:val="22"/>
        </w:rPr>
      </w:pPr>
    </w:p>
    <w:bookmarkEnd w:id="0"/>
    <w:p w14:paraId="60DE3658" w14:textId="77777777" w:rsidR="006C1A3C" w:rsidRDefault="006C1A3C" w:rsidP="006C1A3C">
      <w:pPr>
        <w:pStyle w:val="EndNoteBibliography"/>
        <w:rPr>
          <w:szCs w:val="22"/>
        </w:rPr>
      </w:pPr>
      <w:r>
        <w:rPr>
          <w:szCs w:val="22"/>
        </w:rPr>
        <w:drawing>
          <wp:inline distT="0" distB="0" distL="0" distR="0" wp14:anchorId="38E2CFA3" wp14:editId="704473FB">
            <wp:extent cx="4686300" cy="3800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86300" cy="3800475"/>
                    </a:xfrm>
                    <a:prstGeom prst="rect">
                      <a:avLst/>
                    </a:prstGeom>
                    <a:noFill/>
                    <a:ln>
                      <a:noFill/>
                    </a:ln>
                  </pic:spPr>
                </pic:pic>
              </a:graphicData>
            </a:graphic>
          </wp:inline>
        </w:drawing>
      </w:r>
    </w:p>
    <w:p w14:paraId="47D7B25F" w14:textId="77777777" w:rsidR="006C1A3C" w:rsidRDefault="006C1A3C" w:rsidP="006C1A3C"/>
    <w:p w14:paraId="44C392CD" w14:textId="77777777" w:rsidR="00064506" w:rsidRDefault="00064506"/>
    <w:sectPr w:rsidR="00064506" w:rsidSect="004A45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A3C"/>
    <w:rsid w:val="00050962"/>
    <w:rsid w:val="00064506"/>
    <w:rsid w:val="006C1A3C"/>
    <w:rsid w:val="00725E18"/>
    <w:rsid w:val="00822951"/>
    <w:rsid w:val="00B35637"/>
    <w:rsid w:val="00B658AC"/>
    <w:rsid w:val="00E72D1D"/>
    <w:rsid w:val="00FD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F208E"/>
  <w15:chartTrackingRefBased/>
  <w15:docId w15:val="{3E3AD8DE-01BB-4DA7-83D3-2C36C6EE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A3C"/>
    <w:pPr>
      <w:spacing w:after="0" w:line="240" w:lineRule="auto"/>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6C1A3C"/>
    <w:rPr>
      <w:rFonts w:ascii="Times New Roman" w:eastAsia="Times New Roman" w:hAnsi="Times New Roman"/>
      <w:noProof/>
      <w:sz w:val="22"/>
    </w:rPr>
  </w:style>
  <w:style w:type="character" w:customStyle="1" w:styleId="EndNoteBibliographyChar">
    <w:name w:val="EndNote Bibliography Char"/>
    <w:basedOn w:val="DefaultParagraphFont"/>
    <w:link w:val="EndNoteBibliography"/>
    <w:rsid w:val="006C1A3C"/>
    <w:rPr>
      <w:rFonts w:ascii="Times New Roman" w:eastAsia="Times New Roman" w:hAnsi="Times New Roman" w:cs="Times New Roman"/>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Howley, Meredith M (HEALTH)</dc:creator>
  <cp:keywords/>
  <dc:description/>
  <cp:lastModifiedBy>Faruque, Joya (CDC/NCBDDD/OD) (CTR)</cp:lastModifiedBy>
  <cp:revision>2</cp:revision>
  <dcterms:created xsi:type="dcterms:W3CDTF">2024-02-06T17:43:00Z</dcterms:created>
  <dcterms:modified xsi:type="dcterms:W3CDTF">2024-02-06T17:43:00Z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2024-02-06T17:43:21Z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fb91da9d-33ba-4a04-9664-9110b0c514b9</vt:lpwstr>
  </property>
  <property fmtid="{D5CDD505-2E9C-101B-9397-08002B2CF9AE}" pid="8" name="MSIP_Label_7b94a7b8-f06c-4dfe-bdcc-9b548fd58c31_ContentBits">
    <vt:lpwstr>0</vt:lpwstr>
  </property>
</Properties>
</file>