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563F" w14:textId="6B2FA2CC" w:rsidR="00107B93" w:rsidRPr="00107B93" w:rsidRDefault="00107B93" w:rsidP="00107B93">
      <w:pPr>
        <w:spacing w:after="0" w:line="48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107B93">
        <w:rPr>
          <w:rFonts w:ascii="Arial" w:hAnsi="Arial" w:cs="Arial"/>
          <w:b/>
          <w:bCs/>
          <w:color w:val="000000" w:themeColor="text1"/>
        </w:rPr>
        <w:t>Household Food Security Status and Allostatic Load Among US Adults: National Health and Nutrition Examination Survey 2015–2020</w:t>
      </w:r>
    </w:p>
    <w:p w14:paraId="1D856C50" w14:textId="052FC4A5" w:rsidR="00107B93" w:rsidRPr="00107B93" w:rsidRDefault="00107B93" w:rsidP="00107B93">
      <w:pPr>
        <w:spacing w:after="0" w:line="480" w:lineRule="auto"/>
        <w:jc w:val="center"/>
        <w:rPr>
          <w:rFonts w:ascii="Arial" w:hAnsi="Arial" w:cs="Arial"/>
          <w:color w:val="000000" w:themeColor="text1"/>
        </w:rPr>
      </w:pPr>
      <w:r w:rsidRPr="00107B93">
        <w:rPr>
          <w:rFonts w:ascii="Arial" w:hAnsi="Arial" w:cs="Arial"/>
          <w:color w:val="000000" w:themeColor="text1"/>
        </w:rPr>
        <w:t>Ryan Saelee et al.</w:t>
      </w:r>
    </w:p>
    <w:p w14:paraId="36D6D5FD" w14:textId="77777777" w:rsidR="00107B93" w:rsidRDefault="00107B93" w:rsidP="00107B93">
      <w:pPr>
        <w:rPr>
          <w:rFonts w:ascii="Arial" w:hAnsi="Arial" w:cs="Arial"/>
          <w:b/>
          <w:bCs/>
          <w:color w:val="000000" w:themeColor="text1"/>
        </w:rPr>
      </w:pPr>
    </w:p>
    <w:p w14:paraId="17C5EA98" w14:textId="77777777" w:rsidR="00107B93" w:rsidRDefault="00107B93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br w:type="page"/>
      </w:r>
    </w:p>
    <w:p w14:paraId="14979D73" w14:textId="77777777" w:rsidR="00107B93" w:rsidRDefault="00107B93" w:rsidP="00107B93">
      <w:pPr>
        <w:rPr>
          <w:rFonts w:ascii="Arial" w:hAnsi="Arial" w:cs="Arial"/>
          <w:b/>
          <w:bCs/>
          <w:color w:val="000000" w:themeColor="text1"/>
        </w:rPr>
        <w:sectPr w:rsidR="00107B93" w:rsidSect="00107B9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3E949B" w14:textId="6ADC12B0" w:rsidR="00107B93" w:rsidRPr="0081257C" w:rsidRDefault="00107B93" w:rsidP="00107B93">
      <w:pPr>
        <w:rPr>
          <w:rFonts w:ascii="Arial" w:hAnsi="Arial" w:cs="Arial"/>
          <w:color w:val="000000" w:themeColor="text1"/>
        </w:rPr>
      </w:pPr>
      <w:r w:rsidRPr="006865B5">
        <w:rPr>
          <w:rFonts w:ascii="Arial" w:hAnsi="Arial" w:cs="Arial"/>
          <w:b/>
          <w:bCs/>
          <w:color w:val="000000" w:themeColor="text1"/>
        </w:rPr>
        <w:lastRenderedPageBreak/>
        <w:t>Supplemental Table 1.</w:t>
      </w:r>
      <w:r w:rsidRPr="008125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257C">
        <w:rPr>
          <w:rFonts w:ascii="Arial" w:hAnsi="Arial" w:cs="Arial"/>
          <w:color w:val="000000" w:themeColor="text1"/>
        </w:rPr>
        <w:t>Associations</w:t>
      </w:r>
      <w:r w:rsidRPr="0081257C">
        <w:rPr>
          <w:rFonts w:ascii="Arial" w:hAnsi="Arial" w:cs="Arial"/>
          <w:color w:val="000000" w:themeColor="text1"/>
          <w:vertAlign w:val="superscript"/>
        </w:rPr>
        <w:t>a</w:t>
      </w:r>
      <w:proofErr w:type="spellEnd"/>
      <w:r w:rsidRPr="0081257C">
        <w:rPr>
          <w:rFonts w:ascii="Arial" w:hAnsi="Arial" w:cs="Arial"/>
          <w:color w:val="000000" w:themeColor="text1"/>
        </w:rPr>
        <w:t xml:space="preserve"> Between Household Food Insecurity and </w:t>
      </w:r>
      <w:proofErr w:type="spellStart"/>
      <w:r w:rsidRPr="0081257C">
        <w:rPr>
          <w:rFonts w:ascii="Arial" w:hAnsi="Arial" w:cs="Arial"/>
          <w:color w:val="000000" w:themeColor="text1"/>
        </w:rPr>
        <w:t>Elevated</w:t>
      </w:r>
      <w:r w:rsidRPr="0081257C">
        <w:rPr>
          <w:rFonts w:ascii="Arial" w:hAnsi="Arial" w:cs="Arial"/>
          <w:color w:val="000000" w:themeColor="text1"/>
          <w:vertAlign w:val="superscript"/>
        </w:rPr>
        <w:t>b</w:t>
      </w:r>
      <w:proofErr w:type="spellEnd"/>
      <w:r w:rsidRPr="0081257C">
        <w:rPr>
          <w:rFonts w:ascii="Arial" w:hAnsi="Arial" w:cs="Arial"/>
          <w:color w:val="000000" w:themeColor="text1"/>
        </w:rPr>
        <w:t xml:space="preserve"> Allostatic Load Biomarkers Among Adults </w:t>
      </w:r>
      <w:proofErr w:type="gramStart"/>
      <w:r w:rsidRPr="0081257C">
        <w:rPr>
          <w:rFonts w:ascii="Arial" w:hAnsi="Arial" w:cs="Arial"/>
          <w:color w:val="000000" w:themeColor="text1"/>
        </w:rPr>
        <w:t>With</w:t>
      </w:r>
      <w:proofErr w:type="gramEnd"/>
      <w:r w:rsidRPr="0081257C">
        <w:rPr>
          <w:rFonts w:ascii="Arial" w:hAnsi="Arial" w:cs="Arial"/>
          <w:color w:val="000000" w:themeColor="text1"/>
        </w:rPr>
        <w:t xml:space="preserve"> Household Incomes ≤</w:t>
      </w:r>
      <w:r>
        <w:rPr>
          <w:rFonts w:ascii="Arial" w:hAnsi="Arial" w:cs="Arial"/>
          <w:color w:val="000000" w:themeColor="text1"/>
        </w:rPr>
        <w:t> </w:t>
      </w:r>
      <w:r w:rsidRPr="0081257C">
        <w:rPr>
          <w:rFonts w:ascii="Arial" w:hAnsi="Arial" w:cs="Arial"/>
          <w:color w:val="000000" w:themeColor="text1"/>
        </w:rPr>
        <w:t>400% of the Federal Poverty Level</w:t>
      </w:r>
      <w:r>
        <w:rPr>
          <w:rFonts w:ascii="Arial" w:hAnsi="Arial" w:cs="Arial"/>
          <w:color w:val="000000" w:themeColor="text1"/>
        </w:rPr>
        <w:t>,</w:t>
      </w:r>
      <w:r w:rsidRPr="0081257C">
        <w:rPr>
          <w:rFonts w:ascii="Arial" w:hAnsi="Arial" w:cs="Arial"/>
          <w:color w:val="000000" w:themeColor="text1"/>
        </w:rPr>
        <w:t xml:space="preserve"> Stratified by Race and Ethnicity, National Health and Nutrition Examination Surveys 2015</w:t>
      </w:r>
      <w:r>
        <w:rPr>
          <w:rFonts w:ascii="Arial" w:hAnsi="Arial" w:cs="Arial"/>
          <w:color w:val="000000" w:themeColor="text1"/>
        </w:rPr>
        <w:t>–</w:t>
      </w:r>
      <w:r w:rsidRPr="0081257C">
        <w:rPr>
          <w:rFonts w:ascii="Arial" w:hAnsi="Arial" w:cs="Arial"/>
          <w:color w:val="000000" w:themeColor="text1"/>
        </w:rPr>
        <w:t>2020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68"/>
        <w:gridCol w:w="1627"/>
        <w:gridCol w:w="1537"/>
        <w:gridCol w:w="1627"/>
        <w:gridCol w:w="1537"/>
        <w:gridCol w:w="1627"/>
        <w:gridCol w:w="1537"/>
      </w:tblGrid>
      <w:tr w:rsidR="00107B93" w:rsidRPr="006865B5" w14:paraId="21B41AF3" w14:textId="77777777" w:rsidTr="00137FF4">
        <w:trPr>
          <w:trHeight w:val="37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7C5B7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8DB4A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Hispanic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18F9C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NH Black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F1277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NH White</w:t>
            </w:r>
          </w:p>
        </w:tc>
      </w:tr>
      <w:tr w:rsidR="00107B93" w:rsidRPr="006865B5" w14:paraId="77374E38" w14:textId="77777777" w:rsidTr="00137FF4">
        <w:trPr>
          <w:trHeight w:val="67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7AAD34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35DF6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Marginally Food Secure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487770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Food Insecure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1AF20F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Marginally Food Secure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C4F25B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Food Insecure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925CC9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Marginally Food Secure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FE48B0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Food Insecure</w:t>
            </w:r>
          </w:p>
        </w:tc>
      </w:tr>
      <w:tr w:rsidR="00107B93" w:rsidRPr="006865B5" w14:paraId="6138F1B3" w14:textId="77777777" w:rsidTr="00137FF4">
        <w:trPr>
          <w:trHeight w:val="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0A2B9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F47BB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PR (95% 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FB76F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PR (95% 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D09BF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PR (95% 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BB7EF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PR (95% 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C139B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PR (95% 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8FB99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PR (95% CI)</w:t>
            </w:r>
          </w:p>
        </w:tc>
      </w:tr>
      <w:tr w:rsidR="00107B93" w:rsidRPr="006865B5" w14:paraId="51BEBAF9" w14:textId="77777777" w:rsidTr="00137FF4">
        <w:trPr>
          <w:trHeight w:val="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470D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Cardiovascular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B490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AEF0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F09F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EFE2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8F23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09FA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93" w:rsidRPr="006865B5" w14:paraId="5A4DDEBE" w14:textId="77777777" w:rsidTr="00137FF4">
        <w:trPr>
          <w:trHeight w:val="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C5BD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Systolic blood pressure (mm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65B5">
              <w:rPr>
                <w:rFonts w:ascii="Arial" w:hAnsi="Arial" w:cs="Arial"/>
                <w:sz w:val="18"/>
                <w:szCs w:val="18"/>
              </w:rPr>
              <w:t>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9B0FD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1.04 (0.83, 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79EC4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1.03 (0.86, 1.24)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2C2A2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1.02 (0.90, 1.16)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19D64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1.06 (0.93, 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FC552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1.15 (0.96, 1.38)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192EA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1.14 (0.96, 1.35)</w:t>
            </w:r>
          </w:p>
        </w:tc>
      </w:tr>
      <w:tr w:rsidR="00107B93" w:rsidRPr="006865B5" w14:paraId="521FFA3E" w14:textId="77777777" w:rsidTr="00137FF4">
        <w:trPr>
          <w:trHeight w:val="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00A7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Diastolic blood pressure (mm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65B5">
              <w:rPr>
                <w:rFonts w:ascii="Arial" w:hAnsi="Arial" w:cs="Arial"/>
                <w:sz w:val="18"/>
                <w:szCs w:val="18"/>
              </w:rPr>
              <w:t>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0FA82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1.26 (0.97, 1.63)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7202C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1.03 (0.79, 1.35)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A14BE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0.97 (0.83, 1.14)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AB848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1.02 (0.84, 1.23)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C745B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1.12 (0.88, 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88481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1.16 (0.94, 1.43)</w:t>
            </w:r>
          </w:p>
        </w:tc>
      </w:tr>
      <w:tr w:rsidR="00107B93" w:rsidRPr="006865B5" w14:paraId="2A27BCCD" w14:textId="77777777" w:rsidTr="00137FF4">
        <w:trPr>
          <w:trHeight w:val="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EAE6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Total cholesterol 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3533E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0.90 (0.60, 1.33)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D5BA0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0.90 (0.68, 1.20)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0C465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1.06 (0.73, 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B242C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1.03 (0.75, 1.41)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7586B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0.75 (0.51, 1.10)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7CFB2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0.93 (0.65, 1.32)</w:t>
            </w:r>
          </w:p>
        </w:tc>
      </w:tr>
      <w:tr w:rsidR="00107B93" w:rsidRPr="006865B5" w14:paraId="425BC5A8" w14:textId="77777777" w:rsidTr="00137FF4">
        <w:trPr>
          <w:trHeight w:val="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D5D8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Low HDL cholesterol 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2A35A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1.12 (0.91, 1.38)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16C0B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1.11 (0.95, 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AAC40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1.08 (0.84, 1.40)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EED50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1.04 (0.83, 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2FCA3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1.29 (1.08, 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2EC9A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1.28 (1.05, 1.55)</w:t>
            </w:r>
          </w:p>
        </w:tc>
      </w:tr>
      <w:tr w:rsidR="00107B93" w:rsidRPr="006865B5" w14:paraId="45D110A0" w14:textId="77777777" w:rsidTr="00137FF4">
        <w:trPr>
          <w:trHeight w:val="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A595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Metabolic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F2004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C1FF4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2C010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EF948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E2655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1694A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93" w:rsidRPr="006865B5" w14:paraId="7798C6C3" w14:textId="77777777" w:rsidTr="00137FF4">
        <w:trPr>
          <w:trHeight w:val="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B4AD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Hemoglobin A1C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B0F91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1.18 (0.82, 1.69)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0E26D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1.08 (0.75, 1.54)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B5024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0.99 (0.73, 1.36)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E63D3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1.05 (0.80, 1.37)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85AF7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2.18 (1.46, 3.27)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669E2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1.37 (0.94, 1.98)</w:t>
            </w:r>
          </w:p>
        </w:tc>
      </w:tr>
      <w:tr w:rsidR="00107B93" w:rsidRPr="006865B5" w14:paraId="752B8B66" w14:textId="77777777" w:rsidTr="00137FF4">
        <w:trPr>
          <w:trHeight w:val="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E1882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Body mass index (kg/m2)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EFBD5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1.10 (0.94, 1.30)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FF497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1.11 (0.97, 1.28)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7395F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0.97 (0.82, 1.15)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0B65E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1.08 (0.95, 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13193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1.27 (1.10, 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7D74D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1.19 (1.06, 1.34)</w:t>
            </w:r>
          </w:p>
        </w:tc>
      </w:tr>
      <w:tr w:rsidR="00107B93" w:rsidRPr="006865B5" w14:paraId="6B5E3F4A" w14:textId="77777777" w:rsidTr="00137FF4">
        <w:trPr>
          <w:trHeight w:val="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AD96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Waist circumference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30BC3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1.04 (0.91, 1.17)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7217C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1.06 (0.98, 1.14)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C96BE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0.93 (0.83, 1.04)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FEB3C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1.04 (0.95, 1.14)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05270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1.12 (1.02, 1.23)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74CE9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1.11 (1.03, 1.20)</w:t>
            </w:r>
          </w:p>
        </w:tc>
      </w:tr>
      <w:tr w:rsidR="00107B93" w:rsidRPr="006865B5" w14:paraId="773D2A1F" w14:textId="77777777" w:rsidTr="00137FF4">
        <w:trPr>
          <w:trHeight w:val="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E003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eGFR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49CBE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0.78 (0.42, 1.44)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E1411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0.69 (0.47, 1.02)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4B15C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1.20 (0.75, 1.90)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4E073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1.19 (0.79, 1.78)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3874C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1.27 (0.83, 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A618D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1.13 (0.73, 1.75)</w:t>
            </w:r>
          </w:p>
        </w:tc>
      </w:tr>
      <w:tr w:rsidR="00107B93" w:rsidRPr="006865B5" w14:paraId="0F377E4A" w14:textId="77777777" w:rsidTr="00137FF4">
        <w:trPr>
          <w:trHeight w:val="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E78B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Microalbuminuria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071C6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1.14 (0.76, 1.71)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98E34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1.26 (0.90, 1.75)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114A1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0.72 (0.48, 1.10)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13B5E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1.26 (0.99, 1.59)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F6343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1.23 (0.80, 1.88)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FBA36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1.12 (0.81, 1.56)</w:t>
            </w:r>
          </w:p>
        </w:tc>
      </w:tr>
      <w:tr w:rsidR="00107B93" w:rsidRPr="006865B5" w14:paraId="2B1AD95D" w14:textId="77777777" w:rsidTr="00137FF4">
        <w:trPr>
          <w:trHeight w:val="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9A19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Immune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89A47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396E4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0A7C2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08BED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4E3C2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24917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7B93" w:rsidRPr="006865B5" w14:paraId="58FB3433" w14:textId="77777777" w:rsidTr="00137FF4">
        <w:trPr>
          <w:trHeight w:val="3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8EBD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High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6865B5">
              <w:rPr>
                <w:rFonts w:ascii="Arial" w:hAnsi="Arial" w:cs="Arial"/>
                <w:sz w:val="18"/>
                <w:szCs w:val="18"/>
              </w:rPr>
              <w:t>sensitivity C-reactive protein (mg/L)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DCD36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1.22 (1.02, 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687AE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1.08 (0.93, 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FE9D0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0.97 (0.81, 1.16)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9B4F8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0.95 (0.84, 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050DC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65B5">
              <w:rPr>
                <w:rFonts w:ascii="Arial" w:hAnsi="Arial" w:cs="Arial"/>
                <w:b/>
                <w:bCs/>
                <w:sz w:val="18"/>
                <w:szCs w:val="18"/>
              </w:rPr>
              <w:t>1.23 (1.02, 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AB554" w14:textId="77777777" w:rsidR="00107B93" w:rsidRPr="00536E6E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6E6E">
              <w:rPr>
                <w:rFonts w:ascii="Arial" w:hAnsi="Arial" w:cs="Arial"/>
                <w:b/>
                <w:bCs/>
                <w:sz w:val="18"/>
                <w:szCs w:val="18"/>
              </w:rPr>
              <w:t>1.18 (1.00, 1.40)</w:t>
            </w:r>
          </w:p>
        </w:tc>
      </w:tr>
      <w:tr w:rsidR="00107B93" w:rsidRPr="006865B5" w14:paraId="2116B2F9" w14:textId="77777777" w:rsidTr="00137FF4">
        <w:trPr>
          <w:trHeight w:val="37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E7CD1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White blood cell count (cells/µL)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ED7342C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1.13 (0.91, 1.40)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0F93215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0.96 (0.76, 1.21)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3032F04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0.86 (0.61, 1.23)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C2F68B3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0.81 (0.61, 1.08)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1D05000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1.15 (0.88, 1.49)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F99F9F4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65B5">
              <w:rPr>
                <w:rFonts w:ascii="Arial" w:hAnsi="Arial" w:cs="Arial"/>
                <w:sz w:val="18"/>
                <w:szCs w:val="18"/>
              </w:rPr>
              <w:t>1.08 (0.87, 1.35)</w:t>
            </w:r>
          </w:p>
        </w:tc>
      </w:tr>
    </w:tbl>
    <w:p w14:paraId="7EDCD02C" w14:textId="77777777" w:rsidR="00107B93" w:rsidRPr="0081257C" w:rsidRDefault="00107B93" w:rsidP="00107B93">
      <w:pPr>
        <w:spacing w:after="0" w:line="240" w:lineRule="auto"/>
        <w:contextualSpacing/>
        <w:rPr>
          <w:rFonts w:ascii="Arial" w:hAnsi="Arial" w:cs="Arial"/>
          <w:color w:val="000000" w:themeColor="text1"/>
        </w:rPr>
      </w:pPr>
    </w:p>
    <w:p w14:paraId="782B2064" w14:textId="77777777" w:rsidR="00107B93" w:rsidRPr="0081257C" w:rsidRDefault="00107B93" w:rsidP="00107B93">
      <w:pPr>
        <w:spacing w:after="0" w:line="240" w:lineRule="auto"/>
        <w:contextualSpacing/>
        <w:rPr>
          <w:rFonts w:ascii="Arial" w:hAnsi="Arial" w:cs="Arial"/>
          <w:color w:val="000000" w:themeColor="text1"/>
        </w:rPr>
      </w:pPr>
      <w:proofErr w:type="spellStart"/>
      <w:r w:rsidRPr="0081257C">
        <w:rPr>
          <w:rFonts w:ascii="Arial" w:hAnsi="Arial" w:cs="Arial"/>
          <w:color w:val="000000" w:themeColor="text1"/>
          <w:vertAlign w:val="superscript"/>
        </w:rPr>
        <w:t>a</w:t>
      </w:r>
      <w:r w:rsidRPr="0081257C">
        <w:rPr>
          <w:rFonts w:ascii="Arial" w:hAnsi="Arial" w:cs="Arial"/>
          <w:color w:val="000000" w:themeColor="text1"/>
        </w:rPr>
        <w:t>Based</w:t>
      </w:r>
      <w:proofErr w:type="spellEnd"/>
      <w:r w:rsidRPr="0081257C">
        <w:rPr>
          <w:rFonts w:ascii="Arial" w:hAnsi="Arial" w:cs="Arial"/>
          <w:color w:val="000000" w:themeColor="text1"/>
        </w:rPr>
        <w:t xml:space="preserve"> on multivariable logistic regression models adjusted for age, gender, educational attainment, household income, marital status, health insurance, depression score, current smoking status, and SNAP participation.</w:t>
      </w:r>
    </w:p>
    <w:p w14:paraId="298698A3" w14:textId="77777777" w:rsidR="00107B93" w:rsidRPr="0081257C" w:rsidRDefault="00107B93" w:rsidP="00107B93">
      <w:pPr>
        <w:spacing w:after="0" w:line="240" w:lineRule="auto"/>
        <w:contextualSpacing/>
        <w:rPr>
          <w:rFonts w:ascii="Arial" w:hAnsi="Arial" w:cs="Arial"/>
          <w:color w:val="000000" w:themeColor="text1"/>
        </w:rPr>
      </w:pPr>
      <w:proofErr w:type="spellStart"/>
      <w:r w:rsidRPr="0081257C">
        <w:rPr>
          <w:rFonts w:ascii="Arial" w:hAnsi="Arial" w:cs="Arial"/>
          <w:color w:val="000000" w:themeColor="text1"/>
          <w:vertAlign w:val="superscript"/>
        </w:rPr>
        <w:t>b</w:t>
      </w:r>
      <w:r w:rsidRPr="0081257C">
        <w:rPr>
          <w:rFonts w:ascii="Arial" w:hAnsi="Arial" w:cs="Arial"/>
          <w:color w:val="000000" w:themeColor="text1"/>
        </w:rPr>
        <w:t>Models</w:t>
      </w:r>
      <w:proofErr w:type="spellEnd"/>
      <w:r w:rsidRPr="0081257C">
        <w:rPr>
          <w:rFonts w:ascii="Arial" w:hAnsi="Arial" w:cs="Arial"/>
          <w:color w:val="000000" w:themeColor="text1"/>
        </w:rPr>
        <w:t xml:space="preserve"> included elevated biomarkers except for HDL cholesterol</w:t>
      </w:r>
      <w:r>
        <w:rPr>
          <w:rFonts w:ascii="Arial" w:hAnsi="Arial" w:cs="Arial"/>
          <w:color w:val="000000" w:themeColor="text1"/>
        </w:rPr>
        <w:t>,</w:t>
      </w:r>
      <w:r w:rsidRPr="0081257C">
        <w:rPr>
          <w:rFonts w:ascii="Arial" w:hAnsi="Arial" w:cs="Arial"/>
          <w:color w:val="000000" w:themeColor="text1"/>
        </w:rPr>
        <w:t xml:space="preserve"> which was measured as low HDL cholesterol.</w:t>
      </w:r>
    </w:p>
    <w:p w14:paraId="2B9A65E1" w14:textId="77777777" w:rsidR="00107B93" w:rsidRDefault="00107B93" w:rsidP="00107B93">
      <w:pPr>
        <w:spacing w:after="0" w:line="240" w:lineRule="auto"/>
        <w:contextualSpacing/>
        <w:rPr>
          <w:rFonts w:ascii="Arial" w:hAnsi="Arial" w:cs="Arial"/>
          <w:i/>
          <w:iCs/>
          <w:color w:val="000000" w:themeColor="text1"/>
        </w:rPr>
      </w:pPr>
    </w:p>
    <w:p w14:paraId="5D433936" w14:textId="77777777" w:rsidR="00107B93" w:rsidRDefault="00107B93" w:rsidP="00107B93">
      <w:pPr>
        <w:spacing w:after="0" w:line="240" w:lineRule="auto"/>
        <w:contextualSpacing/>
        <w:rPr>
          <w:rFonts w:ascii="Arial" w:hAnsi="Arial" w:cs="Arial"/>
          <w:color w:val="000000" w:themeColor="text1"/>
        </w:rPr>
      </w:pPr>
      <w:r w:rsidRPr="00D04537">
        <w:rPr>
          <w:rFonts w:ascii="Arial" w:hAnsi="Arial" w:cs="Arial"/>
          <w:i/>
          <w:iCs/>
          <w:color w:val="000000" w:themeColor="text1"/>
        </w:rPr>
        <w:t>Note</w:t>
      </w:r>
      <w:r>
        <w:rPr>
          <w:rFonts w:ascii="Arial" w:hAnsi="Arial" w:cs="Arial"/>
          <w:i/>
          <w:iCs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CI = confidence interval; eGFR = estimated glomerular filtration rate; HDL = high-density lipoprotein; NH = non-Hispanic; PR = prevalence ratio. Bolded prevalence ratios and 95% confidence intervals indicate statistical significance.</w:t>
      </w:r>
    </w:p>
    <w:p w14:paraId="76F6A99A" w14:textId="77777777" w:rsidR="00107B93" w:rsidRDefault="00107B93" w:rsidP="00107B93">
      <w:pPr>
        <w:spacing w:after="0" w:line="240" w:lineRule="auto"/>
        <w:contextualSpacing/>
        <w:rPr>
          <w:rFonts w:ascii="Arial" w:hAnsi="Arial" w:cs="Arial"/>
          <w:color w:val="000000" w:themeColor="text1"/>
        </w:rPr>
      </w:pPr>
    </w:p>
    <w:p w14:paraId="6FD562BE" w14:textId="77777777" w:rsidR="00107B93" w:rsidRDefault="00107B93" w:rsidP="00107B93">
      <w:pPr>
        <w:spacing w:after="0" w:line="240" w:lineRule="auto"/>
        <w:contextualSpacing/>
        <w:rPr>
          <w:rFonts w:ascii="Arial" w:hAnsi="Arial" w:cs="Arial"/>
          <w:color w:val="000000" w:themeColor="text1"/>
        </w:rPr>
      </w:pPr>
    </w:p>
    <w:p w14:paraId="6839FF25" w14:textId="77777777" w:rsidR="00107B93" w:rsidRDefault="00107B93" w:rsidP="00107B93">
      <w:pPr>
        <w:spacing w:after="0" w:line="240" w:lineRule="auto"/>
        <w:contextualSpacing/>
        <w:rPr>
          <w:rFonts w:ascii="Arial" w:hAnsi="Arial" w:cs="Arial"/>
          <w:color w:val="000000" w:themeColor="text1"/>
        </w:rPr>
      </w:pPr>
    </w:p>
    <w:p w14:paraId="13FE0C7B" w14:textId="77777777" w:rsidR="00107B93" w:rsidRDefault="00107B93" w:rsidP="00107B93">
      <w:pPr>
        <w:spacing w:after="0" w:line="240" w:lineRule="auto"/>
        <w:contextualSpacing/>
        <w:rPr>
          <w:rFonts w:ascii="Arial" w:hAnsi="Arial" w:cs="Arial"/>
          <w:color w:val="000000" w:themeColor="text1"/>
        </w:rPr>
      </w:pPr>
    </w:p>
    <w:p w14:paraId="14317C97" w14:textId="77777777" w:rsidR="00107B93" w:rsidRDefault="00107B93" w:rsidP="00107B93">
      <w:pPr>
        <w:spacing w:after="0" w:line="240" w:lineRule="auto"/>
        <w:contextualSpacing/>
        <w:rPr>
          <w:rFonts w:ascii="Arial" w:hAnsi="Arial" w:cs="Arial"/>
          <w:color w:val="000000" w:themeColor="text1"/>
        </w:rPr>
      </w:pPr>
    </w:p>
    <w:p w14:paraId="49855F48" w14:textId="77777777" w:rsidR="00107B93" w:rsidRDefault="00107B93" w:rsidP="00107B93">
      <w:pPr>
        <w:spacing w:after="0" w:line="240" w:lineRule="auto"/>
        <w:contextualSpacing/>
        <w:rPr>
          <w:rFonts w:ascii="Arial" w:hAnsi="Arial" w:cs="Arial"/>
          <w:color w:val="000000" w:themeColor="text1"/>
        </w:rPr>
      </w:pPr>
    </w:p>
    <w:p w14:paraId="1CA5305D" w14:textId="77777777" w:rsidR="00107B93" w:rsidRDefault="00107B93" w:rsidP="00107B93">
      <w:pPr>
        <w:spacing w:after="0" w:line="240" w:lineRule="auto"/>
        <w:contextualSpacing/>
        <w:rPr>
          <w:rFonts w:ascii="Arial" w:hAnsi="Arial" w:cs="Arial"/>
          <w:color w:val="000000" w:themeColor="text1"/>
        </w:rPr>
      </w:pPr>
    </w:p>
    <w:p w14:paraId="083D2626" w14:textId="77777777" w:rsidR="00107B93" w:rsidRDefault="00107B93" w:rsidP="00107B93">
      <w:pPr>
        <w:spacing w:after="0" w:line="240" w:lineRule="auto"/>
        <w:contextualSpacing/>
        <w:rPr>
          <w:rFonts w:ascii="Arial" w:hAnsi="Arial" w:cs="Arial"/>
          <w:color w:val="000000" w:themeColor="text1"/>
        </w:rPr>
      </w:pPr>
    </w:p>
    <w:p w14:paraId="2CED226C" w14:textId="77777777" w:rsidR="00107B93" w:rsidRPr="0081257C" w:rsidRDefault="00107B93" w:rsidP="00107B93">
      <w:pPr>
        <w:spacing w:after="0" w:line="240" w:lineRule="auto"/>
        <w:contextualSpacing/>
        <w:rPr>
          <w:rFonts w:ascii="Arial" w:hAnsi="Arial" w:cs="Arial"/>
          <w:color w:val="000000" w:themeColor="text1"/>
        </w:rPr>
      </w:pPr>
    </w:p>
    <w:p w14:paraId="204E5FEE" w14:textId="77777777" w:rsidR="00107B93" w:rsidRPr="0081257C" w:rsidRDefault="00107B93" w:rsidP="00107B93">
      <w:pPr>
        <w:rPr>
          <w:rFonts w:ascii="Arial" w:hAnsi="Arial" w:cs="Arial"/>
          <w:color w:val="000000" w:themeColor="text1"/>
        </w:rPr>
      </w:pPr>
      <w:r w:rsidRPr="006865B5">
        <w:rPr>
          <w:rFonts w:ascii="Arial" w:hAnsi="Arial" w:cs="Arial"/>
          <w:b/>
          <w:bCs/>
          <w:color w:val="000000" w:themeColor="text1"/>
        </w:rPr>
        <w:t>Supplemental Table 2.</w:t>
      </w:r>
      <w:r w:rsidRPr="008125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257C">
        <w:rPr>
          <w:rFonts w:ascii="Arial" w:hAnsi="Arial" w:cs="Arial"/>
          <w:color w:val="000000" w:themeColor="text1"/>
        </w:rPr>
        <w:t>Associations</w:t>
      </w:r>
      <w:r w:rsidRPr="0081257C">
        <w:rPr>
          <w:rFonts w:ascii="Arial" w:hAnsi="Arial" w:cs="Arial"/>
          <w:color w:val="000000" w:themeColor="text1"/>
          <w:vertAlign w:val="superscript"/>
        </w:rPr>
        <w:t>a</w:t>
      </w:r>
      <w:proofErr w:type="spellEnd"/>
      <w:r w:rsidRPr="0081257C">
        <w:rPr>
          <w:rFonts w:ascii="Arial" w:hAnsi="Arial" w:cs="Arial"/>
          <w:color w:val="000000" w:themeColor="text1"/>
        </w:rPr>
        <w:t xml:space="preserve"> Between Household Food Insecurity </w:t>
      </w:r>
      <w:proofErr w:type="gramStart"/>
      <w:r w:rsidRPr="0081257C">
        <w:rPr>
          <w:rFonts w:ascii="Arial" w:hAnsi="Arial" w:cs="Arial"/>
          <w:color w:val="000000" w:themeColor="text1"/>
        </w:rPr>
        <w:t>And</w:t>
      </w:r>
      <w:proofErr w:type="gramEnd"/>
      <w:r w:rsidRPr="008125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257C">
        <w:rPr>
          <w:rFonts w:ascii="Arial" w:hAnsi="Arial" w:cs="Arial"/>
          <w:color w:val="000000" w:themeColor="text1"/>
        </w:rPr>
        <w:t>Elevated</w:t>
      </w:r>
      <w:r w:rsidRPr="0081257C">
        <w:rPr>
          <w:rFonts w:ascii="Arial" w:hAnsi="Arial" w:cs="Arial"/>
          <w:color w:val="000000" w:themeColor="text1"/>
          <w:vertAlign w:val="superscript"/>
        </w:rPr>
        <w:t>b</w:t>
      </w:r>
      <w:proofErr w:type="spellEnd"/>
      <w:r w:rsidRPr="0081257C">
        <w:rPr>
          <w:rFonts w:ascii="Arial" w:hAnsi="Arial" w:cs="Arial"/>
          <w:color w:val="000000" w:themeColor="text1"/>
        </w:rPr>
        <w:t xml:space="preserve"> Allostatic Load Biomarkers Among Adults With Household Incomes ≤</w:t>
      </w:r>
      <w:r>
        <w:rPr>
          <w:rFonts w:ascii="Arial" w:hAnsi="Arial" w:cs="Arial"/>
          <w:color w:val="000000" w:themeColor="text1"/>
        </w:rPr>
        <w:t> </w:t>
      </w:r>
      <w:r w:rsidRPr="0081257C">
        <w:rPr>
          <w:rFonts w:ascii="Arial" w:hAnsi="Arial" w:cs="Arial"/>
          <w:color w:val="000000" w:themeColor="text1"/>
        </w:rPr>
        <w:t>400% of the Federal Poverty Level</w:t>
      </w:r>
      <w:r>
        <w:rPr>
          <w:rFonts w:ascii="Arial" w:hAnsi="Arial" w:cs="Arial"/>
          <w:color w:val="000000" w:themeColor="text1"/>
        </w:rPr>
        <w:t>,</w:t>
      </w:r>
      <w:r w:rsidRPr="0081257C">
        <w:rPr>
          <w:rFonts w:ascii="Arial" w:hAnsi="Arial" w:cs="Arial"/>
          <w:color w:val="000000" w:themeColor="text1"/>
        </w:rPr>
        <w:t xml:space="preserve"> Stratified by Gender, National Health and Nutrition Examination Surveys 2015</w:t>
      </w:r>
      <w:r>
        <w:rPr>
          <w:rFonts w:ascii="Arial" w:hAnsi="Arial" w:cs="Arial"/>
          <w:color w:val="000000" w:themeColor="text1"/>
        </w:rPr>
        <w:t>–</w:t>
      </w:r>
      <w:r w:rsidRPr="0081257C">
        <w:rPr>
          <w:rFonts w:ascii="Arial" w:hAnsi="Arial" w:cs="Arial"/>
          <w:color w:val="000000" w:themeColor="text1"/>
        </w:rPr>
        <w:t>2020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0"/>
        <w:gridCol w:w="2554"/>
        <w:gridCol w:w="1831"/>
        <w:gridCol w:w="2554"/>
        <w:gridCol w:w="1831"/>
      </w:tblGrid>
      <w:tr w:rsidR="00107B93" w:rsidRPr="006865B5" w14:paraId="27AF6096" w14:textId="77777777" w:rsidTr="00137FF4">
        <w:trPr>
          <w:trHeight w:val="94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C2E701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24FE62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Men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3FDA88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Women</w:t>
            </w:r>
          </w:p>
        </w:tc>
      </w:tr>
      <w:tr w:rsidR="00107B93" w:rsidRPr="006865B5" w14:paraId="3809530F" w14:textId="77777777" w:rsidTr="00137FF4">
        <w:trPr>
          <w:trHeight w:val="167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19116B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BDEED0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Marginally Food Secure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7FA38F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Food Insecure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B2AAD8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Marginally Food Secure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511116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Food Insecure</w:t>
            </w:r>
          </w:p>
        </w:tc>
      </w:tr>
      <w:tr w:rsidR="00107B93" w:rsidRPr="006865B5" w14:paraId="5C36F07A" w14:textId="77777777" w:rsidTr="00137FF4">
        <w:trPr>
          <w:trHeight w:val="1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426A9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C14C8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PR (95% 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6325F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PR (95% 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727C6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PR (95% 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DB8CA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PR (95% CI)</w:t>
            </w:r>
          </w:p>
        </w:tc>
      </w:tr>
      <w:tr w:rsidR="00107B93" w:rsidRPr="006865B5" w14:paraId="6D60EEE9" w14:textId="77777777" w:rsidTr="00137FF4">
        <w:trPr>
          <w:trHeight w:val="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6305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Cardiovascular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8378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6577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5C07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2B32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7B93" w:rsidRPr="006865B5" w14:paraId="63047558" w14:textId="77777777" w:rsidTr="00137FF4">
        <w:trPr>
          <w:trHeight w:val="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4101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Systolic blood pressure (mm</w:t>
            </w:r>
            <w:r>
              <w:rPr>
                <w:rFonts w:ascii="Arial" w:hAnsi="Arial" w:cs="Arial"/>
              </w:rPr>
              <w:t xml:space="preserve"> </w:t>
            </w:r>
            <w:r w:rsidRPr="006865B5">
              <w:rPr>
                <w:rFonts w:ascii="Arial" w:hAnsi="Arial" w:cs="Arial"/>
              </w:rPr>
              <w:t>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C8D9F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1.12 (0.93, 1.36)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1C076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1.07 (0.90, 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15571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1.08 (0.87, 1.34)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7C383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1.20 (1.04, 1.39)</w:t>
            </w:r>
          </w:p>
        </w:tc>
      </w:tr>
      <w:tr w:rsidR="00107B93" w:rsidRPr="006865B5" w14:paraId="298A7FDF" w14:textId="77777777" w:rsidTr="00137FF4">
        <w:trPr>
          <w:trHeight w:val="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9B71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Diastolic blood pressure (mm</w:t>
            </w:r>
            <w:r>
              <w:rPr>
                <w:rFonts w:ascii="Arial" w:hAnsi="Arial" w:cs="Arial"/>
              </w:rPr>
              <w:t xml:space="preserve"> </w:t>
            </w:r>
            <w:r w:rsidRPr="006865B5">
              <w:rPr>
                <w:rFonts w:ascii="Arial" w:hAnsi="Arial" w:cs="Arial"/>
              </w:rPr>
              <w:t>Hg)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61C2A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1.17 (0.96, 1.43)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33021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1.12 (0.93, 1.36)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A36A9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1.06 (0.84, 1.33)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FAE9C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1.14 (0.94, 1.37)</w:t>
            </w:r>
          </w:p>
        </w:tc>
      </w:tr>
      <w:tr w:rsidR="00107B93" w:rsidRPr="006865B5" w14:paraId="0BB5BE99" w14:textId="77777777" w:rsidTr="00137FF4">
        <w:trPr>
          <w:trHeight w:val="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68C0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Total cholesterol 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76650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0.97 (0.63, 1.51)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CFFBA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1.09 (0.77, 1.56)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B555E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0.69 (0.50, 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6C5F9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0.84 (0.64, 1.10)</w:t>
            </w:r>
          </w:p>
        </w:tc>
      </w:tr>
      <w:tr w:rsidR="00107B93" w:rsidRPr="006865B5" w14:paraId="7ECD1976" w14:textId="77777777" w:rsidTr="00137FF4">
        <w:trPr>
          <w:trHeight w:val="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9E97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Low HDL cholesterol (mg/dL)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9EABC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1.25 (1.02, 1.52)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F0D02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1.15 (0.96, 1.37)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2CFFC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1.16 (0.97, 1.39)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1AA40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1.27 (1.08, 1.48)</w:t>
            </w:r>
          </w:p>
        </w:tc>
      </w:tr>
      <w:tr w:rsidR="00107B93" w:rsidRPr="006865B5" w14:paraId="389A00AB" w14:textId="77777777" w:rsidTr="00137FF4">
        <w:trPr>
          <w:trHeight w:val="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B742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Metabolic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12E54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B0DB3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98D47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DC34B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7B93" w:rsidRPr="006865B5" w14:paraId="39D54EB3" w14:textId="77777777" w:rsidTr="00137FF4">
        <w:trPr>
          <w:trHeight w:val="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7398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 xml:space="preserve">Hemoglobin A1C (%)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74F08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1.32 (1.05, 1.66)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FC451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1.05 (0.80, 1.37)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B2C2C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1.87 (1.25, 2.79)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A582B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1.45 (1.06, 1.99)</w:t>
            </w:r>
          </w:p>
        </w:tc>
      </w:tr>
      <w:tr w:rsidR="00107B93" w:rsidRPr="006865B5" w14:paraId="2779E9B9" w14:textId="77777777" w:rsidTr="00137FF4">
        <w:trPr>
          <w:trHeight w:val="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0424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Body mass index (kg/m2)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0AE1E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1.13 (0.96, 1.33)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4BB52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1.16 (1.01, 1.34)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30D88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1.24 (1.08, 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B04F4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1.19 (1.06, 1.33)</w:t>
            </w:r>
          </w:p>
        </w:tc>
      </w:tr>
      <w:tr w:rsidR="00107B93" w:rsidRPr="006865B5" w14:paraId="438D496D" w14:textId="77777777" w:rsidTr="00137FF4">
        <w:trPr>
          <w:trHeight w:val="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12F6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Waist circumference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C160C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1.08 (0.92, 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6AA6A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1.12 (1.00, 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49F77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1.08 (1.01, 1.16)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674D7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1.10 (1.04, 1.17)</w:t>
            </w:r>
          </w:p>
        </w:tc>
      </w:tr>
      <w:tr w:rsidR="00107B93" w:rsidRPr="006865B5" w14:paraId="603F1509" w14:textId="77777777" w:rsidTr="00137FF4">
        <w:trPr>
          <w:trHeight w:val="1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B4F7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eGFR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91D75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1.36 (0.80, 2.30)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BCE0C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1.28 (0.83, 1.97)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C7335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1.03 (0.77, 1.39)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C91B8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0.98 (0.73, 1.32)</w:t>
            </w:r>
          </w:p>
        </w:tc>
      </w:tr>
      <w:tr w:rsidR="00107B93" w:rsidRPr="006865B5" w14:paraId="570B8109" w14:textId="77777777" w:rsidTr="00137FF4">
        <w:trPr>
          <w:trHeight w:val="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E843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Microalbuminuria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9450E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1.30 (0.95, 1.78)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B0786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1.46 (1.09, 1.96)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C668F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0.99 (0.68, 1.44)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775B6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1.08 (0.83, 1.39)</w:t>
            </w:r>
          </w:p>
        </w:tc>
      </w:tr>
      <w:tr w:rsidR="00107B93" w:rsidRPr="006865B5" w14:paraId="2CCA5E94" w14:textId="77777777" w:rsidTr="00137FF4">
        <w:trPr>
          <w:trHeight w:val="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1FC4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Immune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998D1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85215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1C665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4F792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7B93" w:rsidRPr="006865B5" w14:paraId="0F0EEB2F" w14:textId="77777777" w:rsidTr="00137FF4">
        <w:trPr>
          <w:trHeight w:val="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12A1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High</w:t>
            </w:r>
            <w:r>
              <w:rPr>
                <w:rFonts w:ascii="Arial" w:hAnsi="Arial" w:cs="Arial"/>
              </w:rPr>
              <w:t>-</w:t>
            </w:r>
            <w:r w:rsidRPr="006865B5">
              <w:rPr>
                <w:rFonts w:ascii="Arial" w:hAnsi="Arial" w:cs="Arial"/>
              </w:rPr>
              <w:t>sensitivity C-reactive protein (mg/L)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69389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1.09 (0.87, 1.37)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6E1F0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1.15 (0.95, 1.38)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66EA1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865B5">
              <w:rPr>
                <w:rFonts w:ascii="Arial" w:hAnsi="Arial" w:cs="Arial"/>
                <w:b/>
                <w:bCs/>
              </w:rPr>
              <w:t>1.29 (1.12, 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F0A67" w14:textId="77777777" w:rsidR="00107B93" w:rsidRPr="00536E6E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36E6E">
              <w:rPr>
                <w:rFonts w:ascii="Arial" w:hAnsi="Arial" w:cs="Arial"/>
                <w:b/>
                <w:bCs/>
              </w:rPr>
              <w:t>1.13 (1.00, 1.28)</w:t>
            </w:r>
          </w:p>
        </w:tc>
      </w:tr>
      <w:tr w:rsidR="00107B93" w:rsidRPr="006865B5" w14:paraId="19A2E18A" w14:textId="77777777" w:rsidTr="00137FF4">
        <w:trPr>
          <w:trHeight w:val="94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134C7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White blood cell count (cells/µL)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E3293CF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1.17 (0.91, 1.52)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55D13B0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1.01 (0.79, 1.29)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EC91637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1.10 (0.89, 1.36)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365F634" w14:textId="77777777" w:rsidR="00107B93" w:rsidRPr="006865B5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6865B5">
              <w:rPr>
                <w:rFonts w:ascii="Arial" w:hAnsi="Arial" w:cs="Arial"/>
              </w:rPr>
              <w:t>1.06 (0.90, 1.24)</w:t>
            </w:r>
          </w:p>
        </w:tc>
      </w:tr>
    </w:tbl>
    <w:p w14:paraId="18B32AE6" w14:textId="77777777" w:rsidR="00107B93" w:rsidRPr="0081257C" w:rsidRDefault="00107B93" w:rsidP="00107B93">
      <w:pPr>
        <w:rPr>
          <w:rFonts w:ascii="Arial" w:hAnsi="Arial" w:cs="Arial"/>
          <w:color w:val="000000" w:themeColor="text1"/>
        </w:rPr>
      </w:pPr>
    </w:p>
    <w:p w14:paraId="2C818323" w14:textId="77777777" w:rsidR="00107B93" w:rsidRPr="0081257C" w:rsidRDefault="00107B93" w:rsidP="00107B93">
      <w:pPr>
        <w:rPr>
          <w:rFonts w:ascii="Arial" w:hAnsi="Arial" w:cs="Arial"/>
          <w:color w:val="000000" w:themeColor="text1"/>
        </w:rPr>
      </w:pPr>
      <w:proofErr w:type="spellStart"/>
      <w:r w:rsidRPr="0081257C">
        <w:rPr>
          <w:rFonts w:ascii="Arial" w:hAnsi="Arial" w:cs="Arial"/>
          <w:color w:val="000000" w:themeColor="text1"/>
          <w:vertAlign w:val="superscript"/>
        </w:rPr>
        <w:t>a</w:t>
      </w:r>
      <w:r w:rsidRPr="0081257C">
        <w:rPr>
          <w:rFonts w:ascii="Arial" w:hAnsi="Arial" w:cs="Arial"/>
          <w:color w:val="000000" w:themeColor="text1"/>
        </w:rPr>
        <w:t>Based</w:t>
      </w:r>
      <w:proofErr w:type="spellEnd"/>
      <w:r w:rsidRPr="0081257C">
        <w:rPr>
          <w:rFonts w:ascii="Arial" w:hAnsi="Arial" w:cs="Arial"/>
          <w:color w:val="000000" w:themeColor="text1"/>
        </w:rPr>
        <w:t xml:space="preserve"> on multivariable logistic regression models adjusted for age,</w:t>
      </w:r>
      <w:r w:rsidRPr="0081257C">
        <w:rPr>
          <w:rStyle w:val="CommentReference"/>
          <w:rFonts w:ascii="Arial" w:hAnsi="Arial" w:cs="Arial"/>
          <w:color w:val="000000" w:themeColor="text1"/>
        </w:rPr>
        <w:t xml:space="preserve"> race and ethnicity,</w:t>
      </w:r>
      <w:r w:rsidRPr="0081257C">
        <w:rPr>
          <w:rFonts w:ascii="Arial" w:hAnsi="Arial" w:cs="Arial"/>
          <w:color w:val="000000" w:themeColor="text1"/>
        </w:rPr>
        <w:t xml:space="preserve"> educational attainment, household income, marital status, health insurance, depression score, current smoking status, and SNAP participation.</w:t>
      </w:r>
    </w:p>
    <w:p w14:paraId="7F90976C" w14:textId="77777777" w:rsidR="00107B93" w:rsidRPr="0081257C" w:rsidRDefault="00107B93" w:rsidP="00107B93">
      <w:pPr>
        <w:rPr>
          <w:rFonts w:ascii="Arial" w:hAnsi="Arial" w:cs="Arial"/>
          <w:color w:val="000000" w:themeColor="text1"/>
        </w:rPr>
      </w:pPr>
      <w:proofErr w:type="spellStart"/>
      <w:r w:rsidRPr="0081257C">
        <w:rPr>
          <w:rFonts w:ascii="Arial" w:hAnsi="Arial" w:cs="Arial"/>
          <w:color w:val="000000" w:themeColor="text1"/>
          <w:vertAlign w:val="superscript"/>
        </w:rPr>
        <w:t>b</w:t>
      </w:r>
      <w:r w:rsidRPr="0081257C">
        <w:rPr>
          <w:rFonts w:ascii="Arial" w:hAnsi="Arial" w:cs="Arial"/>
          <w:color w:val="000000" w:themeColor="text1"/>
        </w:rPr>
        <w:t>Models</w:t>
      </w:r>
      <w:proofErr w:type="spellEnd"/>
      <w:r w:rsidRPr="0081257C">
        <w:rPr>
          <w:rFonts w:ascii="Arial" w:hAnsi="Arial" w:cs="Arial"/>
          <w:color w:val="000000" w:themeColor="text1"/>
        </w:rPr>
        <w:t xml:space="preserve"> included elevated biomarkers except for HDL cholesterol</w:t>
      </w:r>
      <w:r>
        <w:rPr>
          <w:rFonts w:ascii="Arial" w:hAnsi="Arial" w:cs="Arial"/>
          <w:color w:val="000000" w:themeColor="text1"/>
        </w:rPr>
        <w:t>,</w:t>
      </w:r>
      <w:r w:rsidRPr="0081257C">
        <w:rPr>
          <w:rFonts w:ascii="Arial" w:hAnsi="Arial" w:cs="Arial"/>
          <w:color w:val="000000" w:themeColor="text1"/>
        </w:rPr>
        <w:t xml:space="preserve"> which was measured as low HDL cholesterol.</w:t>
      </w:r>
    </w:p>
    <w:p w14:paraId="690E15E6" w14:textId="77777777" w:rsidR="00107B93" w:rsidRDefault="00107B93" w:rsidP="00107B93">
      <w:pPr>
        <w:spacing w:after="0" w:line="240" w:lineRule="auto"/>
        <w:contextualSpacing/>
        <w:rPr>
          <w:rFonts w:ascii="Arial" w:hAnsi="Arial" w:cs="Arial"/>
          <w:color w:val="000000" w:themeColor="text1"/>
        </w:rPr>
      </w:pPr>
      <w:r w:rsidRPr="00D04537">
        <w:rPr>
          <w:rFonts w:ascii="Arial" w:hAnsi="Arial" w:cs="Arial"/>
          <w:i/>
          <w:iCs/>
          <w:color w:val="000000" w:themeColor="text1"/>
        </w:rPr>
        <w:t>Note</w:t>
      </w:r>
      <w:r>
        <w:rPr>
          <w:rFonts w:ascii="Arial" w:hAnsi="Arial" w:cs="Arial"/>
          <w:i/>
          <w:iCs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CI = confidence interval; eGFR = estimated glomerular filtration rate; HDL = high-density lipoprotein; PR = prevalence ratio. Bolded prevalence ratios and 95% confidence intervals indicate statistical significance.</w:t>
      </w:r>
    </w:p>
    <w:p w14:paraId="5C6B0892" w14:textId="77777777" w:rsidR="00107B93" w:rsidRDefault="00107B93" w:rsidP="00107B93">
      <w:pPr>
        <w:rPr>
          <w:rFonts w:ascii="Arial" w:hAnsi="Arial" w:cs="Arial"/>
          <w:color w:val="000000" w:themeColor="text1"/>
        </w:rPr>
      </w:pPr>
    </w:p>
    <w:p w14:paraId="1134B816" w14:textId="77777777" w:rsidR="00107B93" w:rsidRDefault="00107B93" w:rsidP="00107B93">
      <w:pPr>
        <w:rPr>
          <w:rFonts w:ascii="Arial" w:hAnsi="Arial" w:cs="Arial"/>
          <w:b/>
          <w:bCs/>
          <w:color w:val="000000" w:themeColor="text1"/>
        </w:rPr>
      </w:pPr>
    </w:p>
    <w:p w14:paraId="2E86DED0" w14:textId="77777777" w:rsidR="00107B93" w:rsidRDefault="00107B93" w:rsidP="00107B93">
      <w:pPr>
        <w:rPr>
          <w:rFonts w:ascii="Arial" w:hAnsi="Arial" w:cs="Arial"/>
          <w:b/>
          <w:bCs/>
          <w:color w:val="000000" w:themeColor="text1"/>
        </w:rPr>
      </w:pPr>
    </w:p>
    <w:p w14:paraId="071E9B98" w14:textId="77777777" w:rsidR="00107B93" w:rsidRDefault="00107B93" w:rsidP="00107B93">
      <w:pPr>
        <w:rPr>
          <w:rFonts w:ascii="Arial" w:hAnsi="Arial" w:cs="Arial"/>
          <w:b/>
          <w:bCs/>
          <w:color w:val="000000" w:themeColor="text1"/>
        </w:rPr>
      </w:pPr>
    </w:p>
    <w:p w14:paraId="3C43DB61" w14:textId="77777777" w:rsidR="00107B93" w:rsidRDefault="00107B93" w:rsidP="00107B93">
      <w:pPr>
        <w:rPr>
          <w:rFonts w:ascii="Arial" w:hAnsi="Arial" w:cs="Arial"/>
          <w:b/>
          <w:bCs/>
          <w:color w:val="000000" w:themeColor="text1"/>
        </w:rPr>
      </w:pPr>
    </w:p>
    <w:p w14:paraId="1243E4D1" w14:textId="77777777" w:rsidR="00107B93" w:rsidRPr="0081257C" w:rsidRDefault="00107B93" w:rsidP="00107B93">
      <w:pPr>
        <w:rPr>
          <w:rFonts w:ascii="Arial" w:hAnsi="Arial" w:cs="Arial"/>
          <w:color w:val="000000" w:themeColor="text1"/>
        </w:rPr>
      </w:pPr>
      <w:r w:rsidRPr="006865B5">
        <w:rPr>
          <w:rFonts w:ascii="Arial" w:hAnsi="Arial" w:cs="Arial"/>
          <w:b/>
          <w:bCs/>
          <w:color w:val="000000" w:themeColor="text1"/>
        </w:rPr>
        <w:t>Supplemental Table 3.</w:t>
      </w:r>
      <w:r w:rsidRPr="008125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257C">
        <w:rPr>
          <w:rFonts w:ascii="Arial" w:hAnsi="Arial" w:cs="Arial"/>
          <w:color w:val="000000" w:themeColor="text1"/>
        </w:rPr>
        <w:t>Associations</w:t>
      </w:r>
      <w:r w:rsidRPr="0081257C">
        <w:rPr>
          <w:rFonts w:ascii="Arial" w:hAnsi="Arial" w:cs="Arial"/>
          <w:color w:val="000000" w:themeColor="text1"/>
          <w:vertAlign w:val="superscript"/>
        </w:rPr>
        <w:t>a</w:t>
      </w:r>
      <w:proofErr w:type="spellEnd"/>
      <w:r w:rsidRPr="0081257C">
        <w:rPr>
          <w:rFonts w:ascii="Arial" w:hAnsi="Arial" w:cs="Arial"/>
          <w:color w:val="000000" w:themeColor="text1"/>
        </w:rPr>
        <w:t xml:space="preserve"> Between Household Food Insecurity and </w:t>
      </w:r>
      <w:proofErr w:type="spellStart"/>
      <w:r w:rsidRPr="00024B63">
        <w:rPr>
          <w:rFonts w:ascii="Arial" w:hAnsi="Arial" w:cs="Arial"/>
          <w:color w:val="000000" w:themeColor="text1"/>
        </w:rPr>
        <w:t>Elevated</w:t>
      </w:r>
      <w:r w:rsidRPr="00FA601E">
        <w:rPr>
          <w:rFonts w:ascii="Arial" w:hAnsi="Arial" w:cs="Arial"/>
          <w:color w:val="000000" w:themeColor="text1"/>
          <w:vertAlign w:val="superscript"/>
        </w:rPr>
        <w:t>b</w:t>
      </w:r>
      <w:proofErr w:type="spellEnd"/>
      <w:r w:rsidRPr="00024B63">
        <w:rPr>
          <w:rFonts w:ascii="Arial" w:hAnsi="Arial" w:cs="Arial"/>
          <w:color w:val="000000" w:themeColor="text1"/>
        </w:rPr>
        <w:t xml:space="preserve"> Allostatic Load Biomarkers Among Adults </w:t>
      </w:r>
      <w:proofErr w:type="gramStart"/>
      <w:r w:rsidRPr="00024B63">
        <w:rPr>
          <w:rFonts w:ascii="Arial" w:hAnsi="Arial" w:cs="Arial"/>
          <w:color w:val="000000" w:themeColor="text1"/>
        </w:rPr>
        <w:t>With</w:t>
      </w:r>
      <w:proofErr w:type="gramEnd"/>
      <w:r w:rsidRPr="00024B63">
        <w:rPr>
          <w:rFonts w:ascii="Arial" w:hAnsi="Arial" w:cs="Arial"/>
          <w:color w:val="000000" w:themeColor="text1"/>
        </w:rPr>
        <w:t xml:space="preserve"> Household Incom</w:t>
      </w:r>
      <w:r w:rsidRPr="0081257C">
        <w:rPr>
          <w:rFonts w:ascii="Arial" w:hAnsi="Arial" w:cs="Arial"/>
          <w:color w:val="000000" w:themeColor="text1"/>
        </w:rPr>
        <w:t>es ≤</w:t>
      </w:r>
      <w:r>
        <w:rPr>
          <w:rFonts w:ascii="Arial" w:hAnsi="Arial" w:cs="Arial"/>
          <w:color w:val="000000" w:themeColor="text1"/>
        </w:rPr>
        <w:t> </w:t>
      </w:r>
      <w:r w:rsidRPr="0081257C">
        <w:rPr>
          <w:rFonts w:ascii="Arial" w:hAnsi="Arial" w:cs="Arial"/>
          <w:color w:val="000000" w:themeColor="text1"/>
        </w:rPr>
        <w:t>400% of the Federal Poverty Level</w:t>
      </w:r>
      <w:r>
        <w:rPr>
          <w:rFonts w:ascii="Arial" w:hAnsi="Arial" w:cs="Arial"/>
          <w:color w:val="000000" w:themeColor="text1"/>
        </w:rPr>
        <w:t>,</w:t>
      </w:r>
      <w:r w:rsidRPr="0081257C">
        <w:rPr>
          <w:rFonts w:ascii="Arial" w:hAnsi="Arial" w:cs="Arial"/>
          <w:color w:val="000000" w:themeColor="text1"/>
        </w:rPr>
        <w:t xml:space="preserve"> Stratified by SNAP Participation, National Health and Nutrition Examination Surveys 2015</w:t>
      </w:r>
      <w:r>
        <w:rPr>
          <w:rFonts w:ascii="Arial" w:hAnsi="Arial" w:cs="Arial"/>
          <w:color w:val="000000" w:themeColor="text1"/>
        </w:rPr>
        <w:t>–</w:t>
      </w:r>
      <w:r w:rsidRPr="0081257C">
        <w:rPr>
          <w:rFonts w:ascii="Arial" w:hAnsi="Arial" w:cs="Arial"/>
          <w:color w:val="000000" w:themeColor="text1"/>
        </w:rPr>
        <w:t>2020</w:t>
      </w:r>
    </w:p>
    <w:tbl>
      <w:tblPr>
        <w:tblW w:w="12919" w:type="dxa"/>
        <w:tblLook w:val="04A0" w:firstRow="1" w:lastRow="0" w:firstColumn="1" w:lastColumn="0" w:noHBand="0" w:noVBand="1"/>
      </w:tblPr>
      <w:tblGrid>
        <w:gridCol w:w="4250"/>
        <w:gridCol w:w="1870"/>
        <w:gridCol w:w="2401"/>
        <w:gridCol w:w="2167"/>
        <w:gridCol w:w="2231"/>
      </w:tblGrid>
      <w:tr w:rsidR="00107B93" w:rsidRPr="00D65BCF" w14:paraId="777E14B6" w14:textId="77777777" w:rsidTr="00137FF4">
        <w:trPr>
          <w:trHeight w:val="186"/>
        </w:trPr>
        <w:tc>
          <w:tcPr>
            <w:tcW w:w="42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ADF1D4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 </w:t>
            </w:r>
          </w:p>
        </w:tc>
        <w:tc>
          <w:tcPr>
            <w:tcW w:w="4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232BEF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SNAP</w:t>
            </w:r>
          </w:p>
        </w:tc>
        <w:tc>
          <w:tcPr>
            <w:tcW w:w="43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592219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No SNAP</w:t>
            </w:r>
          </w:p>
        </w:tc>
      </w:tr>
      <w:tr w:rsidR="00107B93" w:rsidRPr="00D65BCF" w14:paraId="5E176422" w14:textId="77777777" w:rsidTr="00137FF4">
        <w:trPr>
          <w:trHeight w:val="328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D7F3B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6D0AD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Marginally Food Secure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05950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Food Insecure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0B15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Marginally Food Secure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9073D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Food Insecure</w:t>
            </w:r>
          </w:p>
        </w:tc>
      </w:tr>
      <w:tr w:rsidR="00107B93" w:rsidRPr="00D65BCF" w14:paraId="1C8E1D41" w14:textId="77777777" w:rsidTr="00137FF4">
        <w:trPr>
          <w:trHeight w:val="180"/>
        </w:trPr>
        <w:tc>
          <w:tcPr>
            <w:tcW w:w="42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9564D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 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09BAB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PR (95% CI)</w:t>
            </w:r>
          </w:p>
        </w:tc>
        <w:tc>
          <w:tcPr>
            <w:tcW w:w="24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0C4D7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PR (95% CI)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C3E27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PR (95% CI)</w:t>
            </w: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93409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PR (95% CI)</w:t>
            </w:r>
          </w:p>
        </w:tc>
      </w:tr>
      <w:tr w:rsidR="00107B93" w:rsidRPr="00D65BCF" w14:paraId="26AB96A6" w14:textId="77777777" w:rsidTr="00137FF4">
        <w:trPr>
          <w:trHeight w:val="18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143E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Cardiovascular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48E5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3FC6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6CD0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5842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7B93" w:rsidRPr="00D65BCF" w14:paraId="77E79582" w14:textId="77777777" w:rsidTr="00137FF4">
        <w:trPr>
          <w:trHeight w:val="18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1A66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Systolic blood pressure (mm</w:t>
            </w:r>
            <w:r>
              <w:rPr>
                <w:rFonts w:ascii="Arial" w:hAnsi="Arial" w:cs="Arial"/>
              </w:rPr>
              <w:t xml:space="preserve"> </w:t>
            </w:r>
            <w:r w:rsidRPr="00D65BCF">
              <w:rPr>
                <w:rFonts w:ascii="Arial" w:hAnsi="Arial" w:cs="Arial"/>
              </w:rPr>
              <w:t>Hg)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48876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1.03 (0.86, 1.24)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3BC56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1.18 (1.00, 1.40)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CDBD3" w14:textId="77777777" w:rsidR="00107B93" w:rsidRPr="00337213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37213">
              <w:rPr>
                <w:rFonts w:ascii="Arial" w:hAnsi="Arial" w:cs="Arial"/>
                <w:b/>
                <w:bCs/>
              </w:rPr>
              <w:t>1.14 (1.00, 1.29)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A15EA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1.09 (0.95, 1.25)</w:t>
            </w:r>
          </w:p>
        </w:tc>
      </w:tr>
      <w:tr w:rsidR="00107B93" w:rsidRPr="00D65BCF" w14:paraId="22E2ABBC" w14:textId="77777777" w:rsidTr="00137FF4">
        <w:trPr>
          <w:trHeight w:val="18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A4D3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Diastolic blood pressure (mm</w:t>
            </w:r>
            <w:r>
              <w:rPr>
                <w:rFonts w:ascii="Arial" w:hAnsi="Arial" w:cs="Arial"/>
              </w:rPr>
              <w:t xml:space="preserve"> </w:t>
            </w:r>
            <w:r w:rsidRPr="00D65BCF">
              <w:rPr>
                <w:rFonts w:ascii="Arial" w:hAnsi="Arial" w:cs="Arial"/>
              </w:rPr>
              <w:t>Hg)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2EB3A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1.07 (0.88, 1.31)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6C8DE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1.09 (0.88, 1.35)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4BA5A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1.13 (0.94, 1.36)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DD009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1.15 (0.98, 1.34)</w:t>
            </w:r>
          </w:p>
        </w:tc>
      </w:tr>
      <w:tr w:rsidR="00107B93" w:rsidRPr="00D65BCF" w14:paraId="020CF5FF" w14:textId="77777777" w:rsidTr="00137FF4">
        <w:trPr>
          <w:trHeight w:val="18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0331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Total cholesterol (mg/dL)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E5BF8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0.72 (0.51, 1.00)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B2BF5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0.88 (0.56, 1.38)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2414D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0.84 (0.65, 1.07)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00503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0.97 (0.74, 1.28)</w:t>
            </w:r>
          </w:p>
        </w:tc>
      </w:tr>
      <w:tr w:rsidR="00107B93" w:rsidRPr="00D65BCF" w14:paraId="71D4E8B5" w14:textId="77777777" w:rsidTr="00137FF4">
        <w:trPr>
          <w:trHeight w:val="18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5EA10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Low HDL cholesterol (mg/dL)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14B06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1.10 (0.91, 1.33)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7DC2E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1.07 (0.89, 1.29)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690A0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1.23 (1.05, 1.44)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738A5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1.30 (1.12, 1.51)</w:t>
            </w:r>
          </w:p>
        </w:tc>
      </w:tr>
      <w:tr w:rsidR="00107B93" w:rsidRPr="00D65BCF" w14:paraId="78669FCF" w14:textId="77777777" w:rsidTr="00137FF4">
        <w:trPr>
          <w:trHeight w:val="18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4EA2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Metabolic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55F77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C1E11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A30BE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CB634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7B93" w:rsidRPr="00D65BCF" w14:paraId="6C020876" w14:textId="77777777" w:rsidTr="00137FF4">
        <w:trPr>
          <w:trHeight w:val="18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CDE0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 xml:space="preserve">Hemoglobin A1C (%)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FBFA5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1.23 (0.78, 1.92)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822C4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1.03 (0.69, 1.53)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A7C90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1.66 (1.21, 2.28)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98577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1.30 (0.99, 1.71)</w:t>
            </w:r>
          </w:p>
        </w:tc>
      </w:tr>
      <w:tr w:rsidR="00107B93" w:rsidRPr="00D65BCF" w14:paraId="1FC36A0B" w14:textId="77777777" w:rsidTr="00137FF4">
        <w:trPr>
          <w:trHeight w:val="18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B75BA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Body mass index (kg/m2)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038E9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1.12 (0.97, 1.30)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42267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1.09 (0.94, 1.27)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8A881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1.21 (1.06, 1.38)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52399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1.22 (1.09, 1.36)</w:t>
            </w:r>
          </w:p>
        </w:tc>
      </w:tr>
      <w:tr w:rsidR="00107B93" w:rsidRPr="00D65BCF" w14:paraId="14B4D6A7" w14:textId="77777777" w:rsidTr="00137FF4">
        <w:trPr>
          <w:trHeight w:val="18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EA16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Waist circumference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C0969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1.01 (0.90, 1.14)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1DC8E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1.05 (0.94, 1.17)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72481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1.11 (1.01, 1.21)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03883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1.13 (1.06, 1.21)</w:t>
            </w:r>
          </w:p>
        </w:tc>
      </w:tr>
      <w:tr w:rsidR="00107B93" w:rsidRPr="00D65BCF" w14:paraId="4D5CACCC" w14:textId="77777777" w:rsidTr="00137FF4">
        <w:trPr>
          <w:trHeight w:val="18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8F12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eGFR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C8D8B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1.06 (0.67, 1.70)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EC577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0.94 (0.67, 1.31)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A5A5F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1.16 (0.81, 1.68)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9CDE6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1.18 (0.83, 1.68)</w:t>
            </w:r>
          </w:p>
        </w:tc>
      </w:tr>
      <w:tr w:rsidR="00107B93" w:rsidRPr="00D65BCF" w14:paraId="5E61FF81" w14:textId="77777777" w:rsidTr="00137FF4">
        <w:trPr>
          <w:trHeight w:val="18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E972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Microalbuminuria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1A45C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1.32 (0.89, 1.95)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B57A1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1.25 (0.95, 1.65)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D9F24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1.05 (0.77, 1.44)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F183E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1.28 (1.02, 1.62)</w:t>
            </w:r>
          </w:p>
        </w:tc>
      </w:tr>
      <w:tr w:rsidR="00107B93" w:rsidRPr="00D65BCF" w14:paraId="70A13010" w14:textId="77777777" w:rsidTr="00137FF4">
        <w:trPr>
          <w:trHeight w:val="18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3D0CD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Immune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E399D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520AA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2F180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789DF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7B93" w:rsidRPr="00D65BCF" w14:paraId="4DC0C1AD" w14:textId="77777777" w:rsidTr="00137FF4">
        <w:trPr>
          <w:trHeight w:val="18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BFFC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High</w:t>
            </w:r>
            <w:r>
              <w:rPr>
                <w:rFonts w:ascii="Arial" w:hAnsi="Arial" w:cs="Arial"/>
              </w:rPr>
              <w:t>-</w:t>
            </w:r>
            <w:r w:rsidRPr="00D65BCF">
              <w:rPr>
                <w:rFonts w:ascii="Arial" w:hAnsi="Arial" w:cs="Arial"/>
              </w:rPr>
              <w:t>sensitivity C-reactive protein (mg/L)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B0F38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1.15 (0.95, 1.39)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3CE1B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1.07 (0.92, 1.24)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6B7E7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1.23 (1.06, 1.42)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9E772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65BCF">
              <w:rPr>
                <w:rFonts w:ascii="Arial" w:hAnsi="Arial" w:cs="Arial"/>
                <w:b/>
                <w:bCs/>
              </w:rPr>
              <w:t>1.17 (1.03, 1.33)</w:t>
            </w:r>
          </w:p>
        </w:tc>
      </w:tr>
      <w:tr w:rsidR="00107B93" w:rsidRPr="00D65BCF" w14:paraId="75784622" w14:textId="77777777" w:rsidTr="00137FF4">
        <w:trPr>
          <w:trHeight w:val="186"/>
        </w:trPr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2EBB3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White blood cell count (cells/µL)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4A93AC6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1.16 (0.93, 1.44)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B408470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1.03 (0.86, 1.23)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525939B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1.12 (0.91, 1.38)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D9C6FC1" w14:textId="77777777" w:rsidR="00107B93" w:rsidRPr="00D65BCF" w:rsidRDefault="00107B93" w:rsidP="00137FF4">
            <w:pPr>
              <w:spacing w:after="0" w:line="240" w:lineRule="auto"/>
              <w:rPr>
                <w:rFonts w:ascii="Arial" w:hAnsi="Arial" w:cs="Arial"/>
              </w:rPr>
            </w:pPr>
            <w:r w:rsidRPr="00D65BCF">
              <w:rPr>
                <w:rFonts w:ascii="Arial" w:hAnsi="Arial" w:cs="Arial"/>
              </w:rPr>
              <w:t>1.04 (0.86, 1.27)</w:t>
            </w:r>
          </w:p>
        </w:tc>
      </w:tr>
    </w:tbl>
    <w:p w14:paraId="22276C7B" w14:textId="77777777" w:rsidR="00107B93" w:rsidRPr="0081257C" w:rsidRDefault="00107B93" w:rsidP="00107B93">
      <w:pPr>
        <w:rPr>
          <w:rFonts w:ascii="Arial" w:hAnsi="Arial" w:cs="Arial"/>
          <w:color w:val="000000" w:themeColor="text1"/>
        </w:rPr>
      </w:pPr>
    </w:p>
    <w:p w14:paraId="5D797456" w14:textId="77777777" w:rsidR="00107B93" w:rsidRDefault="00107B93" w:rsidP="00107B93">
      <w:pPr>
        <w:rPr>
          <w:rFonts w:ascii="Arial" w:hAnsi="Arial" w:cs="Arial"/>
          <w:color w:val="000000" w:themeColor="text1"/>
        </w:rPr>
      </w:pPr>
      <w:proofErr w:type="spellStart"/>
      <w:r w:rsidRPr="0081257C">
        <w:rPr>
          <w:rFonts w:ascii="Arial" w:hAnsi="Arial" w:cs="Arial"/>
          <w:color w:val="000000" w:themeColor="text1"/>
          <w:vertAlign w:val="superscript"/>
        </w:rPr>
        <w:t>a</w:t>
      </w:r>
      <w:r w:rsidRPr="0081257C">
        <w:rPr>
          <w:rFonts w:ascii="Arial" w:hAnsi="Arial" w:cs="Arial"/>
          <w:color w:val="000000" w:themeColor="text1"/>
        </w:rPr>
        <w:t>Based</w:t>
      </w:r>
      <w:proofErr w:type="spellEnd"/>
      <w:r w:rsidRPr="0081257C">
        <w:rPr>
          <w:rFonts w:ascii="Arial" w:hAnsi="Arial" w:cs="Arial"/>
          <w:color w:val="000000" w:themeColor="text1"/>
        </w:rPr>
        <w:t xml:space="preserve"> on multivariable logistic regression models adjusted for age,</w:t>
      </w:r>
      <w:r w:rsidRPr="0081257C">
        <w:rPr>
          <w:rStyle w:val="CommentReference"/>
          <w:rFonts w:ascii="Arial" w:hAnsi="Arial" w:cs="Arial"/>
          <w:color w:val="000000" w:themeColor="text1"/>
        </w:rPr>
        <w:t xml:space="preserve"> race and ethnicity,</w:t>
      </w:r>
      <w:r w:rsidRPr="0081257C">
        <w:rPr>
          <w:rFonts w:ascii="Arial" w:hAnsi="Arial" w:cs="Arial"/>
          <w:color w:val="000000" w:themeColor="text1"/>
        </w:rPr>
        <w:t xml:space="preserve"> educational attainment, household income, marital status, health insurance, depression score, current smoking status, and SNAP participation.</w:t>
      </w:r>
    </w:p>
    <w:p w14:paraId="1770F64A" w14:textId="77777777" w:rsidR="00107B93" w:rsidRPr="0081257C" w:rsidRDefault="00107B93" w:rsidP="00107B93">
      <w:pPr>
        <w:rPr>
          <w:rFonts w:ascii="Arial" w:hAnsi="Arial" w:cs="Arial"/>
          <w:color w:val="000000" w:themeColor="text1"/>
        </w:rPr>
      </w:pPr>
      <w:proofErr w:type="spellStart"/>
      <w:r w:rsidRPr="0081257C">
        <w:rPr>
          <w:rFonts w:ascii="Arial" w:hAnsi="Arial" w:cs="Arial"/>
          <w:color w:val="000000" w:themeColor="text1"/>
          <w:vertAlign w:val="superscript"/>
        </w:rPr>
        <w:t>b</w:t>
      </w:r>
      <w:r w:rsidRPr="0081257C">
        <w:rPr>
          <w:rFonts w:ascii="Arial" w:hAnsi="Arial" w:cs="Arial"/>
          <w:color w:val="000000" w:themeColor="text1"/>
        </w:rPr>
        <w:t>Models</w:t>
      </w:r>
      <w:proofErr w:type="spellEnd"/>
      <w:r w:rsidRPr="0081257C">
        <w:rPr>
          <w:rFonts w:ascii="Arial" w:hAnsi="Arial" w:cs="Arial"/>
          <w:color w:val="000000" w:themeColor="text1"/>
        </w:rPr>
        <w:t xml:space="preserve"> included elevated biomarkers except for HDL cholesterol</w:t>
      </w:r>
      <w:r>
        <w:rPr>
          <w:rFonts w:ascii="Arial" w:hAnsi="Arial" w:cs="Arial"/>
          <w:color w:val="000000" w:themeColor="text1"/>
        </w:rPr>
        <w:t>,</w:t>
      </w:r>
      <w:r w:rsidRPr="0081257C">
        <w:rPr>
          <w:rFonts w:ascii="Arial" w:hAnsi="Arial" w:cs="Arial"/>
          <w:color w:val="000000" w:themeColor="text1"/>
        </w:rPr>
        <w:t xml:space="preserve"> which was measured as low HDL cholesterol.</w:t>
      </w:r>
    </w:p>
    <w:p w14:paraId="63A52FB3" w14:textId="77777777" w:rsidR="00107B93" w:rsidRPr="0081257C" w:rsidRDefault="00107B93" w:rsidP="00107B93">
      <w:pPr>
        <w:spacing w:after="0" w:line="240" w:lineRule="auto"/>
        <w:contextualSpacing/>
        <w:rPr>
          <w:rFonts w:ascii="Arial" w:hAnsi="Arial" w:cs="Arial"/>
          <w:color w:val="000000" w:themeColor="text1"/>
        </w:rPr>
      </w:pPr>
      <w:r w:rsidRPr="00D04537">
        <w:rPr>
          <w:rFonts w:ascii="Arial" w:hAnsi="Arial" w:cs="Arial"/>
          <w:i/>
          <w:iCs/>
          <w:color w:val="000000" w:themeColor="text1"/>
        </w:rPr>
        <w:t>Note</w:t>
      </w:r>
      <w:r>
        <w:rPr>
          <w:rFonts w:ascii="Arial" w:hAnsi="Arial" w:cs="Arial"/>
          <w:i/>
          <w:iCs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CI = confidence interval; eGFR = estimated glomerular filtration rate; HDL = high-density lipoprotein; PR = prevalence ratio; </w:t>
      </w:r>
      <w:r w:rsidRPr="0081257C">
        <w:rPr>
          <w:rFonts w:ascii="Arial" w:hAnsi="Arial" w:cs="Arial"/>
          <w:color w:val="000000" w:themeColor="text1"/>
        </w:rPr>
        <w:t>SNAP = Supplemental Nutrition Assistance Program</w:t>
      </w:r>
      <w:r>
        <w:rPr>
          <w:rFonts w:ascii="Arial" w:hAnsi="Arial" w:cs="Arial"/>
          <w:color w:val="000000" w:themeColor="text1"/>
        </w:rPr>
        <w:t>. Bolded prevalence ratios and 95% confidence intervals indicate statistical significance.</w:t>
      </w:r>
    </w:p>
    <w:p w14:paraId="5323D66B" w14:textId="77777777" w:rsidR="00107B93" w:rsidRPr="0081257C" w:rsidRDefault="00107B93" w:rsidP="00107B93">
      <w:pPr>
        <w:rPr>
          <w:rFonts w:ascii="Arial" w:hAnsi="Arial" w:cs="Arial"/>
          <w:color w:val="000000" w:themeColor="text1"/>
        </w:rPr>
      </w:pPr>
    </w:p>
    <w:p w14:paraId="20E5B265" w14:textId="77777777" w:rsidR="00107B93" w:rsidRPr="0081257C" w:rsidRDefault="00107B93" w:rsidP="00107B93">
      <w:pPr>
        <w:rPr>
          <w:rFonts w:ascii="Arial" w:hAnsi="Arial" w:cs="Arial"/>
          <w:color w:val="000000" w:themeColor="text1"/>
        </w:rPr>
      </w:pPr>
      <w:r w:rsidRPr="0081257C">
        <w:rPr>
          <w:rFonts w:ascii="Arial" w:hAnsi="Arial" w:cs="Arial"/>
          <w:color w:val="000000" w:themeColor="text1"/>
        </w:rPr>
        <w:br w:type="page"/>
      </w:r>
    </w:p>
    <w:p w14:paraId="26F99945" w14:textId="77777777" w:rsidR="00107B93" w:rsidRPr="0081257C" w:rsidRDefault="00107B93" w:rsidP="00107B93">
      <w:pPr>
        <w:rPr>
          <w:rFonts w:ascii="Arial" w:hAnsi="Arial" w:cs="Arial"/>
          <w:color w:val="000000" w:themeColor="text1"/>
        </w:rPr>
      </w:pPr>
      <w:r w:rsidRPr="0081257C">
        <w:rPr>
          <w:rFonts w:ascii="Arial" w:hAnsi="Arial" w:cs="Arial"/>
          <w:b/>
          <w:bCs/>
          <w:color w:val="000000" w:themeColor="text1"/>
        </w:rPr>
        <w:t>Supplemental Figure 1.</w:t>
      </w:r>
      <w:r w:rsidRPr="0081257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257C">
        <w:rPr>
          <w:rFonts w:ascii="Arial" w:hAnsi="Arial" w:cs="Arial"/>
          <w:color w:val="000000" w:themeColor="text1"/>
        </w:rPr>
        <w:t>Associations</w:t>
      </w:r>
      <w:r w:rsidRPr="0081257C">
        <w:rPr>
          <w:rFonts w:ascii="Arial" w:hAnsi="Arial" w:cs="Arial"/>
          <w:color w:val="000000" w:themeColor="text1"/>
          <w:vertAlign w:val="superscript"/>
        </w:rPr>
        <w:t>a</w:t>
      </w:r>
      <w:proofErr w:type="spellEnd"/>
      <w:r w:rsidRPr="0081257C">
        <w:rPr>
          <w:rFonts w:ascii="Arial" w:hAnsi="Arial" w:cs="Arial"/>
          <w:color w:val="000000" w:themeColor="text1"/>
        </w:rPr>
        <w:t xml:space="preserve"> Between Household Food Insecurity (Food Secure vs. Less Than Food Secure) and </w:t>
      </w:r>
      <w:proofErr w:type="spellStart"/>
      <w:r w:rsidRPr="0081257C">
        <w:rPr>
          <w:rFonts w:ascii="Arial" w:hAnsi="Arial" w:cs="Arial"/>
          <w:color w:val="000000" w:themeColor="text1"/>
        </w:rPr>
        <w:t>Elevated</w:t>
      </w:r>
      <w:r w:rsidRPr="00FA601E">
        <w:rPr>
          <w:rFonts w:ascii="Arial" w:hAnsi="Arial" w:cs="Arial"/>
          <w:color w:val="000000" w:themeColor="text1"/>
          <w:vertAlign w:val="superscript"/>
        </w:rPr>
        <w:t>b</w:t>
      </w:r>
      <w:proofErr w:type="spellEnd"/>
      <w:r w:rsidRPr="0081257C">
        <w:rPr>
          <w:rFonts w:ascii="Arial" w:hAnsi="Arial" w:cs="Arial"/>
          <w:color w:val="000000" w:themeColor="text1"/>
        </w:rPr>
        <w:t xml:space="preserve"> Allostatic Load Biomarkers Among Adults </w:t>
      </w:r>
      <w:proofErr w:type="gramStart"/>
      <w:r w:rsidRPr="0081257C">
        <w:rPr>
          <w:rFonts w:ascii="Arial" w:hAnsi="Arial" w:cs="Arial"/>
          <w:color w:val="000000" w:themeColor="text1"/>
        </w:rPr>
        <w:t>With</w:t>
      </w:r>
      <w:proofErr w:type="gramEnd"/>
      <w:r w:rsidRPr="0081257C">
        <w:rPr>
          <w:rFonts w:ascii="Arial" w:hAnsi="Arial" w:cs="Arial"/>
          <w:color w:val="000000" w:themeColor="text1"/>
        </w:rPr>
        <w:t xml:space="preserve"> Household Incomes ≤</w:t>
      </w:r>
      <w:r>
        <w:rPr>
          <w:rFonts w:ascii="Arial" w:hAnsi="Arial" w:cs="Arial"/>
          <w:color w:val="000000" w:themeColor="text1"/>
        </w:rPr>
        <w:t> </w:t>
      </w:r>
      <w:r w:rsidRPr="0081257C">
        <w:rPr>
          <w:rFonts w:ascii="Arial" w:hAnsi="Arial" w:cs="Arial"/>
          <w:color w:val="000000" w:themeColor="text1"/>
        </w:rPr>
        <w:t>400% of the Federal Poverty Level, National Health and Nutrition Examination Surveys 2015</w:t>
      </w:r>
      <w:r>
        <w:rPr>
          <w:rFonts w:ascii="Arial" w:hAnsi="Arial" w:cs="Arial"/>
          <w:color w:val="000000" w:themeColor="text1"/>
        </w:rPr>
        <w:t>–</w:t>
      </w:r>
      <w:r w:rsidRPr="0081257C">
        <w:rPr>
          <w:rFonts w:ascii="Arial" w:hAnsi="Arial" w:cs="Arial"/>
          <w:color w:val="000000" w:themeColor="text1"/>
        </w:rPr>
        <w:t>2020</w:t>
      </w:r>
    </w:p>
    <w:p w14:paraId="5079B7F8" w14:textId="77777777" w:rsidR="00107B93" w:rsidRPr="0081257C" w:rsidRDefault="00107B93" w:rsidP="00107B93">
      <w:pPr>
        <w:rPr>
          <w:rFonts w:ascii="Arial" w:hAnsi="Arial" w:cs="Arial"/>
          <w:color w:val="000000" w:themeColor="text1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7282BE9E" wp14:editId="1CD7AFEF">
            <wp:extent cx="8229600" cy="4521835"/>
            <wp:effectExtent l="0" t="0" r="0" b="12065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B6CE2481-2B55-49BF-B73B-7B100DE815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8937F01" w14:textId="77777777" w:rsidR="00107B93" w:rsidRDefault="00107B93" w:rsidP="00107B93">
      <w:pPr>
        <w:rPr>
          <w:rFonts w:ascii="Arial" w:hAnsi="Arial" w:cs="Arial"/>
          <w:color w:val="000000" w:themeColor="text1"/>
        </w:rPr>
      </w:pPr>
      <w:proofErr w:type="spellStart"/>
      <w:r w:rsidRPr="0081257C">
        <w:rPr>
          <w:rFonts w:ascii="Arial" w:hAnsi="Arial" w:cs="Arial"/>
          <w:color w:val="000000" w:themeColor="text1"/>
          <w:vertAlign w:val="superscript"/>
        </w:rPr>
        <w:t>a</w:t>
      </w:r>
      <w:r w:rsidRPr="0081257C">
        <w:rPr>
          <w:rFonts w:ascii="Arial" w:hAnsi="Arial" w:cs="Arial"/>
          <w:color w:val="000000" w:themeColor="text1"/>
        </w:rPr>
        <w:t>Based</w:t>
      </w:r>
      <w:proofErr w:type="spellEnd"/>
      <w:r w:rsidRPr="0081257C">
        <w:rPr>
          <w:rFonts w:ascii="Arial" w:hAnsi="Arial" w:cs="Arial"/>
          <w:color w:val="000000" w:themeColor="text1"/>
        </w:rPr>
        <w:t xml:space="preserve"> on multivariable logistic regression models adjusted for age, race and ethnicity, </w:t>
      </w:r>
      <w:r>
        <w:rPr>
          <w:rFonts w:ascii="Arial" w:hAnsi="Arial" w:cs="Arial"/>
          <w:color w:val="000000" w:themeColor="text1"/>
        </w:rPr>
        <w:t>gender</w:t>
      </w:r>
      <w:r w:rsidRPr="0081257C">
        <w:rPr>
          <w:rFonts w:ascii="Arial" w:hAnsi="Arial" w:cs="Arial"/>
          <w:color w:val="000000" w:themeColor="text1"/>
        </w:rPr>
        <w:t>, educational attainment, household income, marital status, health insurance, depression score, current smoking status, and SNAP participation. Food secure was the reference group.</w:t>
      </w:r>
    </w:p>
    <w:p w14:paraId="7D7C485D" w14:textId="77777777" w:rsidR="00107B93" w:rsidRDefault="00107B93" w:rsidP="00107B93">
      <w:pPr>
        <w:rPr>
          <w:rFonts w:ascii="Arial" w:hAnsi="Arial" w:cs="Arial"/>
          <w:color w:val="000000" w:themeColor="text1"/>
        </w:rPr>
      </w:pPr>
      <w:proofErr w:type="spellStart"/>
      <w:r w:rsidRPr="0081257C">
        <w:rPr>
          <w:rFonts w:ascii="Arial" w:hAnsi="Arial" w:cs="Arial"/>
          <w:color w:val="000000" w:themeColor="text1"/>
          <w:vertAlign w:val="superscript"/>
        </w:rPr>
        <w:t>b</w:t>
      </w:r>
      <w:r w:rsidRPr="0081257C">
        <w:rPr>
          <w:rFonts w:ascii="Arial" w:hAnsi="Arial" w:cs="Arial"/>
          <w:color w:val="000000" w:themeColor="text1"/>
        </w:rPr>
        <w:t>Models</w:t>
      </w:r>
      <w:proofErr w:type="spellEnd"/>
      <w:r w:rsidRPr="0081257C">
        <w:rPr>
          <w:rFonts w:ascii="Arial" w:hAnsi="Arial" w:cs="Arial"/>
          <w:color w:val="000000" w:themeColor="text1"/>
        </w:rPr>
        <w:t xml:space="preserve"> included elevated biomarkers except for HDL cholesterol</w:t>
      </w:r>
      <w:r>
        <w:rPr>
          <w:rFonts w:ascii="Arial" w:hAnsi="Arial" w:cs="Arial"/>
          <w:color w:val="000000" w:themeColor="text1"/>
        </w:rPr>
        <w:t>,</w:t>
      </w:r>
      <w:r w:rsidRPr="0081257C">
        <w:rPr>
          <w:rFonts w:ascii="Arial" w:hAnsi="Arial" w:cs="Arial"/>
          <w:color w:val="000000" w:themeColor="text1"/>
        </w:rPr>
        <w:t xml:space="preserve"> which was measured as low HDL cholesterol.</w:t>
      </w:r>
    </w:p>
    <w:p w14:paraId="23F1136B" w14:textId="77777777" w:rsidR="00107B93" w:rsidRPr="0081257C" w:rsidRDefault="00107B93" w:rsidP="00107B93">
      <w:pPr>
        <w:spacing w:after="0" w:line="240" w:lineRule="auto"/>
        <w:contextualSpacing/>
        <w:rPr>
          <w:rFonts w:ascii="Arial" w:hAnsi="Arial" w:cs="Arial"/>
          <w:color w:val="000000" w:themeColor="text1"/>
        </w:rPr>
      </w:pPr>
      <w:r w:rsidRPr="00D04537">
        <w:rPr>
          <w:rFonts w:ascii="Arial" w:hAnsi="Arial" w:cs="Arial"/>
          <w:i/>
          <w:iCs/>
          <w:color w:val="000000" w:themeColor="text1"/>
        </w:rPr>
        <w:t>Note</w:t>
      </w:r>
      <w:r>
        <w:rPr>
          <w:rFonts w:ascii="Arial" w:hAnsi="Arial" w:cs="Arial"/>
          <w:i/>
          <w:iCs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eGFR = estimated glomerular filtration rate; HDL = high-density lipoprotein; SNAP = </w:t>
      </w:r>
      <w:r w:rsidRPr="00D8095D">
        <w:rPr>
          <w:rFonts w:ascii="Arial" w:hAnsi="Arial" w:cs="Arial"/>
          <w:color w:val="000000" w:themeColor="text1"/>
        </w:rPr>
        <w:t>Supplemental Nutrition Assistance Program</w:t>
      </w:r>
      <w:r>
        <w:rPr>
          <w:rFonts w:ascii="Arial" w:hAnsi="Arial" w:cs="Arial"/>
          <w:color w:val="000000" w:themeColor="text1"/>
        </w:rPr>
        <w:t>.</w:t>
      </w:r>
    </w:p>
    <w:p w14:paraId="0E81FE99" w14:textId="77777777" w:rsidR="00430D05" w:rsidRDefault="00107B93"/>
    <w:sectPr w:rsidR="00430D05" w:rsidSect="00107B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93"/>
    <w:rsid w:val="00107B93"/>
    <w:rsid w:val="00181986"/>
    <w:rsid w:val="00D1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522A"/>
  <w15:chartTrackingRefBased/>
  <w15:docId w15:val="{3830DA89-EC04-43B1-AA0B-3FB702C5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07B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dc-my.sharepoint.com/personal/wrb6_cdc_gov/Documents/Food%20Insecurity/Tables%202%20ca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US" b="1"/>
              <a:t>Total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1.8366663045762118E-2"/>
          <c:y val="6.8583938741904993E-2"/>
          <c:w val="0.96326671180236745"/>
          <c:h val="0.82906336806823711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squar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errBars>
            <c:errDir val="x"/>
            <c:errBarType val="both"/>
            <c:errValType val="cust"/>
            <c:noEndCap val="0"/>
            <c:plus>
              <c:numRef>
                <c:f>sensitivity!$D$3:$D$16</c:f>
                <c:numCache>
                  <c:formatCode>General</c:formatCode>
                  <c:ptCount val="14"/>
                  <c:pt idx="1">
                    <c:v>0.11</c:v>
                  </c:pt>
                  <c:pt idx="2">
                    <c:v>0.11</c:v>
                  </c:pt>
                  <c:pt idx="3">
                    <c:v>0.17</c:v>
                  </c:pt>
                  <c:pt idx="4">
                    <c:v>0.14000000000000001</c:v>
                  </c:pt>
                  <c:pt idx="6">
                    <c:v>0.31</c:v>
                  </c:pt>
                  <c:pt idx="7">
                    <c:v>0.09</c:v>
                  </c:pt>
                  <c:pt idx="8">
                    <c:v>0.06</c:v>
                  </c:pt>
                  <c:pt idx="9">
                    <c:v>0.31</c:v>
                  </c:pt>
                  <c:pt idx="10">
                    <c:v>0.25</c:v>
                  </c:pt>
                  <c:pt idx="12">
                    <c:v>0.13</c:v>
                  </c:pt>
                  <c:pt idx="13">
                    <c:v>0.17</c:v>
                  </c:pt>
                </c:numCache>
              </c:numRef>
            </c:plus>
            <c:minus>
              <c:numRef>
                <c:f>sensitivity!$C$3:$C$16</c:f>
                <c:numCache>
                  <c:formatCode>General</c:formatCode>
                  <c:ptCount val="14"/>
                  <c:pt idx="1">
                    <c:v>0.1</c:v>
                  </c:pt>
                  <c:pt idx="2">
                    <c:v>0.09</c:v>
                  </c:pt>
                  <c:pt idx="3">
                    <c:v>0.14000000000000001</c:v>
                  </c:pt>
                  <c:pt idx="4">
                    <c:v>0.13</c:v>
                  </c:pt>
                  <c:pt idx="6">
                    <c:v>0.25</c:v>
                  </c:pt>
                  <c:pt idx="7">
                    <c:v>0.08</c:v>
                  </c:pt>
                  <c:pt idx="8">
                    <c:v>0.06</c:v>
                  </c:pt>
                  <c:pt idx="9">
                    <c:v>0.25</c:v>
                  </c:pt>
                  <c:pt idx="10">
                    <c:v>0.21</c:v>
                  </c:pt>
                  <c:pt idx="12">
                    <c:v>0.12</c:v>
                  </c:pt>
                  <c:pt idx="13">
                    <c:v>0.14000000000000001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/>
                </a:solidFill>
                <a:round/>
              </a:ln>
              <a:effectLst/>
            </c:spPr>
          </c:errBars>
          <c:xVal>
            <c:numRef>
              <c:f>sensitivity!$B$3:$B$16</c:f>
              <c:numCache>
                <c:formatCode>General</c:formatCode>
                <c:ptCount val="14"/>
                <c:pt idx="1">
                  <c:v>1.1200000000000001</c:v>
                </c:pt>
                <c:pt idx="2">
                  <c:v>1.1299999999999999</c:v>
                </c:pt>
                <c:pt idx="3">
                  <c:v>0.89</c:v>
                </c:pt>
                <c:pt idx="4">
                  <c:v>1.21</c:v>
                </c:pt>
                <c:pt idx="6">
                  <c:v>1.36</c:v>
                </c:pt>
                <c:pt idx="7">
                  <c:v>1.18</c:v>
                </c:pt>
                <c:pt idx="8">
                  <c:v>1.1000000000000001</c:v>
                </c:pt>
                <c:pt idx="9">
                  <c:v>1.1200000000000001</c:v>
                </c:pt>
                <c:pt idx="10">
                  <c:v>1.2</c:v>
                </c:pt>
                <c:pt idx="12">
                  <c:v>1.17</c:v>
                </c:pt>
                <c:pt idx="13">
                  <c:v>1.07</c:v>
                </c:pt>
              </c:numCache>
            </c:numRef>
          </c:xVal>
          <c:yVal>
            <c:numRef>
              <c:f>sensitivity!$E$3:$E$16</c:f>
              <c:numCache>
                <c:formatCode>General</c:formatCode>
                <c:ptCount val="14"/>
                <c:pt idx="0">
                  <c:v>29.5</c:v>
                </c:pt>
                <c:pt idx="1">
                  <c:v>27.5</c:v>
                </c:pt>
                <c:pt idx="2">
                  <c:v>25.5</c:v>
                </c:pt>
                <c:pt idx="3">
                  <c:v>23.5</c:v>
                </c:pt>
                <c:pt idx="4">
                  <c:v>21.5</c:v>
                </c:pt>
                <c:pt idx="5">
                  <c:v>19.5</c:v>
                </c:pt>
                <c:pt idx="6">
                  <c:v>17.5</c:v>
                </c:pt>
                <c:pt idx="7">
                  <c:v>15.5</c:v>
                </c:pt>
                <c:pt idx="8">
                  <c:v>13.5</c:v>
                </c:pt>
                <c:pt idx="9">
                  <c:v>11.5</c:v>
                </c:pt>
                <c:pt idx="10">
                  <c:v>9.5</c:v>
                </c:pt>
                <c:pt idx="11">
                  <c:v>7.5</c:v>
                </c:pt>
                <c:pt idx="12">
                  <c:v>5.5</c:v>
                </c:pt>
                <c:pt idx="13">
                  <c:v>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015-49D9-B7FD-A23B359600F5}"/>
            </c:ext>
          </c:extLst>
        </c:ser>
        <c:ser>
          <c:idx val="1"/>
          <c:order val="1"/>
          <c:tx>
            <c:v>labels y axis</c:v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1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272FF4D7-64D7-4E69-B18D-F9C43F5F85F3}" type="CELLRANGE">
                      <a:rPr lang="en-US"/>
                      <a:pPr>
                        <a:defRPr b="1"/>
                      </a:pPr>
                      <a:t>[CELLRANGE]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0015-49D9-B7FD-A23B359600F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8FA9143-02BD-4D81-9CDD-64D319D2686F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0015-49D9-B7FD-A23B359600F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86560CD4-86AE-4943-A76A-853BEEDCE2F3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0015-49D9-B7FD-A23B359600F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10E69906-C2A6-4DDA-9FFE-5B1D4510D2C7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0015-49D9-B7FD-A23B359600F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C79515D2-26E1-4AC7-AFDC-E185ACC177C9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0015-49D9-B7FD-A23B359600F5}"/>
                </c:ext>
              </c:extLst>
            </c:dLbl>
            <c:dLbl>
              <c:idx val="5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1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ABD17AE9-308B-4C85-A00D-999283B2DA8A}" type="CELLRANGE">
                      <a:rPr lang="en-US"/>
                      <a:pPr>
                        <a:defRPr b="1"/>
                      </a:pPr>
                      <a:t>[CELLRANGE]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6-0015-49D9-B7FD-A23B359600F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0259032E-7CD3-45A8-AD8E-DB3DF672122F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0015-49D9-B7FD-A23B359600F5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B361D752-6E09-497A-863D-E30AAE23207A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8-0015-49D9-B7FD-A23B359600F5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D1075905-3DD5-4BC4-A5E9-DC8E8D4EAE34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9-0015-49D9-B7FD-A23B359600F5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23659FB2-167C-4224-B134-4D7A66F8D4A9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A-0015-49D9-B7FD-A23B359600F5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86EF2902-918D-4FA5-A2DD-5F503E5414DE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B-0015-49D9-B7FD-A23B359600F5}"/>
                </c:ext>
              </c:extLst>
            </c:dLbl>
            <c:dLbl>
              <c:idx val="11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1" i="0" u="none" strike="noStrike" kern="1200" baseline="0">
                        <a:solidFill>
                          <a:schemeClr val="tx1"/>
                        </a:solidFill>
                        <a:latin typeface="Arial" panose="020B0604020202020204" pitchFamily="34" charset="0"/>
                        <a:ea typeface="+mn-ea"/>
                        <a:cs typeface="Arial" panose="020B0604020202020204" pitchFamily="34" charset="0"/>
                      </a:defRPr>
                    </a:pPr>
                    <a:fld id="{BFE7C6AB-D2B0-48FA-A136-1A2F4E90AF73}" type="CELLRANGE">
                      <a:rPr lang="en-US"/>
                      <a:pPr>
                        <a:defRPr b="1"/>
                      </a:pPr>
                      <a:t>[CELLRANGE]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C-0015-49D9-B7FD-A23B359600F5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fld id="{77C2FA03-9EAB-4CC8-9125-FA8B95CFAABF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D-0015-49D9-B7FD-A23B359600F5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71FA7E94-585F-4E19-BF38-C369DD8F2089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E-0015-49D9-B7FD-A23B359600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r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sensitivity!$F$3:$F$16</c:f>
              <c:numCache>
                <c:formatCode>General</c:formatCode>
                <c:ptCount val="14"/>
                <c:pt idx="0">
                  <c:v>0.2</c:v>
                </c:pt>
                <c:pt idx="1">
                  <c:v>0.2</c:v>
                </c:pt>
                <c:pt idx="2">
                  <c:v>0.2</c:v>
                </c:pt>
                <c:pt idx="3">
                  <c:v>0.2</c:v>
                </c:pt>
                <c:pt idx="4">
                  <c:v>0.2</c:v>
                </c:pt>
                <c:pt idx="5">
                  <c:v>0.2</c:v>
                </c:pt>
                <c:pt idx="6">
                  <c:v>0.2</c:v>
                </c:pt>
                <c:pt idx="7">
                  <c:v>0.2</c:v>
                </c:pt>
                <c:pt idx="8">
                  <c:v>0.2</c:v>
                </c:pt>
                <c:pt idx="9">
                  <c:v>0.2</c:v>
                </c:pt>
                <c:pt idx="10">
                  <c:v>0.2</c:v>
                </c:pt>
                <c:pt idx="11">
                  <c:v>0.2</c:v>
                </c:pt>
                <c:pt idx="12">
                  <c:v>0.2</c:v>
                </c:pt>
                <c:pt idx="13">
                  <c:v>0.2</c:v>
                </c:pt>
              </c:numCache>
            </c:numRef>
          </c:xVal>
          <c:yVal>
            <c:numRef>
              <c:f>sensitivity!$E$3:$E$16</c:f>
              <c:numCache>
                <c:formatCode>General</c:formatCode>
                <c:ptCount val="14"/>
                <c:pt idx="0">
                  <c:v>29.5</c:v>
                </c:pt>
                <c:pt idx="1">
                  <c:v>27.5</c:v>
                </c:pt>
                <c:pt idx="2">
                  <c:v>25.5</c:v>
                </c:pt>
                <c:pt idx="3">
                  <c:v>23.5</c:v>
                </c:pt>
                <c:pt idx="4">
                  <c:v>21.5</c:v>
                </c:pt>
                <c:pt idx="5">
                  <c:v>19.5</c:v>
                </c:pt>
                <c:pt idx="6">
                  <c:v>17.5</c:v>
                </c:pt>
                <c:pt idx="7">
                  <c:v>15.5</c:v>
                </c:pt>
                <c:pt idx="8">
                  <c:v>13.5</c:v>
                </c:pt>
                <c:pt idx="9">
                  <c:v>11.5</c:v>
                </c:pt>
                <c:pt idx="10">
                  <c:v>9.5</c:v>
                </c:pt>
                <c:pt idx="11">
                  <c:v>7.5</c:v>
                </c:pt>
                <c:pt idx="12">
                  <c:v>5.5</c:v>
                </c:pt>
                <c:pt idx="13">
                  <c:v>3</c:v>
                </c:pt>
              </c:numCache>
            </c:numRef>
          </c:yVal>
          <c:smooth val="0"/>
          <c:extLst>
            <c:ext xmlns:c15="http://schemas.microsoft.com/office/drawing/2012/chart" uri="{02D57815-91ED-43cb-92C2-25804820EDAC}">
              <c15:datalabelsRange>
                <c15:f>sensitivity!$A$3:$A$16</c15:f>
                <c15:dlblRangeCache>
                  <c:ptCount val="14"/>
                  <c:pt idx="0">
                    <c:v>Cardiovascular </c:v>
                  </c:pt>
                  <c:pt idx="1">
                    <c:v>  Systolic blood pressure </c:v>
                  </c:pt>
                  <c:pt idx="2">
                    <c:v>  Diastolic blood pressure</c:v>
                  </c:pt>
                  <c:pt idx="3">
                    <c:v>  Total cholesterol</c:v>
                  </c:pt>
                  <c:pt idx="4">
                    <c:v>  HDL cholesterol</c:v>
                  </c:pt>
                  <c:pt idx="5">
                    <c:v>Metabolic</c:v>
                  </c:pt>
                  <c:pt idx="6">
                    <c:v>  Hemoglobin A1C </c:v>
                  </c:pt>
                  <c:pt idx="7">
                    <c:v>  Body mass index</c:v>
                  </c:pt>
                  <c:pt idx="8">
                    <c:v>  Waist circumference</c:v>
                  </c:pt>
                  <c:pt idx="9">
                    <c:v>  eGFR</c:v>
                  </c:pt>
                  <c:pt idx="10">
                    <c:v>  Microalbuminuria</c:v>
                  </c:pt>
                  <c:pt idx="11">
                    <c:v>Immune</c:v>
                  </c:pt>
                  <c:pt idx="12">
                    <c:v>  C-reactive protein</c:v>
                  </c:pt>
                  <c:pt idx="13">
                    <c:v>  White blood cell count 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F-0015-49D9-B7FD-A23B359600F5}"/>
            </c:ext>
          </c:extLst>
        </c:ser>
        <c:ser>
          <c:idx val="2"/>
          <c:order val="2"/>
          <c:tx>
            <c:v>apr</c:v>
          </c:tx>
          <c:spPr>
            <a:ln w="25400" cap="rnd">
              <a:noFill/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015-49D9-B7FD-A23B359600F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4C9B1118-1779-4736-9DB2-85A221F18E68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1-0015-49D9-B7FD-A23B359600F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C3131E4C-3143-4492-BA2F-10A17BD7CC8B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2-0015-49D9-B7FD-A23B359600F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83B12D12-9AB5-43A5-A167-D2908F4FD8A2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3-0015-49D9-B7FD-A23B359600F5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351C7B21-D1FD-4C10-98D3-5B3B242ACF12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4-0015-49D9-B7FD-A23B359600F5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015-49D9-B7FD-A23B359600F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D62C9E8F-9FE9-47A1-ACD4-89E532D4949F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6-0015-49D9-B7FD-A23B359600F5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739AECD7-BF46-4190-93EB-9AA581C9F51D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7-0015-49D9-B7FD-A23B359600F5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182F3828-DAD0-4C58-A5E3-A10A6AD06D7E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8-0015-49D9-B7FD-A23B359600F5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fld id="{FE9E6ECA-2C76-4788-8888-D0333BD9BEEA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9-0015-49D9-B7FD-A23B359600F5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fld id="{238AC01F-9B77-4D3F-94A9-9C499D7908F3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A-0015-49D9-B7FD-A23B359600F5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0015-49D9-B7FD-A23B359600F5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fld id="{54A64781-7E9D-483D-8646-52167107FAB0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C-0015-49D9-B7FD-A23B359600F5}"/>
                </c:ext>
              </c:extLst>
            </c:dLbl>
            <c:dLbl>
              <c:idx val="13"/>
              <c:tx>
                <c:rich>
                  <a:bodyPr/>
                  <a:lstStyle/>
                  <a:p>
                    <a:fld id="{71AE42DB-8026-4C5E-A7EE-2F45F1D8BFA4}" type="CELLRANGE">
                      <a:rPr lang="en-US"/>
                      <a:pPr/>
                      <a:t>[CELLRANGE]</a:t>
                    </a:fld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1D-0015-49D9-B7FD-A23B359600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sensitivity!$G$3:$G$16</c:f>
              <c:numCache>
                <c:formatCode>General</c:formatCode>
                <c:ptCount val="14"/>
                <c:pt idx="0">
                  <c:v>1.7</c:v>
                </c:pt>
                <c:pt idx="1">
                  <c:v>1.7</c:v>
                </c:pt>
                <c:pt idx="2">
                  <c:v>1.7</c:v>
                </c:pt>
                <c:pt idx="3">
                  <c:v>1.7</c:v>
                </c:pt>
                <c:pt idx="4">
                  <c:v>1.7</c:v>
                </c:pt>
                <c:pt idx="5">
                  <c:v>1.7</c:v>
                </c:pt>
                <c:pt idx="6">
                  <c:v>1.7</c:v>
                </c:pt>
                <c:pt idx="7">
                  <c:v>1.7</c:v>
                </c:pt>
                <c:pt idx="8">
                  <c:v>1.7</c:v>
                </c:pt>
                <c:pt idx="9">
                  <c:v>1.7</c:v>
                </c:pt>
                <c:pt idx="10">
                  <c:v>1.7</c:v>
                </c:pt>
                <c:pt idx="11">
                  <c:v>1.7</c:v>
                </c:pt>
                <c:pt idx="12">
                  <c:v>1.7</c:v>
                </c:pt>
                <c:pt idx="13">
                  <c:v>1.7</c:v>
                </c:pt>
              </c:numCache>
            </c:numRef>
          </c:xVal>
          <c:yVal>
            <c:numRef>
              <c:f>sensitivity!$E$3:$E$16</c:f>
              <c:numCache>
                <c:formatCode>General</c:formatCode>
                <c:ptCount val="14"/>
                <c:pt idx="0">
                  <c:v>29.5</c:v>
                </c:pt>
                <c:pt idx="1">
                  <c:v>27.5</c:v>
                </c:pt>
                <c:pt idx="2">
                  <c:v>25.5</c:v>
                </c:pt>
                <c:pt idx="3">
                  <c:v>23.5</c:v>
                </c:pt>
                <c:pt idx="4">
                  <c:v>21.5</c:v>
                </c:pt>
                <c:pt idx="5">
                  <c:v>19.5</c:v>
                </c:pt>
                <c:pt idx="6">
                  <c:v>17.5</c:v>
                </c:pt>
                <c:pt idx="7">
                  <c:v>15.5</c:v>
                </c:pt>
                <c:pt idx="8">
                  <c:v>13.5</c:v>
                </c:pt>
                <c:pt idx="9">
                  <c:v>11.5</c:v>
                </c:pt>
                <c:pt idx="10">
                  <c:v>9.5</c:v>
                </c:pt>
                <c:pt idx="11">
                  <c:v>7.5</c:v>
                </c:pt>
                <c:pt idx="12">
                  <c:v>5.5</c:v>
                </c:pt>
                <c:pt idx="13">
                  <c:v>3</c:v>
                </c:pt>
              </c:numCache>
            </c:numRef>
          </c:yVal>
          <c:smooth val="0"/>
          <c:extLst>
            <c:ext xmlns:c15="http://schemas.microsoft.com/office/drawing/2012/chart" uri="{02D57815-91ED-43cb-92C2-25804820EDAC}">
              <c15:datalabelsRange>
                <c15:f>sensitivity!$H$3:$H$16</c15:f>
                <c15:dlblRangeCache>
                  <c:ptCount val="14"/>
                  <c:pt idx="1">
                    <c:v>1.12 (1.02, 1.23)</c:v>
                  </c:pt>
                  <c:pt idx="2">
                    <c:v>1.13 (1.02, 1.24)</c:v>
                  </c:pt>
                  <c:pt idx="3">
                    <c:v>0.89 (0.75, 1.06)</c:v>
                  </c:pt>
                  <c:pt idx="4">
                    <c:v>1.21 (1.08, 1.35)</c:v>
                  </c:pt>
                  <c:pt idx="6">
                    <c:v>1.36 (1.11, 1.67)</c:v>
                  </c:pt>
                  <c:pt idx="7">
                    <c:v>1.18 (1.10, 1.27)</c:v>
                  </c:pt>
                  <c:pt idx="8">
                    <c:v>1.10 (1.04, 1.16)</c:v>
                  </c:pt>
                  <c:pt idx="9">
                    <c:v>1.12 (0.87, 1.43)</c:v>
                  </c:pt>
                  <c:pt idx="10">
                    <c:v>1.20 (0.99, 1.45)</c:v>
                  </c:pt>
                  <c:pt idx="12">
                    <c:v>1.17 (1.05, 1.30)</c:v>
                  </c:pt>
                  <c:pt idx="13">
                    <c:v>1.07 (0.93, 1.24)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1E-0015-49D9-B7FD-A23B359600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30470832"/>
        <c:axId val="2030467920"/>
      </c:scatterChart>
      <c:valAx>
        <c:axId val="2030470832"/>
        <c:scaling>
          <c:orientation val="minMax"/>
          <c:max val="2.1"/>
          <c:min val="0.2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Adjusted Prevalence Ratio</a:t>
                </a:r>
              </a:p>
            </c:rich>
          </c:tx>
          <c:layout>
            <c:manualLayout>
              <c:xMode val="edge"/>
              <c:yMode val="edge"/>
              <c:x val="0.40770938539557022"/>
              <c:y val="0.952281777149637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2030467920"/>
        <c:crossesAt val="0"/>
        <c:crossBetween val="midCat"/>
        <c:majorUnit val="0.5"/>
      </c:valAx>
      <c:valAx>
        <c:axId val="2030467920"/>
        <c:scaling>
          <c:orientation val="minMax"/>
          <c:max val="30"/>
          <c:min val="0"/>
        </c:scaling>
        <c:delete val="0"/>
        <c:axPos val="l"/>
        <c:numFmt formatCode="General" sourceLinked="1"/>
        <c:majorTickMark val="none"/>
        <c:minorTickMark val="none"/>
        <c:tickLblPos val="none"/>
        <c:spPr>
          <a:noFill/>
          <a:ln w="22225" cap="flat" cmpd="sng" algn="ctr">
            <a:solidFill>
              <a:schemeClr val="tx1"/>
            </a:solidFill>
            <a:prstDash val="sysDash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2030470832"/>
        <c:crossesAt val="1"/>
        <c:crossBetween val="midCat"/>
        <c:majorUnit val="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B0ABE-7E8C-4370-9927-911C71E1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1169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Saelee, Ryan (CDC/NCCDPHP/DDT)</dc:creator>
  <cp:keywords/>
  <dc:description/>
  <cp:lastModifiedBy>Saelee, Ryan (CDC/NCCDPHP/DDT)</cp:lastModifiedBy>
  <cp:revision>1</cp:revision>
  <dcterms:created xsi:type="dcterms:W3CDTF">2023-12-03T21:23:00Z</dcterms:created>
  <dcterms:modified xsi:type="dcterms:W3CDTF">2023-12-03T21:28:00Z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2023-12-03T21:28:14Z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b79775f3-d102-4621-a54a-f8b96b76f8ea</vt:lpwstr>
  </property>
  <property fmtid="{D5CDD505-2E9C-101B-9397-08002B2CF9AE}" pid="8" name="MSIP_Label_8af03ff0-41c5-4c41-b55e-fabb8fae94be_ContentBits">
    <vt:lpwstr>0</vt:lpwstr>
  </property>
</Properties>
</file>