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65B2" w14:textId="6E439DA5" w:rsidR="006D176D" w:rsidRPr="00FF6405" w:rsidRDefault="004C3784" w:rsidP="006D176D">
      <w:pPr>
        <w:rPr>
          <w:rFonts w:asciiTheme="minorHAnsi" w:hAnsiTheme="minorHAnsi" w:cstheme="minorHAnsi"/>
        </w:rPr>
      </w:pPr>
      <w:r w:rsidRPr="004C3784">
        <w:rPr>
          <w:rFonts w:asciiTheme="minorHAnsi" w:hAnsiTheme="minorHAnsi" w:cstheme="minorHAnsi"/>
        </w:rPr>
        <w:t>Supplemental Material for Is gastroschisis associated with county-level socio-environmental quality during pregnancy?</w:t>
      </w:r>
    </w:p>
    <w:p w14:paraId="7AD7479C" w14:textId="77777777" w:rsidR="006D176D" w:rsidRPr="00FF6405" w:rsidRDefault="006D176D" w:rsidP="006D176D">
      <w:pPr>
        <w:spacing w:line="360" w:lineRule="auto"/>
        <w:rPr>
          <w:rFonts w:asciiTheme="minorHAnsi" w:hAnsiTheme="minorHAnsi" w:cstheme="minorHAnsi"/>
        </w:rPr>
      </w:pPr>
    </w:p>
    <w:p w14:paraId="2FE325BB" w14:textId="3E12F2C4" w:rsidR="006D176D" w:rsidRPr="00EE30DB" w:rsidRDefault="006D176D" w:rsidP="006D176D">
      <w:pPr>
        <w:pStyle w:val="p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F640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Authors: </w:t>
      </w:r>
      <w:r w:rsidRPr="00EE30DB">
        <w:rPr>
          <w:rFonts w:asciiTheme="minorHAnsi" w:hAnsiTheme="minorHAnsi" w:cstheme="minorHAnsi"/>
          <w:color w:val="000000"/>
          <w:sz w:val="22"/>
          <w:szCs w:val="22"/>
        </w:rPr>
        <w:t xml:space="preserve">Alison K. Krajewski, Achal Patel, Christine L. Gray, Lynne C. Messer, Corinna Y. Keeler, Peter H. Langlois, Jennita Reefhuis, Suzanne M. </w:t>
      </w:r>
      <w:r w:rsidRPr="00CB0AEF">
        <w:rPr>
          <w:rFonts w:asciiTheme="minorHAnsi" w:hAnsiTheme="minorHAnsi" w:cstheme="minorHAnsi"/>
          <w:color w:val="000000"/>
          <w:sz w:val="22"/>
          <w:szCs w:val="22"/>
        </w:rPr>
        <w:t xml:space="preserve">Gilboa, Martha M. </w:t>
      </w:r>
      <w:proofErr w:type="spellStart"/>
      <w:r w:rsidRPr="00CB0AEF">
        <w:rPr>
          <w:rFonts w:asciiTheme="minorHAnsi" w:hAnsiTheme="minorHAnsi" w:cstheme="minorHAnsi"/>
          <w:color w:val="000000"/>
          <w:sz w:val="22"/>
          <w:szCs w:val="22"/>
        </w:rPr>
        <w:t>Werler</w:t>
      </w:r>
      <w:proofErr w:type="spellEnd"/>
      <w:r w:rsidRPr="00CB0AEF">
        <w:rPr>
          <w:rFonts w:asciiTheme="minorHAnsi" w:hAnsiTheme="minorHAnsi" w:cstheme="minorHAnsi"/>
          <w:color w:val="000000"/>
          <w:sz w:val="22"/>
          <w:szCs w:val="22"/>
        </w:rPr>
        <w:t>, Gary</w:t>
      </w:r>
      <w:r w:rsidRPr="00EE30DB">
        <w:rPr>
          <w:rFonts w:asciiTheme="minorHAnsi" w:hAnsiTheme="minorHAnsi" w:cstheme="minorHAnsi"/>
          <w:color w:val="000000"/>
          <w:sz w:val="22"/>
          <w:szCs w:val="22"/>
        </w:rPr>
        <w:t xml:space="preserve"> M. Shaw, Suzan L. Carmichael, Wendy N. Nembhard, Tabassum Z. Insaf, Marcia L. Feldkamp, Kristin M. Conway, Danelle T. Lobdell, Tania A. Desrosiers, and the National Birth Defects Prevention Study</w:t>
      </w:r>
    </w:p>
    <w:p w14:paraId="672622A9" w14:textId="3D0C989E" w:rsidR="004C3784" w:rsidRDefault="004C3784">
      <w:pPr>
        <w:rPr>
          <w:rFonts w:asciiTheme="minorHAnsi" w:hAnsiTheme="minorHAnsi" w:cstheme="minorHAnsi"/>
        </w:rPr>
      </w:pPr>
    </w:p>
    <w:p w14:paraId="2747BC78" w14:textId="0CCE677D" w:rsidR="004C3784" w:rsidRDefault="004C37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Supplemental Table 1: Summary of Data Sources for the 2006-2010 county-level Environmental Quality Index (EQI)</w:t>
      </w:r>
    </w:p>
    <w:p w14:paraId="68A02FCA" w14:textId="77777777" w:rsidR="004C3784" w:rsidRDefault="004C3784">
      <w:pPr>
        <w:rPr>
          <w:rFonts w:asciiTheme="minorHAnsi" w:hAnsiTheme="minorHAnsi" w:cstheme="minorHAnsi"/>
        </w:rPr>
      </w:pPr>
    </w:p>
    <w:p w14:paraId="02963CBE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Supplemental Table 2: Associations between gastroschisis and environmental quality (overall and domain-specific) of maternal county of residence during early pregnancy as measured by the Environmental Quality Index, with adjustment for RUCC, National Birth Defects Prevention Study, 2006-2011.  </w:t>
      </w:r>
    </w:p>
    <w:p w14:paraId="16A65619" w14:textId="0641C937" w:rsidR="004C3784" w:rsidRDefault="004C3784">
      <w:pPr>
        <w:rPr>
          <w:rFonts w:asciiTheme="minorHAnsi" w:hAnsiTheme="minorHAnsi" w:cstheme="minorHAnsi"/>
        </w:rPr>
      </w:pPr>
    </w:p>
    <w:p w14:paraId="7CF0D62D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Supplemental Table 3: Maternal age-stratified associations between gastroschisis and environmental quality (overall and domain-specific) of maternal county of residence during early pregnancy as measured by the Environmental Quality Index with adjustment for RUCC, National Birth Defects Prevention Study, 2006-2011.  </w:t>
      </w:r>
    </w:p>
    <w:p w14:paraId="24D0E513" w14:textId="77777777" w:rsidR="004C3784" w:rsidRDefault="004C3784">
      <w:pPr>
        <w:rPr>
          <w:rFonts w:asciiTheme="minorHAnsi" w:hAnsiTheme="minorHAnsi" w:cstheme="minorHAnsi"/>
        </w:rPr>
      </w:pPr>
    </w:p>
    <w:p w14:paraId="53CB3B33" w14:textId="36AAFC6E" w:rsidR="004C3784" w:rsidRDefault="004C3784">
      <w:pPr>
        <w:rPr>
          <w:rFonts w:asciiTheme="minorHAnsi" w:hAnsiTheme="minorHAnsi" w:cstheme="minorHAnsi"/>
        </w:rPr>
      </w:pPr>
    </w:p>
    <w:p w14:paraId="7013C4EA" w14:textId="77777777" w:rsidR="004C3784" w:rsidRDefault="004C37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B525291" w14:textId="3E55791B" w:rsidR="004C3784" w:rsidRDefault="004C3784" w:rsidP="004C37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Supplemental Table 1: Summary of Data Sources for the 2006-2010 county-level Environmental Quality Index (EQI)</w:t>
      </w:r>
    </w:p>
    <w:p w14:paraId="3036547A" w14:textId="77777777" w:rsidR="004C3784" w:rsidRDefault="004C3784" w:rsidP="004C3784">
      <w:pPr>
        <w:rPr>
          <w:rFonts w:asciiTheme="minorHAnsi" w:hAnsiTheme="minorHAnsi" w:cstheme="minorHAnsi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C3784" w:rsidRPr="00243847" w14:paraId="33ECC92B" w14:textId="77777777" w:rsidTr="004C3784">
        <w:trPr>
          <w:trHeight w:val="264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0F5" w14:textId="77777777" w:rsidR="004C3784" w:rsidRPr="00243847" w:rsidRDefault="004C3784" w:rsidP="00B75335">
            <w:pPr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3847">
              <w:rPr>
                <w:rFonts w:eastAsia="Times New Roman"/>
                <w:b/>
                <w:bCs/>
                <w:color w:val="000000"/>
                <w:sz w:val="20"/>
              </w:rPr>
              <w:t>Air Domain</w:t>
            </w:r>
          </w:p>
        </w:tc>
      </w:tr>
      <w:tr w:rsidR="004C3784" w:rsidRPr="00243847" w14:paraId="570DD904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3903" w14:textId="77777777" w:rsidR="004C3784" w:rsidRPr="00243847" w:rsidRDefault="004C3784" w:rsidP="00B75335">
            <w:pPr>
              <w:ind w:firstLineChars="100" w:firstLine="2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43 variables representing criteria and hazardous air pollutants</w:t>
            </w:r>
          </w:p>
        </w:tc>
      </w:tr>
      <w:tr w:rsidR="004C3784" w:rsidRPr="00243847" w14:paraId="6BA4EE70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FBF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EPA Air Quality System (AQS)</w:t>
            </w:r>
          </w:p>
        </w:tc>
      </w:tr>
      <w:tr w:rsidR="004C3784" w:rsidRPr="00243847" w14:paraId="373F4CAE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268A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National Air Toxics Assessment (NATA)</w:t>
            </w:r>
          </w:p>
        </w:tc>
      </w:tr>
      <w:tr w:rsidR="004C3784" w:rsidRPr="00243847" w14:paraId="10B397F0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32B" w14:textId="77777777" w:rsidR="004C3784" w:rsidRPr="00243847" w:rsidRDefault="004C3784" w:rsidP="00B75335">
            <w:pPr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3847">
              <w:rPr>
                <w:rFonts w:eastAsia="Times New Roman"/>
                <w:b/>
                <w:bCs/>
                <w:color w:val="000000"/>
                <w:sz w:val="20"/>
              </w:rPr>
              <w:t>Water Domain</w:t>
            </w:r>
          </w:p>
        </w:tc>
      </w:tr>
      <w:tr w:rsidR="004C3784" w:rsidRPr="00243847" w14:paraId="14585C3B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852" w14:textId="77777777" w:rsidR="004C3784" w:rsidRPr="00243847" w:rsidRDefault="004C3784" w:rsidP="00B75335">
            <w:pPr>
              <w:ind w:firstLineChars="100" w:firstLine="2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51 variables representing overall water quality, general water contamination, recreational water quality, drinking water quality, atmospheric deposition, drought, and chemical contamination</w:t>
            </w:r>
          </w:p>
        </w:tc>
      </w:tr>
      <w:tr w:rsidR="004C3784" w:rsidRPr="00243847" w14:paraId="7F2CAA68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0021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Watershed Assessment, Tracking &amp; Environmental Results Database (WATERS)</w:t>
            </w:r>
          </w:p>
        </w:tc>
      </w:tr>
      <w:tr w:rsidR="004C3784" w:rsidRPr="00243847" w14:paraId="5AFB9F17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4F5D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National Contaminant Occurrence Database (NCOD)</w:t>
            </w:r>
          </w:p>
        </w:tc>
      </w:tr>
      <w:tr w:rsidR="004C3784" w:rsidRPr="00243847" w14:paraId="3234AC13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C63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National Atmospheric Deposition Program (NADP)</w:t>
            </w:r>
          </w:p>
        </w:tc>
      </w:tr>
      <w:tr w:rsidR="004C3784" w:rsidRPr="00243847" w14:paraId="6718D244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1E4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Water Use Estimates</w:t>
            </w:r>
          </w:p>
        </w:tc>
      </w:tr>
      <w:tr w:rsidR="004C3784" w:rsidRPr="00243847" w14:paraId="52E4BA43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5DC2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Drought Monitor Data</w:t>
            </w:r>
          </w:p>
        </w:tc>
      </w:tr>
      <w:tr w:rsidR="004C3784" w:rsidRPr="00243847" w14:paraId="0FDA0342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6D90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Safe Drinking Water Information System (SDWIS)</w:t>
            </w:r>
          </w:p>
        </w:tc>
      </w:tr>
      <w:tr w:rsidR="004C3784" w:rsidRPr="00243847" w14:paraId="7217732D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B91" w14:textId="77777777" w:rsidR="004C3784" w:rsidRPr="00243847" w:rsidRDefault="004C3784" w:rsidP="00B75335">
            <w:pPr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3847">
              <w:rPr>
                <w:rFonts w:eastAsia="Times New Roman"/>
                <w:b/>
                <w:bCs/>
                <w:color w:val="000000"/>
                <w:sz w:val="20"/>
              </w:rPr>
              <w:t>Land Domain</w:t>
            </w:r>
          </w:p>
        </w:tc>
      </w:tr>
      <w:tr w:rsidR="004C3784" w:rsidRPr="00243847" w14:paraId="11E9175A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CD2" w14:textId="77777777" w:rsidR="004C3784" w:rsidRPr="00243847" w:rsidRDefault="004C3784" w:rsidP="00B75335">
            <w:pPr>
              <w:ind w:firstLineChars="100" w:firstLine="2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18 variables representing agriculture, pesticides, contaminants, facilities, and radon</w:t>
            </w:r>
          </w:p>
        </w:tc>
      </w:tr>
      <w:tr w:rsidR="004C3784" w:rsidRPr="00243847" w14:paraId="28F96306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A0FA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National Pesticide Use Database</w:t>
            </w:r>
          </w:p>
        </w:tc>
      </w:tr>
      <w:tr w:rsidR="004C3784" w:rsidRPr="00243847" w14:paraId="1EE27E78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AC9C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2007 Census of Agriculture Full Report (Ag Census)</w:t>
            </w:r>
          </w:p>
        </w:tc>
      </w:tr>
      <w:tr w:rsidR="004C3784" w:rsidRPr="00243847" w14:paraId="7B944183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71FF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EPA Geospatial Data Download Service</w:t>
            </w:r>
          </w:p>
        </w:tc>
      </w:tr>
      <w:tr w:rsidR="004C3784" w:rsidRPr="00243847" w14:paraId="4935B926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4CA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Maps of Radon Zones</w:t>
            </w:r>
          </w:p>
        </w:tc>
      </w:tr>
      <w:tr w:rsidR="004C3784" w:rsidRPr="00243847" w14:paraId="5AD79324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063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Mine Safety and Health Administrations Mines Data Set</w:t>
            </w:r>
          </w:p>
        </w:tc>
      </w:tr>
      <w:tr w:rsidR="004C3784" w:rsidRPr="00243847" w14:paraId="4E523418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A95E" w14:textId="77777777" w:rsidR="004C3784" w:rsidRPr="00243847" w:rsidRDefault="004C3784" w:rsidP="00B75335">
            <w:pPr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3847">
              <w:rPr>
                <w:rFonts w:eastAsia="Times New Roman"/>
                <w:b/>
                <w:bCs/>
                <w:color w:val="000000"/>
                <w:sz w:val="20"/>
              </w:rPr>
              <w:t>Sociodemographic Domain</w:t>
            </w:r>
          </w:p>
        </w:tc>
      </w:tr>
      <w:tr w:rsidR="004C3784" w:rsidRPr="00243847" w14:paraId="5C3B7A84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585B" w14:textId="77777777" w:rsidR="004C3784" w:rsidRPr="00243847" w:rsidRDefault="004C3784" w:rsidP="00B75335">
            <w:pPr>
              <w:ind w:firstLineChars="100" w:firstLine="2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12 variables representing socioeconomics and crime</w:t>
            </w:r>
          </w:p>
        </w:tc>
      </w:tr>
      <w:tr w:rsidR="004C3784" w:rsidRPr="00243847" w14:paraId="2A0C2943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0386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2010 U.S. Census</w:t>
            </w:r>
          </w:p>
        </w:tc>
      </w:tr>
      <w:tr w:rsidR="004C3784" w:rsidRPr="00243847" w14:paraId="69C66125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B34D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Uniform crime reports</w:t>
            </w:r>
          </w:p>
        </w:tc>
      </w:tr>
      <w:tr w:rsidR="004C3784" w:rsidRPr="00243847" w14:paraId="0F2E9E4B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FEA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 xml:space="preserve">o   </w:t>
            </w:r>
            <w:proofErr w:type="spellStart"/>
            <w:r w:rsidRPr="00243847">
              <w:rPr>
                <w:rFonts w:eastAsia="Times New Roman"/>
                <w:color w:val="000000"/>
                <w:sz w:val="20"/>
              </w:rPr>
              <w:t>Leip’s</w:t>
            </w:r>
            <w:proofErr w:type="spellEnd"/>
            <w:r w:rsidRPr="00243847">
              <w:rPr>
                <w:rFonts w:eastAsia="Times New Roman"/>
                <w:color w:val="000000"/>
                <w:sz w:val="20"/>
              </w:rPr>
              <w:t xml:space="preserve"> Atlas of United States Presidential Elections</w:t>
            </w:r>
          </w:p>
        </w:tc>
      </w:tr>
      <w:tr w:rsidR="004C3784" w:rsidRPr="00243847" w14:paraId="3B3EABE9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782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United States Department of Agriculture Economic Research Service Creative Class County Codes</w:t>
            </w:r>
          </w:p>
        </w:tc>
      </w:tr>
      <w:tr w:rsidR="004C3784" w:rsidRPr="00243847" w14:paraId="6F97A2A1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0A2" w14:textId="77777777" w:rsidR="004C3784" w:rsidRPr="00243847" w:rsidRDefault="004C3784" w:rsidP="00B75335">
            <w:pPr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243847">
              <w:rPr>
                <w:rFonts w:eastAsia="Times New Roman"/>
                <w:b/>
                <w:bCs/>
                <w:color w:val="000000"/>
                <w:sz w:val="20"/>
              </w:rPr>
              <w:t>Built Domain</w:t>
            </w:r>
          </w:p>
        </w:tc>
      </w:tr>
      <w:tr w:rsidR="004C3784" w:rsidRPr="00243847" w14:paraId="6973A564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FD64" w14:textId="77777777" w:rsidR="004C3784" w:rsidRPr="00243847" w:rsidRDefault="004C3784" w:rsidP="00B75335">
            <w:pPr>
              <w:ind w:firstLineChars="100" w:firstLine="2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15 variables representing roads, highway/road safety, public transit behavior, business environment, and subsidized housing environment</w:t>
            </w:r>
          </w:p>
        </w:tc>
      </w:tr>
      <w:tr w:rsidR="004C3784" w:rsidRPr="00243847" w14:paraId="5F4F1A3F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2C9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Duns and Bradstreet North American Industry Classification System (NAICS) Codes</w:t>
            </w:r>
          </w:p>
        </w:tc>
      </w:tr>
      <w:tr w:rsidR="004C3784" w:rsidRPr="00243847" w14:paraId="647C46DE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C9AF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Topologically Integrated Geographic Encoding and Referencing (TIGER) Data and NAVTEQ streets</w:t>
            </w:r>
          </w:p>
        </w:tc>
      </w:tr>
      <w:tr w:rsidR="004C3784" w:rsidRPr="00243847" w14:paraId="34EB4E2F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C13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Fatality Annual Reporting System</w:t>
            </w:r>
          </w:p>
        </w:tc>
      </w:tr>
      <w:tr w:rsidR="004C3784" w:rsidRPr="00243847" w14:paraId="5A8CCC37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2D47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Housing and Urban Development</w:t>
            </w:r>
          </w:p>
        </w:tc>
      </w:tr>
      <w:tr w:rsidR="004C3784" w:rsidRPr="00243847" w14:paraId="55812D44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87F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United States Census</w:t>
            </w:r>
          </w:p>
        </w:tc>
      </w:tr>
      <w:tr w:rsidR="004C3784" w:rsidRPr="00243847" w14:paraId="7395C6AA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7094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 xml:space="preserve">o   </w:t>
            </w:r>
            <w:proofErr w:type="spellStart"/>
            <w:r w:rsidRPr="00243847">
              <w:rPr>
                <w:rFonts w:eastAsia="Times New Roman"/>
                <w:color w:val="000000"/>
                <w:sz w:val="20"/>
              </w:rPr>
              <w:t>EnviroAtlas</w:t>
            </w:r>
            <w:proofErr w:type="spellEnd"/>
            <w:r w:rsidRPr="00243847">
              <w:rPr>
                <w:rFonts w:eastAsia="Times New Roman"/>
                <w:color w:val="000000"/>
                <w:sz w:val="20"/>
              </w:rPr>
              <w:t xml:space="preserve"> Green space</w:t>
            </w:r>
          </w:p>
        </w:tc>
      </w:tr>
      <w:tr w:rsidR="004C3784" w:rsidRPr="00243847" w14:paraId="37DD48AC" w14:textId="77777777" w:rsidTr="004C3784">
        <w:trPr>
          <w:trHeight w:val="264"/>
        </w:trPr>
        <w:tc>
          <w:tcPr>
            <w:tcW w:w="9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4CFC" w14:textId="77777777" w:rsidR="004C3784" w:rsidRPr="00243847" w:rsidRDefault="004C3784" w:rsidP="00B75335">
            <w:pPr>
              <w:ind w:firstLineChars="200" w:firstLine="400"/>
              <w:rPr>
                <w:rFonts w:eastAsia="Times New Roman"/>
                <w:color w:val="000000"/>
                <w:sz w:val="20"/>
              </w:rPr>
            </w:pPr>
            <w:r w:rsidRPr="00243847">
              <w:rPr>
                <w:rFonts w:eastAsia="Times New Roman"/>
                <w:color w:val="000000"/>
                <w:sz w:val="20"/>
              </w:rPr>
              <w:t>o   EPA's National Walkability Index (NWI)</w:t>
            </w:r>
          </w:p>
        </w:tc>
      </w:tr>
    </w:tbl>
    <w:p w14:paraId="3F39C241" w14:textId="77777777" w:rsidR="004C3784" w:rsidRDefault="004C3784" w:rsidP="004C37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5DE144D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Supplemental Table 2: Associations between gastroschisis and environmental quality (overall and domain-specific) of maternal county of residence during early pregnancy as measured by the Environmental Quality Index, with adjustment for RUCC, National Birth Defects Prevention Study, 2006-2011.  </w:t>
      </w:r>
    </w:p>
    <w:p w14:paraId="53BD9BE6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810"/>
        <w:gridCol w:w="810"/>
        <w:gridCol w:w="900"/>
        <w:gridCol w:w="805"/>
        <w:gridCol w:w="1572"/>
        <w:gridCol w:w="1573"/>
      </w:tblGrid>
      <w:tr w:rsidR="004C3784" w14:paraId="03861476" w14:textId="77777777" w:rsidTr="00B75335">
        <w:tc>
          <w:tcPr>
            <w:tcW w:w="2880" w:type="dxa"/>
          </w:tcPr>
          <w:p w14:paraId="2C129CCC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61161A9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806326D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10C93BD8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1309827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6EDE12F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588BBAB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1C12C1FF" w14:textId="77777777" w:rsidTr="00B75335">
        <w:tc>
          <w:tcPr>
            <w:tcW w:w="2880" w:type="dxa"/>
          </w:tcPr>
          <w:p w14:paraId="49CBA585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</w:tcPr>
          <w:p w14:paraId="2499B11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Cases</w:t>
            </w:r>
          </w:p>
          <w:p w14:paraId="372A932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(n=594)</w:t>
            </w:r>
          </w:p>
        </w:tc>
        <w:tc>
          <w:tcPr>
            <w:tcW w:w="1705" w:type="dxa"/>
            <w:gridSpan w:val="2"/>
            <w:tcBorders>
              <w:top w:val="nil"/>
              <w:bottom w:val="single" w:sz="4" w:space="0" w:color="auto"/>
            </w:tcBorders>
          </w:tcPr>
          <w:p w14:paraId="775CC91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Controls (n=4105)</w:t>
            </w:r>
          </w:p>
        </w:tc>
        <w:tc>
          <w:tcPr>
            <w:tcW w:w="1572" w:type="dxa"/>
            <w:tcBorders>
              <w:top w:val="nil"/>
              <w:bottom w:val="single" w:sz="4" w:space="0" w:color="auto"/>
            </w:tcBorders>
          </w:tcPr>
          <w:p w14:paraId="3D9B437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8B48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 (95% CI)</w:t>
            </w:r>
          </w:p>
        </w:tc>
        <w:tc>
          <w:tcPr>
            <w:tcW w:w="1573" w:type="dxa"/>
            <w:tcBorders>
              <w:top w:val="nil"/>
              <w:bottom w:val="single" w:sz="4" w:space="0" w:color="auto"/>
            </w:tcBorders>
          </w:tcPr>
          <w:p w14:paraId="19B1852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D8C7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* (95% CI)</w:t>
            </w:r>
          </w:p>
        </w:tc>
      </w:tr>
      <w:tr w:rsidR="004C3784" w14:paraId="0AEC3C13" w14:textId="77777777" w:rsidTr="00B75335">
        <w:tc>
          <w:tcPr>
            <w:tcW w:w="2880" w:type="dxa"/>
          </w:tcPr>
          <w:p w14:paraId="16A9046B" w14:textId="77777777" w:rsidR="004C3784" w:rsidRPr="00F30FF0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Overall </w:t>
            </w: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EQI 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6D1B39DC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887A794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734BFF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5DB45EF5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</w:tcPr>
          <w:p w14:paraId="6BABD81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A8E94B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234A2A98" w14:textId="77777777" w:rsidTr="00B75335">
        <w:tc>
          <w:tcPr>
            <w:tcW w:w="2880" w:type="dxa"/>
          </w:tcPr>
          <w:p w14:paraId="23C96797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810" w:type="dxa"/>
          </w:tcPr>
          <w:p w14:paraId="0097D8A9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94 </w:t>
            </w:r>
          </w:p>
        </w:tc>
        <w:tc>
          <w:tcPr>
            <w:tcW w:w="810" w:type="dxa"/>
          </w:tcPr>
          <w:p w14:paraId="5C5F85D6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(15.8)</w:t>
            </w:r>
          </w:p>
        </w:tc>
        <w:tc>
          <w:tcPr>
            <w:tcW w:w="900" w:type="dxa"/>
          </w:tcPr>
          <w:p w14:paraId="579E56A8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763 </w:t>
            </w:r>
          </w:p>
        </w:tc>
        <w:tc>
          <w:tcPr>
            <w:tcW w:w="805" w:type="dxa"/>
          </w:tcPr>
          <w:p w14:paraId="706F504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(18.6)</w:t>
            </w:r>
          </w:p>
        </w:tc>
        <w:tc>
          <w:tcPr>
            <w:tcW w:w="1572" w:type="dxa"/>
          </w:tcPr>
          <w:p w14:paraId="7966DD0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573" w:type="dxa"/>
          </w:tcPr>
          <w:p w14:paraId="7A3A227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Reference </w:t>
            </w:r>
          </w:p>
        </w:tc>
      </w:tr>
      <w:tr w:rsidR="004C3784" w14:paraId="29EB5E4B" w14:textId="77777777" w:rsidTr="00B75335">
        <w:tc>
          <w:tcPr>
            <w:tcW w:w="2880" w:type="dxa"/>
          </w:tcPr>
          <w:p w14:paraId="6F50D59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810" w:type="dxa"/>
          </w:tcPr>
          <w:p w14:paraId="0B1E1F67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235 </w:t>
            </w:r>
          </w:p>
        </w:tc>
        <w:tc>
          <w:tcPr>
            <w:tcW w:w="810" w:type="dxa"/>
          </w:tcPr>
          <w:p w14:paraId="1DA7727C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(39.6)</w:t>
            </w:r>
          </w:p>
        </w:tc>
        <w:tc>
          <w:tcPr>
            <w:tcW w:w="900" w:type="dxa"/>
          </w:tcPr>
          <w:p w14:paraId="3BDFBE23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1596 </w:t>
            </w:r>
          </w:p>
        </w:tc>
        <w:tc>
          <w:tcPr>
            <w:tcW w:w="805" w:type="dxa"/>
          </w:tcPr>
          <w:p w14:paraId="118E1C4F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(38.9)</w:t>
            </w:r>
          </w:p>
        </w:tc>
        <w:tc>
          <w:tcPr>
            <w:tcW w:w="1572" w:type="dxa"/>
          </w:tcPr>
          <w:p w14:paraId="13E0C324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1.5)</w:t>
            </w:r>
          </w:p>
        </w:tc>
        <w:tc>
          <w:tcPr>
            <w:tcW w:w="1573" w:type="dxa"/>
          </w:tcPr>
          <w:p w14:paraId="30AAF7A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2ABE80C3" w14:textId="77777777" w:rsidTr="00B75335">
        <w:tc>
          <w:tcPr>
            <w:tcW w:w="2880" w:type="dxa"/>
          </w:tcPr>
          <w:p w14:paraId="458D258F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810" w:type="dxa"/>
          </w:tcPr>
          <w:p w14:paraId="52E6AF46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265 </w:t>
            </w:r>
          </w:p>
        </w:tc>
        <w:tc>
          <w:tcPr>
            <w:tcW w:w="810" w:type="dxa"/>
          </w:tcPr>
          <w:p w14:paraId="76DEDF7A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(44.6)</w:t>
            </w:r>
          </w:p>
        </w:tc>
        <w:tc>
          <w:tcPr>
            <w:tcW w:w="900" w:type="dxa"/>
          </w:tcPr>
          <w:p w14:paraId="5F303D5C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1746 </w:t>
            </w:r>
          </w:p>
        </w:tc>
        <w:tc>
          <w:tcPr>
            <w:tcW w:w="805" w:type="dxa"/>
          </w:tcPr>
          <w:p w14:paraId="58AEDDF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(42.5)</w:t>
            </w:r>
          </w:p>
        </w:tc>
        <w:tc>
          <w:tcPr>
            <w:tcW w:w="1572" w:type="dxa"/>
          </w:tcPr>
          <w:p w14:paraId="4785597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0.96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61C702A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515DBA12" w14:textId="77777777" w:rsidTr="00B75335">
        <w:tc>
          <w:tcPr>
            <w:tcW w:w="2880" w:type="dxa"/>
          </w:tcPr>
          <w:p w14:paraId="695E917A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BFFF0F3" w14:textId="77777777" w:rsidR="004C3784" w:rsidRPr="00F30FF0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Air domain</w:t>
            </w:r>
          </w:p>
        </w:tc>
        <w:tc>
          <w:tcPr>
            <w:tcW w:w="810" w:type="dxa"/>
          </w:tcPr>
          <w:p w14:paraId="54CB8F3D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0" w:type="dxa"/>
          </w:tcPr>
          <w:p w14:paraId="204305D5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6437AB8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05" w:type="dxa"/>
          </w:tcPr>
          <w:p w14:paraId="25C7C37B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2" w:type="dxa"/>
          </w:tcPr>
          <w:p w14:paraId="7BA308F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389BF04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6F50F9F2" w14:textId="77777777" w:rsidTr="00B75335">
        <w:tc>
          <w:tcPr>
            <w:tcW w:w="2880" w:type="dxa"/>
          </w:tcPr>
          <w:p w14:paraId="13B81C0F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810" w:type="dxa"/>
          </w:tcPr>
          <w:p w14:paraId="191924EC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226 </w:t>
            </w:r>
          </w:p>
        </w:tc>
        <w:tc>
          <w:tcPr>
            <w:tcW w:w="810" w:type="dxa"/>
          </w:tcPr>
          <w:p w14:paraId="74AA316C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(38.1)</w:t>
            </w:r>
          </w:p>
        </w:tc>
        <w:tc>
          <w:tcPr>
            <w:tcW w:w="900" w:type="dxa"/>
          </w:tcPr>
          <w:p w14:paraId="4036E536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1586 </w:t>
            </w:r>
          </w:p>
        </w:tc>
        <w:tc>
          <w:tcPr>
            <w:tcW w:w="805" w:type="dxa"/>
          </w:tcPr>
          <w:p w14:paraId="15040E87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(38.6)</w:t>
            </w:r>
          </w:p>
        </w:tc>
        <w:tc>
          <w:tcPr>
            <w:tcW w:w="1572" w:type="dxa"/>
          </w:tcPr>
          <w:p w14:paraId="57AE169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Reference </w:t>
            </w:r>
          </w:p>
        </w:tc>
        <w:tc>
          <w:tcPr>
            <w:tcW w:w="1573" w:type="dxa"/>
          </w:tcPr>
          <w:p w14:paraId="4CA4F4D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25B3CEE5" w14:textId="77777777" w:rsidTr="00B75335">
        <w:tc>
          <w:tcPr>
            <w:tcW w:w="2880" w:type="dxa"/>
          </w:tcPr>
          <w:p w14:paraId="1091BB1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810" w:type="dxa"/>
          </w:tcPr>
          <w:p w14:paraId="41C24248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213 </w:t>
            </w:r>
          </w:p>
        </w:tc>
        <w:tc>
          <w:tcPr>
            <w:tcW w:w="810" w:type="dxa"/>
          </w:tcPr>
          <w:p w14:paraId="5475AC75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(35.9)</w:t>
            </w:r>
          </w:p>
        </w:tc>
        <w:tc>
          <w:tcPr>
            <w:tcW w:w="900" w:type="dxa"/>
          </w:tcPr>
          <w:p w14:paraId="4165D859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1312 </w:t>
            </w:r>
          </w:p>
        </w:tc>
        <w:tc>
          <w:tcPr>
            <w:tcW w:w="805" w:type="dxa"/>
          </w:tcPr>
          <w:p w14:paraId="7B29B1FC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(32.0)</w:t>
            </w:r>
          </w:p>
        </w:tc>
        <w:tc>
          <w:tcPr>
            <w:tcW w:w="1572" w:type="dxa"/>
          </w:tcPr>
          <w:p w14:paraId="099E00B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0D8E432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9, 1.4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00B2F4F8" w14:textId="77777777" w:rsidTr="00B75335">
        <w:tc>
          <w:tcPr>
            <w:tcW w:w="2880" w:type="dxa"/>
          </w:tcPr>
          <w:p w14:paraId="7E14EDD8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810" w:type="dxa"/>
          </w:tcPr>
          <w:p w14:paraId="03F582B1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155 </w:t>
            </w:r>
          </w:p>
        </w:tc>
        <w:tc>
          <w:tcPr>
            <w:tcW w:w="810" w:type="dxa"/>
          </w:tcPr>
          <w:p w14:paraId="7CA3604B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(26.1)</w:t>
            </w:r>
          </w:p>
        </w:tc>
        <w:tc>
          <w:tcPr>
            <w:tcW w:w="900" w:type="dxa"/>
          </w:tcPr>
          <w:p w14:paraId="22B20C97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1207 </w:t>
            </w:r>
          </w:p>
        </w:tc>
        <w:tc>
          <w:tcPr>
            <w:tcW w:w="805" w:type="dxa"/>
          </w:tcPr>
          <w:p w14:paraId="2399D3B3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(29.4)</w:t>
            </w:r>
          </w:p>
        </w:tc>
        <w:tc>
          <w:tcPr>
            <w:tcW w:w="1572" w:type="dxa"/>
          </w:tcPr>
          <w:p w14:paraId="5F5B418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4AECFD0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4875117E" w14:textId="77777777" w:rsidTr="00B75335">
        <w:tc>
          <w:tcPr>
            <w:tcW w:w="2880" w:type="dxa"/>
          </w:tcPr>
          <w:p w14:paraId="6C6C8D4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B73FB8A" w14:textId="77777777" w:rsidR="004C3784" w:rsidRPr="00F30FF0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Water domain</w:t>
            </w:r>
          </w:p>
        </w:tc>
        <w:tc>
          <w:tcPr>
            <w:tcW w:w="810" w:type="dxa"/>
          </w:tcPr>
          <w:p w14:paraId="4B85A4FD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0" w:type="dxa"/>
          </w:tcPr>
          <w:p w14:paraId="61175F2A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8AAC59E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05" w:type="dxa"/>
          </w:tcPr>
          <w:p w14:paraId="2A6C25CD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2" w:type="dxa"/>
          </w:tcPr>
          <w:p w14:paraId="11F2F66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30E47BF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3674C998" w14:textId="77777777" w:rsidTr="00B75335">
        <w:tc>
          <w:tcPr>
            <w:tcW w:w="2880" w:type="dxa"/>
          </w:tcPr>
          <w:p w14:paraId="4E2CE949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810" w:type="dxa"/>
          </w:tcPr>
          <w:p w14:paraId="2BFE7F8B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62 </w:t>
            </w:r>
          </w:p>
        </w:tc>
        <w:tc>
          <w:tcPr>
            <w:tcW w:w="810" w:type="dxa"/>
          </w:tcPr>
          <w:p w14:paraId="5D6FD228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(10.4)</w:t>
            </w:r>
          </w:p>
        </w:tc>
        <w:tc>
          <w:tcPr>
            <w:tcW w:w="900" w:type="dxa"/>
          </w:tcPr>
          <w:p w14:paraId="25DE407E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462 </w:t>
            </w:r>
          </w:p>
        </w:tc>
        <w:tc>
          <w:tcPr>
            <w:tcW w:w="805" w:type="dxa"/>
          </w:tcPr>
          <w:p w14:paraId="5A5CF43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(11.3)</w:t>
            </w:r>
          </w:p>
        </w:tc>
        <w:tc>
          <w:tcPr>
            <w:tcW w:w="1572" w:type="dxa"/>
          </w:tcPr>
          <w:p w14:paraId="3B10F48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573" w:type="dxa"/>
          </w:tcPr>
          <w:p w14:paraId="148110F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3D58D5A2" w14:textId="77777777" w:rsidTr="00B75335">
        <w:tc>
          <w:tcPr>
            <w:tcW w:w="2880" w:type="dxa"/>
          </w:tcPr>
          <w:p w14:paraId="39669B58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810" w:type="dxa"/>
          </w:tcPr>
          <w:p w14:paraId="3062519E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178 </w:t>
            </w:r>
          </w:p>
        </w:tc>
        <w:tc>
          <w:tcPr>
            <w:tcW w:w="810" w:type="dxa"/>
          </w:tcPr>
          <w:p w14:paraId="46E1DB49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(30.0)</w:t>
            </w:r>
          </w:p>
        </w:tc>
        <w:tc>
          <w:tcPr>
            <w:tcW w:w="900" w:type="dxa"/>
          </w:tcPr>
          <w:p w14:paraId="61A664E5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1356 </w:t>
            </w:r>
          </w:p>
        </w:tc>
        <w:tc>
          <w:tcPr>
            <w:tcW w:w="805" w:type="dxa"/>
          </w:tcPr>
          <w:p w14:paraId="47799C2D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(33.0)</w:t>
            </w:r>
          </w:p>
        </w:tc>
        <w:tc>
          <w:tcPr>
            <w:tcW w:w="1572" w:type="dxa"/>
          </w:tcPr>
          <w:p w14:paraId="1F69554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0.8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26F919A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60C517EC" w14:textId="77777777" w:rsidTr="00B75335">
        <w:tc>
          <w:tcPr>
            <w:tcW w:w="2880" w:type="dxa"/>
          </w:tcPr>
          <w:p w14:paraId="14087EC5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810" w:type="dxa"/>
          </w:tcPr>
          <w:p w14:paraId="24F41A05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354 </w:t>
            </w:r>
          </w:p>
        </w:tc>
        <w:tc>
          <w:tcPr>
            <w:tcW w:w="810" w:type="dxa"/>
          </w:tcPr>
          <w:p w14:paraId="4396EC1C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(59.6)</w:t>
            </w:r>
          </w:p>
        </w:tc>
        <w:tc>
          <w:tcPr>
            <w:tcW w:w="900" w:type="dxa"/>
          </w:tcPr>
          <w:p w14:paraId="0FECD427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2287 </w:t>
            </w:r>
          </w:p>
        </w:tc>
        <w:tc>
          <w:tcPr>
            <w:tcW w:w="805" w:type="dxa"/>
          </w:tcPr>
          <w:p w14:paraId="0B9397D0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(55.7)</w:t>
            </w:r>
          </w:p>
        </w:tc>
        <w:tc>
          <w:tcPr>
            <w:tcW w:w="1572" w:type="dxa"/>
          </w:tcPr>
          <w:p w14:paraId="3833D084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36D33C8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8, 1.5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682F9845" w14:textId="77777777" w:rsidTr="00B75335">
        <w:tc>
          <w:tcPr>
            <w:tcW w:w="2880" w:type="dxa"/>
          </w:tcPr>
          <w:p w14:paraId="0433AAA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D25998F" w14:textId="77777777" w:rsidR="004C3784" w:rsidRPr="00F30FF0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Land domain</w:t>
            </w:r>
          </w:p>
        </w:tc>
        <w:tc>
          <w:tcPr>
            <w:tcW w:w="810" w:type="dxa"/>
          </w:tcPr>
          <w:p w14:paraId="3680F032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0" w:type="dxa"/>
          </w:tcPr>
          <w:p w14:paraId="0B8B8190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1F62B29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05" w:type="dxa"/>
          </w:tcPr>
          <w:p w14:paraId="5BE28010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2" w:type="dxa"/>
          </w:tcPr>
          <w:p w14:paraId="1B57BA3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0F8E7BC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6118B821" w14:textId="77777777" w:rsidTr="00B75335">
        <w:tc>
          <w:tcPr>
            <w:tcW w:w="2880" w:type="dxa"/>
          </w:tcPr>
          <w:p w14:paraId="04F18F7F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810" w:type="dxa"/>
          </w:tcPr>
          <w:p w14:paraId="421ABB5A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205 </w:t>
            </w:r>
          </w:p>
        </w:tc>
        <w:tc>
          <w:tcPr>
            <w:tcW w:w="810" w:type="dxa"/>
          </w:tcPr>
          <w:p w14:paraId="169238B9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(34.5)</w:t>
            </w:r>
          </w:p>
        </w:tc>
        <w:tc>
          <w:tcPr>
            <w:tcW w:w="900" w:type="dxa"/>
          </w:tcPr>
          <w:p w14:paraId="0296E08F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1574</w:t>
            </w:r>
          </w:p>
        </w:tc>
        <w:tc>
          <w:tcPr>
            <w:tcW w:w="805" w:type="dxa"/>
          </w:tcPr>
          <w:p w14:paraId="71318F2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(38.3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2" w:type="dxa"/>
          </w:tcPr>
          <w:p w14:paraId="154D0C9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573" w:type="dxa"/>
          </w:tcPr>
          <w:p w14:paraId="47E96D7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45828685" w14:textId="77777777" w:rsidTr="00B75335">
        <w:tc>
          <w:tcPr>
            <w:tcW w:w="2880" w:type="dxa"/>
          </w:tcPr>
          <w:p w14:paraId="0C5CC4A6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810" w:type="dxa"/>
          </w:tcPr>
          <w:p w14:paraId="5DF0D50B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146 </w:t>
            </w:r>
          </w:p>
        </w:tc>
        <w:tc>
          <w:tcPr>
            <w:tcW w:w="810" w:type="dxa"/>
          </w:tcPr>
          <w:p w14:paraId="7B29DE6F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(24.6)</w:t>
            </w:r>
          </w:p>
        </w:tc>
        <w:tc>
          <w:tcPr>
            <w:tcW w:w="900" w:type="dxa"/>
          </w:tcPr>
          <w:p w14:paraId="1047478E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1189 </w:t>
            </w:r>
          </w:p>
        </w:tc>
        <w:tc>
          <w:tcPr>
            <w:tcW w:w="805" w:type="dxa"/>
          </w:tcPr>
          <w:p w14:paraId="1990D68C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(29.0)</w:t>
            </w:r>
          </w:p>
        </w:tc>
        <w:tc>
          <w:tcPr>
            <w:tcW w:w="1572" w:type="dxa"/>
          </w:tcPr>
          <w:p w14:paraId="6483890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252CDF6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86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7, 1.1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49428576" w14:textId="77777777" w:rsidTr="00B75335">
        <w:tc>
          <w:tcPr>
            <w:tcW w:w="2880" w:type="dxa"/>
          </w:tcPr>
          <w:p w14:paraId="3B6F86F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810" w:type="dxa"/>
          </w:tcPr>
          <w:p w14:paraId="4098913C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243 </w:t>
            </w:r>
          </w:p>
        </w:tc>
        <w:tc>
          <w:tcPr>
            <w:tcW w:w="810" w:type="dxa"/>
          </w:tcPr>
          <w:p w14:paraId="380881CA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(41.0)</w:t>
            </w:r>
          </w:p>
        </w:tc>
        <w:tc>
          <w:tcPr>
            <w:tcW w:w="900" w:type="dxa"/>
          </w:tcPr>
          <w:p w14:paraId="3967F7CD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1342 </w:t>
            </w:r>
          </w:p>
        </w:tc>
        <w:tc>
          <w:tcPr>
            <w:tcW w:w="805" w:type="dxa"/>
          </w:tcPr>
          <w:p w14:paraId="649A500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(32.7)</w:t>
            </w:r>
          </w:p>
        </w:tc>
        <w:tc>
          <w:tcPr>
            <w:tcW w:w="1572" w:type="dxa"/>
          </w:tcPr>
          <w:p w14:paraId="0EFC431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7EA634B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69EE354A" w14:textId="77777777" w:rsidTr="00B75335">
        <w:tc>
          <w:tcPr>
            <w:tcW w:w="2880" w:type="dxa"/>
          </w:tcPr>
          <w:p w14:paraId="1806E64C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BBDB0B3" w14:textId="77777777" w:rsidR="004C3784" w:rsidRPr="00F30FF0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Sociodemographic domain</w:t>
            </w:r>
          </w:p>
        </w:tc>
        <w:tc>
          <w:tcPr>
            <w:tcW w:w="810" w:type="dxa"/>
          </w:tcPr>
          <w:p w14:paraId="17309A9F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0" w:type="dxa"/>
          </w:tcPr>
          <w:p w14:paraId="3EA88633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62313475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05" w:type="dxa"/>
          </w:tcPr>
          <w:p w14:paraId="14B655DB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2" w:type="dxa"/>
          </w:tcPr>
          <w:p w14:paraId="320874D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09785F5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796A8963" w14:textId="77777777" w:rsidTr="00B75335">
        <w:tc>
          <w:tcPr>
            <w:tcW w:w="2880" w:type="dxa"/>
          </w:tcPr>
          <w:p w14:paraId="727F49EC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810" w:type="dxa"/>
          </w:tcPr>
          <w:p w14:paraId="1843CE1C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405 </w:t>
            </w:r>
          </w:p>
        </w:tc>
        <w:tc>
          <w:tcPr>
            <w:tcW w:w="810" w:type="dxa"/>
          </w:tcPr>
          <w:p w14:paraId="7C46C6E2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(68.2)</w:t>
            </w:r>
          </w:p>
        </w:tc>
        <w:tc>
          <w:tcPr>
            <w:tcW w:w="900" w:type="dxa"/>
          </w:tcPr>
          <w:p w14:paraId="4248CD94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3072 </w:t>
            </w:r>
          </w:p>
        </w:tc>
        <w:tc>
          <w:tcPr>
            <w:tcW w:w="805" w:type="dxa"/>
          </w:tcPr>
          <w:p w14:paraId="7E037BCE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(74.8)</w:t>
            </w:r>
          </w:p>
        </w:tc>
        <w:tc>
          <w:tcPr>
            <w:tcW w:w="1572" w:type="dxa"/>
          </w:tcPr>
          <w:p w14:paraId="66B1944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573" w:type="dxa"/>
          </w:tcPr>
          <w:p w14:paraId="45917CB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7CFE4F92" w14:textId="77777777" w:rsidTr="00B75335">
        <w:tc>
          <w:tcPr>
            <w:tcW w:w="2880" w:type="dxa"/>
          </w:tcPr>
          <w:p w14:paraId="0725A669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810" w:type="dxa"/>
          </w:tcPr>
          <w:p w14:paraId="4A6DBEF8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152 </w:t>
            </w:r>
          </w:p>
        </w:tc>
        <w:tc>
          <w:tcPr>
            <w:tcW w:w="810" w:type="dxa"/>
          </w:tcPr>
          <w:p w14:paraId="6F440C1A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(25.6)</w:t>
            </w:r>
          </w:p>
        </w:tc>
        <w:tc>
          <w:tcPr>
            <w:tcW w:w="900" w:type="dxa"/>
          </w:tcPr>
          <w:p w14:paraId="209143BF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872 </w:t>
            </w:r>
          </w:p>
        </w:tc>
        <w:tc>
          <w:tcPr>
            <w:tcW w:w="805" w:type="dxa"/>
          </w:tcPr>
          <w:p w14:paraId="7FE0CB6D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(21.2)</w:t>
            </w:r>
          </w:p>
        </w:tc>
        <w:tc>
          <w:tcPr>
            <w:tcW w:w="1572" w:type="dxa"/>
          </w:tcPr>
          <w:p w14:paraId="6DE91B04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86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22BE639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0.95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71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2DD8F33A" w14:textId="77777777" w:rsidTr="00B75335">
        <w:tc>
          <w:tcPr>
            <w:tcW w:w="2880" w:type="dxa"/>
          </w:tcPr>
          <w:p w14:paraId="433F8016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810" w:type="dxa"/>
          </w:tcPr>
          <w:p w14:paraId="7621A321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37 </w:t>
            </w:r>
          </w:p>
        </w:tc>
        <w:tc>
          <w:tcPr>
            <w:tcW w:w="810" w:type="dxa"/>
          </w:tcPr>
          <w:p w14:paraId="037C32B6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(6.2)</w:t>
            </w:r>
          </w:p>
        </w:tc>
        <w:tc>
          <w:tcPr>
            <w:tcW w:w="900" w:type="dxa"/>
          </w:tcPr>
          <w:p w14:paraId="4EB21E33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161 </w:t>
            </w:r>
          </w:p>
        </w:tc>
        <w:tc>
          <w:tcPr>
            <w:tcW w:w="805" w:type="dxa"/>
          </w:tcPr>
          <w:p w14:paraId="223D5934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(3.9)</w:t>
            </w:r>
          </w:p>
        </w:tc>
        <w:tc>
          <w:tcPr>
            <w:tcW w:w="1572" w:type="dxa"/>
          </w:tcPr>
          <w:p w14:paraId="2693EF1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2.7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14481EF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0.80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6CFF587B" w14:textId="77777777" w:rsidTr="00B75335">
        <w:tc>
          <w:tcPr>
            <w:tcW w:w="2880" w:type="dxa"/>
          </w:tcPr>
          <w:p w14:paraId="76F7B775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845F6F9" w14:textId="77777777" w:rsidR="004C3784" w:rsidRPr="00F30FF0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Built environment domain</w:t>
            </w:r>
          </w:p>
        </w:tc>
        <w:tc>
          <w:tcPr>
            <w:tcW w:w="810" w:type="dxa"/>
          </w:tcPr>
          <w:p w14:paraId="4F205E7C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0" w:type="dxa"/>
          </w:tcPr>
          <w:p w14:paraId="27D5A572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A38DD8E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05" w:type="dxa"/>
          </w:tcPr>
          <w:p w14:paraId="029873F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2" w:type="dxa"/>
          </w:tcPr>
          <w:p w14:paraId="2DA4B8D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23541D9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5E3F37B0" w14:textId="77777777" w:rsidTr="00B75335">
        <w:tc>
          <w:tcPr>
            <w:tcW w:w="2880" w:type="dxa"/>
          </w:tcPr>
          <w:p w14:paraId="1AF25CD9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810" w:type="dxa"/>
          </w:tcPr>
          <w:p w14:paraId="5EE0B58A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100 </w:t>
            </w:r>
          </w:p>
        </w:tc>
        <w:tc>
          <w:tcPr>
            <w:tcW w:w="810" w:type="dxa"/>
          </w:tcPr>
          <w:p w14:paraId="6DA15EA0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(16.8)</w:t>
            </w:r>
          </w:p>
        </w:tc>
        <w:tc>
          <w:tcPr>
            <w:tcW w:w="900" w:type="dxa"/>
          </w:tcPr>
          <w:p w14:paraId="62B804C0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707 </w:t>
            </w:r>
          </w:p>
        </w:tc>
        <w:tc>
          <w:tcPr>
            <w:tcW w:w="805" w:type="dxa"/>
          </w:tcPr>
          <w:p w14:paraId="489B37DB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(17.2)</w:t>
            </w:r>
          </w:p>
        </w:tc>
        <w:tc>
          <w:tcPr>
            <w:tcW w:w="1572" w:type="dxa"/>
          </w:tcPr>
          <w:p w14:paraId="05BA9AF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573" w:type="dxa"/>
          </w:tcPr>
          <w:p w14:paraId="62D69C8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244051AA" w14:textId="77777777" w:rsidTr="00B75335">
        <w:tc>
          <w:tcPr>
            <w:tcW w:w="2880" w:type="dxa"/>
          </w:tcPr>
          <w:p w14:paraId="3A483C92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810" w:type="dxa"/>
          </w:tcPr>
          <w:p w14:paraId="00487A85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198 </w:t>
            </w:r>
          </w:p>
        </w:tc>
        <w:tc>
          <w:tcPr>
            <w:tcW w:w="810" w:type="dxa"/>
          </w:tcPr>
          <w:p w14:paraId="7790ECBF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(33.3)</w:t>
            </w:r>
          </w:p>
        </w:tc>
        <w:tc>
          <w:tcPr>
            <w:tcW w:w="900" w:type="dxa"/>
          </w:tcPr>
          <w:p w14:paraId="0DD75094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1802 </w:t>
            </w:r>
          </w:p>
        </w:tc>
        <w:tc>
          <w:tcPr>
            <w:tcW w:w="805" w:type="dxa"/>
          </w:tcPr>
          <w:p w14:paraId="183B02ED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(43.9)</w:t>
            </w:r>
          </w:p>
        </w:tc>
        <w:tc>
          <w:tcPr>
            <w:tcW w:w="1572" w:type="dxa"/>
          </w:tcPr>
          <w:p w14:paraId="2AEC0AA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79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3C625AC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55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3E316230" w14:textId="77777777" w:rsidTr="00B75335">
        <w:tc>
          <w:tcPr>
            <w:tcW w:w="2880" w:type="dxa"/>
          </w:tcPr>
          <w:p w14:paraId="5289BF66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810" w:type="dxa"/>
          </w:tcPr>
          <w:p w14:paraId="09808154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296 </w:t>
            </w:r>
          </w:p>
        </w:tc>
        <w:tc>
          <w:tcPr>
            <w:tcW w:w="810" w:type="dxa"/>
          </w:tcPr>
          <w:p w14:paraId="21EE1BC1" w14:textId="77777777" w:rsidR="004C3784" w:rsidRDefault="004C3784" w:rsidP="00B7533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(49.8)</w:t>
            </w:r>
          </w:p>
        </w:tc>
        <w:tc>
          <w:tcPr>
            <w:tcW w:w="900" w:type="dxa"/>
          </w:tcPr>
          <w:p w14:paraId="46AB8358" w14:textId="77777777" w:rsidR="004C3784" w:rsidRDefault="004C3784" w:rsidP="00B75335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1596 </w:t>
            </w:r>
          </w:p>
        </w:tc>
        <w:tc>
          <w:tcPr>
            <w:tcW w:w="805" w:type="dxa"/>
          </w:tcPr>
          <w:p w14:paraId="3CDAA4B4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(38.9)</w:t>
            </w:r>
          </w:p>
        </w:tc>
        <w:tc>
          <w:tcPr>
            <w:tcW w:w="1572" w:type="dxa"/>
          </w:tcPr>
          <w:p w14:paraId="2AED702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58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73" w:type="dxa"/>
          </w:tcPr>
          <w:p w14:paraId="71F424B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47</w:t>
            </w: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7909FE3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aOR</w:t>
      </w:r>
      <w:proofErr w:type="spellEnd"/>
      <w:r>
        <w:rPr>
          <w:rFonts w:asciiTheme="minorHAnsi" w:hAnsiTheme="minorHAnsi" w:cstheme="minorHAnsi"/>
        </w:rPr>
        <w:t>: adjusted odds ratio; CI: confidence interval; EQI: Environmental Quality Index; OR: odds ratio; RUCC: rural-urban continuum code</w:t>
      </w:r>
    </w:p>
    <w:p w14:paraId="52526FC7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All models adjusted for maternal age, race/ethnicity, education, pre-pregnancy body mass index and RUCC. Each domain-specific model was further adjusted for the other domains. </w:t>
      </w:r>
    </w:p>
    <w:p w14:paraId="3F96F47E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D2E5F64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Supplemental Table 3: Maternal age-stratified associations between gastroschisis and environmental quality (overall and domain-specific) of maternal county of residence during early pregnancy as measured by the Environmental Quality Index with adjustment for RUCC, National Birth Defects Prevention Study, 2006-2011.  </w:t>
      </w:r>
    </w:p>
    <w:p w14:paraId="170E3C19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617"/>
        <w:gridCol w:w="1618"/>
        <w:gridCol w:w="1617"/>
        <w:gridCol w:w="1618"/>
      </w:tblGrid>
      <w:tr w:rsidR="004C3784" w14:paraId="7004FCA1" w14:textId="77777777" w:rsidTr="00B75335">
        <w:tc>
          <w:tcPr>
            <w:tcW w:w="2880" w:type="dxa"/>
            <w:tcBorders>
              <w:top w:val="single" w:sz="4" w:space="0" w:color="auto"/>
            </w:tcBorders>
          </w:tcPr>
          <w:p w14:paraId="18244A79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9D10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Unadjusted OR (95% CI)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602C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Adjusted*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aOR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(95% CI)</w:t>
            </w:r>
          </w:p>
        </w:tc>
      </w:tr>
      <w:tr w:rsidR="004C3784" w14:paraId="239BF47B" w14:textId="77777777" w:rsidTr="00B75335">
        <w:tc>
          <w:tcPr>
            <w:tcW w:w="2880" w:type="dxa"/>
          </w:tcPr>
          <w:p w14:paraId="0A5CAE1F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090889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 20 years</w:t>
            </w:r>
          </w:p>
          <w:p w14:paraId="63D504E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 = 670)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7E2B3D3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≥ 20 years</w:t>
            </w:r>
          </w:p>
          <w:p w14:paraId="5BD8FCAA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 = 4029)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E61E5E4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&lt; 20 years</w:t>
            </w:r>
          </w:p>
          <w:p w14:paraId="7CBD376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 = 670)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0202CFD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≥ 20 years</w:t>
            </w:r>
          </w:p>
          <w:p w14:paraId="40EB72B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 = 4029)</w:t>
            </w:r>
          </w:p>
        </w:tc>
      </w:tr>
      <w:tr w:rsidR="004C3784" w14:paraId="6669594E" w14:textId="77777777" w:rsidTr="00B75335">
        <w:tc>
          <w:tcPr>
            <w:tcW w:w="2880" w:type="dxa"/>
          </w:tcPr>
          <w:p w14:paraId="30FEC6AF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EQI overall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391903A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14:paraId="0FAE4D4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2CD853D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14:paraId="021478C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32ABD230" w14:textId="77777777" w:rsidTr="00B75335">
        <w:tc>
          <w:tcPr>
            <w:tcW w:w="2880" w:type="dxa"/>
          </w:tcPr>
          <w:p w14:paraId="7293F355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1617" w:type="dxa"/>
          </w:tcPr>
          <w:p w14:paraId="30EAE73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3EB5BD3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7" w:type="dxa"/>
          </w:tcPr>
          <w:p w14:paraId="5D29C23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260BEDBA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44DEA409" w14:textId="77777777" w:rsidTr="00B75335">
        <w:tc>
          <w:tcPr>
            <w:tcW w:w="2880" w:type="dxa"/>
          </w:tcPr>
          <w:p w14:paraId="04AB3835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1617" w:type="dxa"/>
          </w:tcPr>
          <w:p w14:paraId="379808A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5E906F0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9, 1.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6600CF5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7, 1.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481E137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0.95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03CBBC84" w14:textId="77777777" w:rsidTr="00B75335">
        <w:tc>
          <w:tcPr>
            <w:tcW w:w="2880" w:type="dxa"/>
          </w:tcPr>
          <w:p w14:paraId="2C47D040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1617" w:type="dxa"/>
          </w:tcPr>
          <w:p w14:paraId="5A0CFF1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3FA2048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459437E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7, 1.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6230C39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0.99, 1.99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4E4B3D50" w14:textId="77777777" w:rsidTr="00B75335">
        <w:tc>
          <w:tcPr>
            <w:tcW w:w="2880" w:type="dxa"/>
          </w:tcPr>
          <w:p w14:paraId="3A0BCCD3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1BD8F5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Air domain</w:t>
            </w:r>
          </w:p>
        </w:tc>
        <w:tc>
          <w:tcPr>
            <w:tcW w:w="1617" w:type="dxa"/>
          </w:tcPr>
          <w:p w14:paraId="1030205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21569F6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32ED3F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0685990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385E6525" w14:textId="77777777" w:rsidTr="00B75335">
        <w:tc>
          <w:tcPr>
            <w:tcW w:w="2880" w:type="dxa"/>
          </w:tcPr>
          <w:p w14:paraId="377BF543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1617" w:type="dxa"/>
          </w:tcPr>
          <w:p w14:paraId="297CE4F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376847C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7" w:type="dxa"/>
          </w:tcPr>
          <w:p w14:paraId="3696365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3BAEB4E4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5C645393" w14:textId="77777777" w:rsidTr="00B75335">
        <w:tc>
          <w:tcPr>
            <w:tcW w:w="2880" w:type="dxa"/>
          </w:tcPr>
          <w:p w14:paraId="185B1FE0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1617" w:type="dxa"/>
          </w:tcPr>
          <w:p w14:paraId="7AE2894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5FB9256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5CDD050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2617069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4B1D722A" w14:textId="77777777" w:rsidTr="00B75335">
        <w:tc>
          <w:tcPr>
            <w:tcW w:w="2880" w:type="dxa"/>
          </w:tcPr>
          <w:p w14:paraId="0FE7194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1617" w:type="dxa"/>
          </w:tcPr>
          <w:p w14:paraId="2FC086D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8 (0.5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0801B0B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43E5F2D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0.96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67A1F41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2E8626D9" w14:textId="77777777" w:rsidTr="00B75335">
        <w:tc>
          <w:tcPr>
            <w:tcW w:w="2880" w:type="dxa"/>
          </w:tcPr>
          <w:p w14:paraId="43B1995D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F55520A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Water domain</w:t>
            </w:r>
          </w:p>
        </w:tc>
        <w:tc>
          <w:tcPr>
            <w:tcW w:w="1617" w:type="dxa"/>
          </w:tcPr>
          <w:p w14:paraId="5739078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1E27AD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dxa"/>
          </w:tcPr>
          <w:p w14:paraId="289072AA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488B995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50C60340" w14:textId="77777777" w:rsidTr="00B75335">
        <w:tc>
          <w:tcPr>
            <w:tcW w:w="2880" w:type="dxa"/>
          </w:tcPr>
          <w:p w14:paraId="6B8D2BEB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1617" w:type="dxa"/>
          </w:tcPr>
          <w:p w14:paraId="21DAD574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633B790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7" w:type="dxa"/>
          </w:tcPr>
          <w:p w14:paraId="7B9E58E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04C6916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246D5F32" w14:textId="77777777" w:rsidTr="00B75335">
        <w:tc>
          <w:tcPr>
            <w:tcW w:w="2880" w:type="dxa"/>
          </w:tcPr>
          <w:p w14:paraId="5777835E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1617" w:type="dxa"/>
          </w:tcPr>
          <w:p w14:paraId="1EF7942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1AFC52D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5D021F4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3576AA3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79D100AF" w14:textId="77777777" w:rsidTr="00B75335">
        <w:tc>
          <w:tcPr>
            <w:tcW w:w="2880" w:type="dxa"/>
          </w:tcPr>
          <w:p w14:paraId="12E9B8C4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1617" w:type="dxa"/>
          </w:tcPr>
          <w:p w14:paraId="2B61E22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652D35A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1617" w:type="dxa"/>
          </w:tcPr>
          <w:p w14:paraId="126F1DF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7, 2.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4BDD09E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10B31255" w14:textId="77777777" w:rsidTr="00B75335">
        <w:tc>
          <w:tcPr>
            <w:tcW w:w="2880" w:type="dxa"/>
          </w:tcPr>
          <w:p w14:paraId="621434C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C38C1A1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Land domain</w:t>
            </w:r>
          </w:p>
        </w:tc>
        <w:tc>
          <w:tcPr>
            <w:tcW w:w="1617" w:type="dxa"/>
          </w:tcPr>
          <w:p w14:paraId="68691E7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23C1D6E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dxa"/>
          </w:tcPr>
          <w:p w14:paraId="5E5E2D7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5E02138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511709C3" w14:textId="77777777" w:rsidTr="00B75335">
        <w:tc>
          <w:tcPr>
            <w:tcW w:w="2880" w:type="dxa"/>
          </w:tcPr>
          <w:p w14:paraId="40D311E2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1617" w:type="dxa"/>
          </w:tcPr>
          <w:p w14:paraId="7C61DE1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51932EF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7" w:type="dxa"/>
          </w:tcPr>
          <w:p w14:paraId="167E972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117859B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2FA146DE" w14:textId="77777777" w:rsidTr="00B75335">
        <w:tc>
          <w:tcPr>
            <w:tcW w:w="2880" w:type="dxa"/>
          </w:tcPr>
          <w:p w14:paraId="7BDE6BD5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1617" w:type="dxa"/>
          </w:tcPr>
          <w:p w14:paraId="1EDBBD1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6EF21F2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9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59A2086A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38299E0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9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1B6D623E" w14:textId="77777777" w:rsidTr="00B75335">
        <w:tc>
          <w:tcPr>
            <w:tcW w:w="2880" w:type="dxa"/>
          </w:tcPr>
          <w:p w14:paraId="59288CF0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1617" w:type="dxa"/>
          </w:tcPr>
          <w:p w14:paraId="03B3A84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2.4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1E4C9F5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0.99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7C8A834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68DA57F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2CE0D44D" w14:textId="77777777" w:rsidTr="00B75335">
        <w:tc>
          <w:tcPr>
            <w:tcW w:w="2880" w:type="dxa"/>
          </w:tcPr>
          <w:p w14:paraId="4E5EB140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1C2BE17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Sociodemographic domain</w:t>
            </w:r>
          </w:p>
        </w:tc>
        <w:tc>
          <w:tcPr>
            <w:tcW w:w="1617" w:type="dxa"/>
          </w:tcPr>
          <w:p w14:paraId="47034A07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643BC7E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dxa"/>
          </w:tcPr>
          <w:p w14:paraId="6471EA0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012CC07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13306080" w14:textId="77777777" w:rsidTr="00B75335">
        <w:tc>
          <w:tcPr>
            <w:tcW w:w="2880" w:type="dxa"/>
          </w:tcPr>
          <w:p w14:paraId="483D487E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1617" w:type="dxa"/>
          </w:tcPr>
          <w:p w14:paraId="7212E9C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5A9FF50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7" w:type="dxa"/>
          </w:tcPr>
          <w:p w14:paraId="4586DC5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61BFB93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7580C198" w14:textId="77777777" w:rsidTr="00B75335">
        <w:tc>
          <w:tcPr>
            <w:tcW w:w="2880" w:type="dxa"/>
          </w:tcPr>
          <w:p w14:paraId="41F2BDDB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1617" w:type="dxa"/>
          </w:tcPr>
          <w:p w14:paraId="186A4C9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7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4, 1.0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4109AC2D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9, 1.6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2B1F1A55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6341FC8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755240C5" w14:textId="77777777" w:rsidTr="00B75335">
        <w:tc>
          <w:tcPr>
            <w:tcW w:w="2880" w:type="dxa"/>
          </w:tcPr>
          <w:p w14:paraId="678FD12A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1617" w:type="dxa"/>
          </w:tcPr>
          <w:p w14:paraId="1358164C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355C1383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2.0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3.3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28656162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0.94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2.40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5455A97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0.91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46B2E2EA" w14:textId="77777777" w:rsidTr="00B75335">
        <w:tc>
          <w:tcPr>
            <w:tcW w:w="2880" w:type="dxa"/>
          </w:tcPr>
          <w:p w14:paraId="6F8BB4E8" w14:textId="77777777" w:rsidR="004C3784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DA8257C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30FF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Built environment domain</w:t>
            </w:r>
          </w:p>
        </w:tc>
        <w:tc>
          <w:tcPr>
            <w:tcW w:w="1617" w:type="dxa"/>
          </w:tcPr>
          <w:p w14:paraId="16B2F3F8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6A46367A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7" w:type="dxa"/>
          </w:tcPr>
          <w:p w14:paraId="22A4C7C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8" w:type="dxa"/>
          </w:tcPr>
          <w:p w14:paraId="2691E96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3784" w14:paraId="340EC5BD" w14:textId="77777777" w:rsidTr="00B75335">
        <w:tc>
          <w:tcPr>
            <w:tcW w:w="2880" w:type="dxa"/>
          </w:tcPr>
          <w:p w14:paraId="57B7F915" w14:textId="77777777" w:rsidR="004C3784" w:rsidRPr="00F30FF0" w:rsidRDefault="004C3784" w:rsidP="00B75335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6F60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Better environmental quality</w:t>
            </w:r>
          </w:p>
        </w:tc>
        <w:tc>
          <w:tcPr>
            <w:tcW w:w="1617" w:type="dxa"/>
          </w:tcPr>
          <w:p w14:paraId="47DB7EC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4A9C9F6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7" w:type="dxa"/>
          </w:tcPr>
          <w:p w14:paraId="759CAC00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  <w:tc>
          <w:tcPr>
            <w:tcW w:w="1618" w:type="dxa"/>
          </w:tcPr>
          <w:p w14:paraId="167F7DEE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  <w:tr w:rsidR="004C3784" w14:paraId="2C4B735D" w14:textId="77777777" w:rsidTr="00B75335">
        <w:tc>
          <w:tcPr>
            <w:tcW w:w="2880" w:type="dxa"/>
          </w:tcPr>
          <w:p w14:paraId="35C4B8EE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Mid-range</w:t>
            </w:r>
          </w:p>
        </w:tc>
        <w:tc>
          <w:tcPr>
            <w:tcW w:w="1617" w:type="dxa"/>
          </w:tcPr>
          <w:p w14:paraId="56F7510F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8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68ED9B0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8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6, 1.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</w:tcPr>
          <w:p w14:paraId="7E61D2BA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</w:tcPr>
          <w:p w14:paraId="09DE32B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C3784" w14:paraId="2B8096CF" w14:textId="77777777" w:rsidTr="00B75335">
        <w:tc>
          <w:tcPr>
            <w:tcW w:w="2880" w:type="dxa"/>
            <w:tcBorders>
              <w:bottom w:val="single" w:sz="4" w:space="0" w:color="auto"/>
            </w:tcBorders>
          </w:tcPr>
          <w:p w14:paraId="65958010" w14:textId="77777777" w:rsidR="004C3784" w:rsidRPr="003A6F60" w:rsidRDefault="004C3784" w:rsidP="00B7533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Poorer environmental quality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335ED861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86 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(0.5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589FD0A9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87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614D1EB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67C5D4C6" w14:textId="77777777" w:rsidR="004C3784" w:rsidRDefault="004C3784" w:rsidP="00B75335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 xml:space="preserve"> (0.8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, 1.7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96B3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7F2645BB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</w:p>
    <w:p w14:paraId="7A4E2286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aOR</w:t>
      </w:r>
      <w:proofErr w:type="spellEnd"/>
      <w:r>
        <w:rPr>
          <w:rFonts w:asciiTheme="minorHAnsi" w:hAnsiTheme="minorHAnsi" w:cstheme="minorHAnsi"/>
        </w:rPr>
        <w:t>: adjusted odds ratio; CI: confidence interval; EQI: Environmental Quality Index; OR: odds ratio; RUCC: rural-urban continuum code</w:t>
      </w:r>
    </w:p>
    <w:p w14:paraId="228F57CE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All models adjusted for maternal race/ethnicity, education, pre-pregnancy body mass index, and RUCC. Each domain-specific model was further adjusted for the other domains. </w:t>
      </w:r>
    </w:p>
    <w:p w14:paraId="70284DAE" w14:textId="77777777" w:rsidR="004C3784" w:rsidRDefault="004C3784" w:rsidP="004C3784">
      <w:pPr>
        <w:spacing w:line="360" w:lineRule="auto"/>
        <w:rPr>
          <w:rFonts w:asciiTheme="minorHAnsi" w:hAnsiTheme="minorHAnsi" w:cstheme="minorHAnsi"/>
        </w:rPr>
      </w:pPr>
    </w:p>
    <w:p w14:paraId="5538EFDD" w14:textId="77777777" w:rsidR="004C3784" w:rsidRPr="00FF6405" w:rsidRDefault="004C3784" w:rsidP="004C3784">
      <w:pPr>
        <w:spacing w:line="360" w:lineRule="auto"/>
        <w:rPr>
          <w:rFonts w:asciiTheme="minorHAnsi" w:hAnsiTheme="minorHAnsi" w:cstheme="minorHAnsi"/>
        </w:rPr>
      </w:pPr>
    </w:p>
    <w:p w14:paraId="58A2C6D3" w14:textId="77777777" w:rsidR="004C3784" w:rsidRPr="004C3784" w:rsidRDefault="004C3784">
      <w:pPr>
        <w:rPr>
          <w:rFonts w:asciiTheme="minorHAnsi" w:hAnsiTheme="minorHAnsi" w:cstheme="minorHAnsi"/>
        </w:rPr>
      </w:pPr>
    </w:p>
    <w:sectPr w:rsidR="004C3784" w:rsidRPr="004C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84"/>
    <w:rsid w:val="001B507B"/>
    <w:rsid w:val="004C3784"/>
    <w:rsid w:val="006D176D"/>
    <w:rsid w:val="00701926"/>
    <w:rsid w:val="00781635"/>
    <w:rsid w:val="009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A3EA"/>
  <w15:chartTrackingRefBased/>
  <w15:docId w15:val="{71147E51-F388-46DF-996B-94EE4476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784"/>
    <w:rPr>
      <w:rFonts w:cs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6D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6712</Characters>
  <Application>Microsoft Office Word</Application>
  <DocSecurity>0</DocSecurity>
  <Lines>55</Lines>
  <Paragraphs>15</Paragraphs>
  <ScaleCrop>false</ScaleCrop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Krajewski, Alison (she/her/hers)</dc:creator>
  <cp:keywords/>
  <dc:description/>
  <cp:lastModifiedBy>Faruque, Joya (CDC/NCBDDD/OD) (CTR)</cp:lastModifiedBy>
  <cp:revision>2</cp:revision>
  <dcterms:created xsi:type="dcterms:W3CDTF">2024-02-05T16:56:00Z</dcterms:created>
  <dcterms:modified xsi:type="dcterms:W3CDTF">2024-02-05T16:56:00Z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2024-02-05T16:56:13Z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d5d8ba3d-42bf-4713-bd9a-d4ce9a895531</vt:lpwstr>
  </property>
  <property fmtid="{D5CDD505-2E9C-101B-9397-08002B2CF9AE}" pid="8" name="MSIP_Label_7b94a7b8-f06c-4dfe-bdcc-9b548fd58c31_ContentBits">
    <vt:lpwstr>0</vt:lpwstr>
  </property>
</Properties>
</file>