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D9AF" w14:textId="77777777" w:rsidR="00572889" w:rsidRPr="00B55DC2" w:rsidRDefault="00572889" w:rsidP="00572889">
      <w:pPr>
        <w:rPr>
          <w:rFonts w:ascii="Times New Roman" w:hAnsi="Times New Roman" w:cs="Times New Roman"/>
          <w:b/>
          <w:bCs/>
        </w:rPr>
      </w:pPr>
      <w:r>
        <w:rPr>
          <w:rFonts w:ascii="Times New Roman" w:hAnsi="Times New Roman" w:cs="Times New Roman"/>
          <w:b/>
          <w:bCs/>
        </w:rPr>
        <w:t>Supplemental Table S1. Response rate calculation</w:t>
      </w:r>
    </w:p>
    <w:tbl>
      <w:tblPr>
        <w:tblStyle w:val="TableGrid"/>
        <w:tblW w:w="5000" w:type="pct"/>
        <w:tblLook w:val="04A0" w:firstRow="1" w:lastRow="0" w:firstColumn="1" w:lastColumn="0" w:noHBand="0" w:noVBand="1"/>
      </w:tblPr>
      <w:tblGrid>
        <w:gridCol w:w="1079"/>
        <w:gridCol w:w="6270"/>
        <w:gridCol w:w="2001"/>
      </w:tblGrid>
      <w:tr w:rsidR="00572889" w:rsidRPr="00D24B87" w14:paraId="78AD8DFB" w14:textId="77777777" w:rsidTr="00BB1089">
        <w:tc>
          <w:tcPr>
            <w:tcW w:w="5000" w:type="pct"/>
            <w:gridSpan w:val="3"/>
          </w:tcPr>
          <w:p w14:paraId="2F28F740" w14:textId="77777777" w:rsidR="00572889" w:rsidRDefault="00572889" w:rsidP="00BB1089">
            <w:pPr>
              <w:jc w:val="center"/>
              <w:rPr>
                <w:rFonts w:ascii="Times New Roman" w:hAnsi="Times New Roman" w:cs="Times New Roman"/>
                <w:b/>
                <w:bCs/>
              </w:rPr>
            </w:pPr>
          </w:p>
          <w:p w14:paraId="51A222A6" w14:textId="77777777" w:rsidR="00572889" w:rsidRPr="00361AE7" w:rsidRDefault="00572889" w:rsidP="00BB1089">
            <w:pPr>
              <w:jc w:val="center"/>
              <w:rPr>
                <w:rFonts w:ascii="Times New Roman" w:hAnsi="Times New Roman" w:cs="Times New Roman"/>
                <w:b/>
                <w:bCs/>
              </w:rPr>
            </w:pPr>
            <w:r w:rsidRPr="00361AE7">
              <w:rPr>
                <w:rFonts w:ascii="Times New Roman" w:hAnsi="Times New Roman" w:cs="Times New Roman"/>
                <w:b/>
                <w:bCs/>
              </w:rPr>
              <w:t xml:space="preserve">Response Rate Using </w:t>
            </w:r>
            <w:hyperlink r:id="rId4" w:history="1">
              <w:r w:rsidRPr="00361AE7">
                <w:rPr>
                  <w:rStyle w:val="Hyperlink"/>
                  <w:rFonts w:ascii="Times New Roman" w:hAnsi="Times New Roman" w:cs="Times New Roman"/>
                  <w:b/>
                  <w:bCs/>
                </w:rPr>
                <w:t>Response Rate 4</w:t>
              </w:r>
            </w:hyperlink>
            <w:r w:rsidRPr="00361AE7">
              <w:rPr>
                <w:rFonts w:ascii="Times New Roman" w:hAnsi="Times New Roman" w:cs="Times New Roman"/>
                <w:b/>
                <w:bCs/>
              </w:rPr>
              <w:t>:</w:t>
            </w:r>
          </w:p>
          <w:p w14:paraId="54181052" w14:textId="77777777" w:rsidR="00572889" w:rsidRPr="00D24B87" w:rsidRDefault="00572889" w:rsidP="00BB1089">
            <w:pPr>
              <w:jc w:val="center"/>
              <w:rPr>
                <w:rFonts w:ascii="Times New Roman" w:hAnsi="Times New Roman" w:cs="Times New Roman"/>
              </w:rPr>
            </w:pPr>
          </w:p>
          <w:p w14:paraId="3A3707B6" w14:textId="77777777" w:rsidR="00572889" w:rsidRDefault="00572889" w:rsidP="00BB1089">
            <w:pPr>
              <w:jc w:val="center"/>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I+P</m:t>
                  </m:r>
                </m:num>
                <m:den>
                  <m:d>
                    <m:dPr>
                      <m:ctrlPr>
                        <w:rPr>
                          <w:rFonts w:ascii="Cambria Math" w:hAnsi="Cambria Math" w:cs="Times New Roman"/>
                          <w:i/>
                          <w:sz w:val="32"/>
                          <w:szCs w:val="32"/>
                        </w:rPr>
                      </m:ctrlPr>
                    </m:dPr>
                    <m:e>
                      <m:r>
                        <w:rPr>
                          <w:rFonts w:ascii="Cambria Math" w:hAnsi="Cambria Math" w:cs="Times New Roman"/>
                          <w:sz w:val="32"/>
                          <w:szCs w:val="32"/>
                        </w:rPr>
                        <m:t>I+P</m:t>
                      </m:r>
                    </m:e>
                  </m:d>
                  <m:r>
                    <w:rPr>
                      <w:rFonts w:ascii="Cambria Math" w:hAnsi="Cambria Math" w:cs="Times New Roman"/>
                      <w:sz w:val="32"/>
                      <w:szCs w:val="32"/>
                    </w:rPr>
                    <m:t>+</m:t>
                  </m:r>
                  <m:d>
                    <m:dPr>
                      <m:ctrlPr>
                        <w:rPr>
                          <w:rFonts w:ascii="Cambria Math" w:hAnsi="Cambria Math" w:cs="Times New Roman"/>
                          <w:i/>
                          <w:sz w:val="32"/>
                          <w:szCs w:val="32"/>
                        </w:rPr>
                      </m:ctrlPr>
                    </m:dPr>
                    <m:e>
                      <m:r>
                        <w:rPr>
                          <w:rFonts w:ascii="Cambria Math" w:hAnsi="Cambria Math" w:cs="Times New Roman"/>
                          <w:sz w:val="32"/>
                          <w:szCs w:val="32"/>
                        </w:rPr>
                        <m:t>R+NC+O</m:t>
                      </m:r>
                    </m:e>
                  </m:d>
                  <m:r>
                    <w:rPr>
                      <w:rFonts w:ascii="Cambria Math" w:hAnsi="Cambria Math" w:cs="Times New Roman"/>
                      <w:sz w:val="32"/>
                      <w:szCs w:val="32"/>
                    </w:rPr>
                    <m:t>+e(UH+UO)</m:t>
                  </m:r>
                </m:den>
              </m:f>
            </m:oMath>
            <w:r w:rsidRPr="00D80B0D">
              <w:rPr>
                <w:rFonts w:ascii="Times New Roman" w:hAnsi="Times New Roman" w:cs="Times New Roman"/>
                <w:sz w:val="32"/>
                <w:szCs w:val="32"/>
              </w:rPr>
              <w:t xml:space="preserve"> =%</w:t>
            </w:r>
          </w:p>
          <w:p w14:paraId="6C2F9680" w14:textId="77777777" w:rsidR="00572889" w:rsidRPr="00D24B87" w:rsidRDefault="00572889" w:rsidP="00BB1089">
            <w:pPr>
              <w:jc w:val="center"/>
              <w:rPr>
                <w:rFonts w:ascii="Times New Roman" w:hAnsi="Times New Roman" w:cs="Times New Roman"/>
                <w:b/>
              </w:rPr>
            </w:pPr>
          </w:p>
        </w:tc>
      </w:tr>
      <w:tr w:rsidR="00572889" w:rsidRPr="00D24B87" w14:paraId="2B148675" w14:textId="77777777" w:rsidTr="00BB1089">
        <w:tc>
          <w:tcPr>
            <w:tcW w:w="577" w:type="pct"/>
          </w:tcPr>
          <w:p w14:paraId="352CBC29" w14:textId="77777777" w:rsidR="00572889" w:rsidRPr="00D24B87" w:rsidRDefault="00572889" w:rsidP="00BB1089">
            <w:pPr>
              <w:rPr>
                <w:rFonts w:ascii="Times New Roman" w:hAnsi="Times New Roman" w:cs="Times New Roman"/>
              </w:rPr>
            </w:pPr>
          </w:p>
        </w:tc>
        <w:tc>
          <w:tcPr>
            <w:tcW w:w="3353" w:type="pct"/>
          </w:tcPr>
          <w:p w14:paraId="103B52FB" w14:textId="77777777" w:rsidR="00572889" w:rsidRPr="00D24B87" w:rsidRDefault="00572889" w:rsidP="00BB1089">
            <w:pPr>
              <w:rPr>
                <w:rFonts w:ascii="Times New Roman" w:hAnsi="Times New Roman" w:cs="Times New Roman"/>
                <w:b/>
              </w:rPr>
            </w:pPr>
            <w:r w:rsidRPr="00D24B87">
              <w:rPr>
                <w:rFonts w:ascii="Times New Roman" w:hAnsi="Times New Roman" w:cs="Times New Roman"/>
                <w:b/>
              </w:rPr>
              <w:t>Definition</w:t>
            </w:r>
          </w:p>
        </w:tc>
        <w:tc>
          <w:tcPr>
            <w:tcW w:w="1070" w:type="pct"/>
          </w:tcPr>
          <w:p w14:paraId="4EEB11BE" w14:textId="77777777" w:rsidR="00572889" w:rsidRPr="00D24B87" w:rsidRDefault="00572889" w:rsidP="00BB1089">
            <w:pPr>
              <w:rPr>
                <w:rFonts w:ascii="Times New Roman" w:hAnsi="Times New Roman" w:cs="Times New Roman"/>
                <w:b/>
              </w:rPr>
            </w:pPr>
            <w:r w:rsidRPr="00D24B87">
              <w:rPr>
                <w:rFonts w:ascii="Times New Roman" w:hAnsi="Times New Roman" w:cs="Times New Roman"/>
                <w:b/>
              </w:rPr>
              <w:t xml:space="preserve"># </w:t>
            </w:r>
            <w:proofErr w:type="gramStart"/>
            <w:r w:rsidRPr="00D24B87">
              <w:rPr>
                <w:rFonts w:ascii="Times New Roman" w:hAnsi="Times New Roman" w:cs="Times New Roman"/>
                <w:b/>
              </w:rPr>
              <w:t>in</w:t>
            </w:r>
            <w:proofErr w:type="gramEnd"/>
            <w:r w:rsidRPr="00D24B87">
              <w:rPr>
                <w:rFonts w:ascii="Times New Roman" w:hAnsi="Times New Roman" w:cs="Times New Roman"/>
                <w:b/>
              </w:rPr>
              <w:t xml:space="preserve"> our sample</w:t>
            </w:r>
          </w:p>
        </w:tc>
      </w:tr>
      <w:tr w:rsidR="00572889" w:rsidRPr="00D24B87" w14:paraId="74ECA598" w14:textId="77777777" w:rsidTr="00BB1089">
        <w:tc>
          <w:tcPr>
            <w:tcW w:w="577" w:type="pct"/>
          </w:tcPr>
          <w:p w14:paraId="4D770793"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I</w:t>
            </w:r>
          </w:p>
        </w:tc>
        <w:tc>
          <w:tcPr>
            <w:tcW w:w="3353" w:type="pct"/>
          </w:tcPr>
          <w:p w14:paraId="6A6A80C5"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complete interview. An eligible case that completed the interview</w:t>
            </w:r>
          </w:p>
        </w:tc>
        <w:tc>
          <w:tcPr>
            <w:tcW w:w="1070" w:type="pct"/>
          </w:tcPr>
          <w:p w14:paraId="12DAF4C3"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1,045</w:t>
            </w:r>
          </w:p>
        </w:tc>
      </w:tr>
      <w:tr w:rsidR="00572889" w:rsidRPr="00D24B87" w14:paraId="45227867" w14:textId="77777777" w:rsidTr="00BB1089">
        <w:tc>
          <w:tcPr>
            <w:tcW w:w="577" w:type="pct"/>
          </w:tcPr>
          <w:p w14:paraId="3599A05F"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P</w:t>
            </w:r>
          </w:p>
        </w:tc>
        <w:tc>
          <w:tcPr>
            <w:tcW w:w="3353" w:type="pct"/>
          </w:tcPr>
          <w:p w14:paraId="61AA2291"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Partial interview. Any eligible who has answered all applicable questions but not completed.</w:t>
            </w:r>
          </w:p>
        </w:tc>
        <w:tc>
          <w:tcPr>
            <w:tcW w:w="1070" w:type="pct"/>
          </w:tcPr>
          <w:p w14:paraId="56FD0E82"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229</w:t>
            </w:r>
          </w:p>
        </w:tc>
      </w:tr>
      <w:tr w:rsidR="00572889" w:rsidRPr="00D24B87" w14:paraId="12821518" w14:textId="77777777" w:rsidTr="00BB1089">
        <w:tc>
          <w:tcPr>
            <w:tcW w:w="577" w:type="pct"/>
          </w:tcPr>
          <w:p w14:paraId="5671E5D4"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R</w:t>
            </w:r>
          </w:p>
        </w:tc>
        <w:tc>
          <w:tcPr>
            <w:tcW w:w="3353" w:type="pct"/>
          </w:tcPr>
          <w:p w14:paraId="6A8ACAC2"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 xml:space="preserve">Refusal or break-off. An eligible case that refuses to do the interview or breaks </w:t>
            </w:r>
            <w:proofErr w:type="gramStart"/>
            <w:r w:rsidRPr="00D24B87">
              <w:rPr>
                <w:rFonts w:ascii="Times New Roman" w:hAnsi="Times New Roman" w:cs="Times New Roman"/>
              </w:rPr>
              <w:t>off of</w:t>
            </w:r>
            <w:proofErr w:type="gramEnd"/>
            <w:r w:rsidRPr="00D24B87">
              <w:rPr>
                <w:rFonts w:ascii="Times New Roman" w:hAnsi="Times New Roman" w:cs="Times New Roman"/>
              </w:rPr>
              <w:t xml:space="preserve"> the interview.</w:t>
            </w:r>
            <w:r>
              <w:rPr>
                <w:rFonts w:ascii="Times New Roman" w:hAnsi="Times New Roman" w:cs="Times New Roman"/>
              </w:rPr>
              <w:t xml:space="preserve"> Includes responders who were speeding.</w:t>
            </w:r>
          </w:p>
          <w:p w14:paraId="69915F06" w14:textId="77777777" w:rsidR="00572889" w:rsidRPr="00D24B87" w:rsidRDefault="00572889" w:rsidP="00BB1089">
            <w:pPr>
              <w:rPr>
                <w:rFonts w:ascii="Times New Roman" w:hAnsi="Times New Roman" w:cs="Times New Roman"/>
              </w:rPr>
            </w:pPr>
          </w:p>
        </w:tc>
        <w:tc>
          <w:tcPr>
            <w:tcW w:w="1070" w:type="pct"/>
          </w:tcPr>
          <w:p w14:paraId="08F74E43"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50</w:t>
            </w:r>
          </w:p>
        </w:tc>
      </w:tr>
      <w:tr w:rsidR="00572889" w:rsidRPr="00D24B87" w14:paraId="7DCDE099" w14:textId="77777777" w:rsidTr="00BB1089">
        <w:tc>
          <w:tcPr>
            <w:tcW w:w="577" w:type="pct"/>
          </w:tcPr>
          <w:p w14:paraId="236FE867"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NC</w:t>
            </w:r>
          </w:p>
        </w:tc>
        <w:tc>
          <w:tcPr>
            <w:tcW w:w="3353" w:type="pct"/>
          </w:tcPr>
          <w:p w14:paraId="1733711E"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Non-contact.  An eligible case that was not contacted. We do not know whether cases not contacted were eligible.</w:t>
            </w:r>
          </w:p>
        </w:tc>
        <w:tc>
          <w:tcPr>
            <w:tcW w:w="1070" w:type="pct"/>
          </w:tcPr>
          <w:p w14:paraId="2B873A21"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N/A</w:t>
            </w:r>
          </w:p>
        </w:tc>
      </w:tr>
      <w:tr w:rsidR="00572889" w:rsidRPr="00D24B87" w14:paraId="11AC3F53" w14:textId="77777777" w:rsidTr="00BB1089">
        <w:tc>
          <w:tcPr>
            <w:tcW w:w="577" w:type="pct"/>
          </w:tcPr>
          <w:p w14:paraId="5E2E3AE7"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O</w:t>
            </w:r>
          </w:p>
        </w:tc>
        <w:tc>
          <w:tcPr>
            <w:tcW w:w="3353" w:type="pct"/>
          </w:tcPr>
          <w:p w14:paraId="2E968A5C"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Other</w:t>
            </w:r>
          </w:p>
        </w:tc>
        <w:tc>
          <w:tcPr>
            <w:tcW w:w="1070" w:type="pct"/>
          </w:tcPr>
          <w:p w14:paraId="6046A81D"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N/A</w:t>
            </w:r>
          </w:p>
        </w:tc>
      </w:tr>
      <w:tr w:rsidR="00572889" w:rsidRPr="00D24B87" w14:paraId="0AE41D6E" w14:textId="77777777" w:rsidTr="00BB1089">
        <w:tc>
          <w:tcPr>
            <w:tcW w:w="577" w:type="pct"/>
          </w:tcPr>
          <w:p w14:paraId="1805FE04"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UH</w:t>
            </w:r>
          </w:p>
        </w:tc>
        <w:tc>
          <w:tcPr>
            <w:tcW w:w="3353" w:type="pct"/>
          </w:tcPr>
          <w:p w14:paraId="38EE8F09"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 xml:space="preserve">Unknown household. A household </w:t>
            </w:r>
            <w:proofErr w:type="gramStart"/>
            <w:r w:rsidRPr="00D24B87">
              <w:rPr>
                <w:rFonts w:ascii="Times New Roman" w:hAnsi="Times New Roman" w:cs="Times New Roman"/>
              </w:rPr>
              <w:t>not reached</w:t>
            </w:r>
            <w:proofErr w:type="gramEnd"/>
            <w:r w:rsidRPr="00D24B87">
              <w:rPr>
                <w:rFonts w:ascii="Times New Roman" w:hAnsi="Times New Roman" w:cs="Times New Roman"/>
              </w:rPr>
              <w:t xml:space="preserve"> whose eligibility is unknown.</w:t>
            </w:r>
          </w:p>
        </w:tc>
        <w:tc>
          <w:tcPr>
            <w:tcW w:w="1070" w:type="pct"/>
          </w:tcPr>
          <w:p w14:paraId="32F20CDC"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N/A</w:t>
            </w:r>
          </w:p>
        </w:tc>
      </w:tr>
      <w:tr w:rsidR="00572889" w:rsidRPr="00D24B87" w14:paraId="0FF29954" w14:textId="77777777" w:rsidTr="00BB1089">
        <w:tc>
          <w:tcPr>
            <w:tcW w:w="577" w:type="pct"/>
          </w:tcPr>
          <w:p w14:paraId="6C49BFB4"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UO</w:t>
            </w:r>
          </w:p>
        </w:tc>
        <w:tc>
          <w:tcPr>
            <w:tcW w:w="3353" w:type="pct"/>
          </w:tcPr>
          <w:p w14:paraId="644C45D0"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 xml:space="preserve">Unknown, other. A case </w:t>
            </w:r>
            <w:proofErr w:type="gramStart"/>
            <w:r w:rsidRPr="00D24B87">
              <w:rPr>
                <w:rFonts w:ascii="Times New Roman" w:hAnsi="Times New Roman" w:cs="Times New Roman"/>
              </w:rPr>
              <w:t>not reached</w:t>
            </w:r>
            <w:proofErr w:type="gramEnd"/>
            <w:r w:rsidRPr="00D24B87">
              <w:rPr>
                <w:rFonts w:ascii="Times New Roman" w:hAnsi="Times New Roman" w:cs="Times New Roman"/>
              </w:rPr>
              <w:t xml:space="preserve"> whose eligibility is unknown.</w:t>
            </w:r>
          </w:p>
        </w:tc>
        <w:tc>
          <w:tcPr>
            <w:tcW w:w="1070" w:type="pct"/>
          </w:tcPr>
          <w:p w14:paraId="5D1F2C47"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2,085</w:t>
            </w:r>
          </w:p>
        </w:tc>
      </w:tr>
      <w:tr w:rsidR="00572889" w:rsidRPr="00D24B87" w14:paraId="4990305F" w14:textId="77777777" w:rsidTr="00BB1089">
        <w:tc>
          <w:tcPr>
            <w:tcW w:w="577" w:type="pct"/>
          </w:tcPr>
          <w:p w14:paraId="68F0F6D1" w14:textId="77777777" w:rsidR="00572889" w:rsidRPr="00D24B87" w:rsidRDefault="00572889" w:rsidP="00BB1089">
            <w:pPr>
              <w:jc w:val="center"/>
              <w:rPr>
                <w:rFonts w:ascii="Times New Roman" w:hAnsi="Times New Roman" w:cs="Times New Roman"/>
              </w:rPr>
            </w:pPr>
            <w:r w:rsidRPr="00D24B87">
              <w:rPr>
                <w:rFonts w:ascii="Times New Roman" w:hAnsi="Times New Roman" w:cs="Times New Roman"/>
              </w:rPr>
              <w:t>e</w:t>
            </w:r>
          </w:p>
        </w:tc>
        <w:tc>
          <w:tcPr>
            <w:tcW w:w="3353" w:type="pct"/>
          </w:tcPr>
          <w:p w14:paraId="7F399ED1" w14:textId="77777777" w:rsidR="00572889" w:rsidRDefault="00572889" w:rsidP="00BB1089">
            <w:pPr>
              <w:rPr>
                <w:rFonts w:ascii="Times New Roman" w:hAnsi="Times New Roman" w:cs="Times New Roman"/>
              </w:rPr>
            </w:pPr>
            <w:r w:rsidRPr="00D24B87">
              <w:rPr>
                <w:rFonts w:ascii="Times New Roman" w:hAnsi="Times New Roman" w:cs="Times New Roman"/>
              </w:rPr>
              <w:t>Estimated proportion of cases of unknown eligibility in the sample. In estimating e, one must be guided by the best available scientific information on what share eligible cases make up among the unknown cases and one must not select a proportion to boost the response rate.</w:t>
            </w:r>
          </w:p>
          <w:p w14:paraId="608EB188" w14:textId="77777777" w:rsidR="00572889" w:rsidRPr="00D24B87" w:rsidRDefault="00572889" w:rsidP="00BB1089">
            <w:pPr>
              <w:rPr>
                <w:rFonts w:ascii="Times New Roman" w:hAnsi="Times New Roman" w:cs="Times New Roman"/>
              </w:rPr>
            </w:pPr>
          </w:p>
          <w:p w14:paraId="5D3DA71D" w14:textId="77777777" w:rsidR="00572889" w:rsidRPr="00EA1F86" w:rsidRDefault="00572889" w:rsidP="00BB1089">
            <w:pPr>
              <w:rPr>
                <w:rFonts w:ascii="Times New Roman" w:hAnsi="Times New Roman" w:cs="Times New Roman"/>
              </w:rPr>
            </w:pPr>
            <m:oMathPara>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1,045+229</m:t>
                        </m:r>
                      </m:e>
                    </m:d>
                  </m:num>
                  <m:den>
                    <m:d>
                      <m:dPr>
                        <m:ctrlPr>
                          <w:rPr>
                            <w:rFonts w:ascii="Cambria Math" w:hAnsi="Cambria Math" w:cs="Times New Roman"/>
                            <w:i/>
                          </w:rPr>
                        </m:ctrlPr>
                      </m:dPr>
                      <m:e>
                        <m:r>
                          <w:rPr>
                            <w:rFonts w:ascii="Cambria Math" w:hAnsi="Cambria Math" w:cs="Times New Roman"/>
                          </w:rPr>
                          <m:t>1,045+229</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2,128+50</m:t>
                        </m:r>
                      </m:e>
                    </m:d>
                  </m:den>
                </m:f>
              </m:oMath>
            </m:oMathPara>
          </w:p>
          <w:p w14:paraId="2140F547" w14:textId="77777777" w:rsidR="00572889" w:rsidRPr="00EA1F86" w:rsidRDefault="00572889" w:rsidP="00BB1089">
            <w:pPr>
              <w:rPr>
                <w:rFonts w:ascii="Times New Roman" w:hAnsi="Times New Roman" w:cs="Times New Roman"/>
              </w:rPr>
            </w:pPr>
          </w:p>
        </w:tc>
        <w:tc>
          <w:tcPr>
            <w:tcW w:w="1070" w:type="pct"/>
          </w:tcPr>
          <w:p w14:paraId="540E744A" w14:textId="77777777" w:rsidR="00572889" w:rsidRPr="00D24B87" w:rsidRDefault="00572889" w:rsidP="00BB1089">
            <w:pPr>
              <w:rPr>
                <w:rFonts w:ascii="Times New Roman" w:hAnsi="Times New Roman" w:cs="Times New Roman"/>
              </w:rPr>
            </w:pPr>
            <w:r w:rsidRPr="00D24B87">
              <w:rPr>
                <w:rFonts w:ascii="Times New Roman" w:hAnsi="Times New Roman" w:cs="Times New Roman"/>
              </w:rPr>
              <w:t>.369</w:t>
            </w:r>
          </w:p>
        </w:tc>
      </w:tr>
      <w:tr w:rsidR="00572889" w:rsidRPr="00D24B87" w14:paraId="00C217F9" w14:textId="77777777" w:rsidTr="00BB1089">
        <w:tc>
          <w:tcPr>
            <w:tcW w:w="5000" w:type="pct"/>
            <w:gridSpan w:val="3"/>
          </w:tcPr>
          <w:p w14:paraId="3B9C7F29" w14:textId="77777777" w:rsidR="00572889" w:rsidRDefault="00572889" w:rsidP="00BB1089">
            <w:pPr>
              <w:jc w:val="center"/>
              <w:rPr>
                <w:sz w:val="36"/>
                <w:szCs w:val="36"/>
              </w:rPr>
            </w:pPr>
          </w:p>
          <w:p w14:paraId="7DC708C7" w14:textId="77777777" w:rsidR="00572889" w:rsidRPr="00D24B87" w:rsidRDefault="00572889" w:rsidP="00BB1089">
            <w:pPr>
              <w:jc w:val="center"/>
              <w:rPr>
                <w:rFonts w:ascii="Times New Roman" w:hAnsi="Times New Roman" w:cs="Times New Roman"/>
                <w:sz w:val="36"/>
                <w:szCs w:val="36"/>
              </w:rPr>
            </w:pPr>
            <m:oMath>
              <m:f>
                <m:fPr>
                  <m:ctrlPr>
                    <w:rPr>
                      <w:rFonts w:ascii="Cambria Math" w:hAnsi="Cambria Math" w:cs="Times New Roman"/>
                      <w:i/>
                      <w:sz w:val="36"/>
                      <w:szCs w:val="36"/>
                    </w:rPr>
                  </m:ctrlPr>
                </m:fPr>
                <m:num>
                  <m:r>
                    <w:rPr>
                      <w:rFonts w:ascii="Cambria Math" w:hAnsi="Cambria Math" w:cs="Times New Roman"/>
                      <w:sz w:val="36"/>
                      <w:szCs w:val="36"/>
                    </w:rPr>
                    <m:t>(1,045+229)</m:t>
                  </m:r>
                </m:num>
                <m:den>
                  <m:d>
                    <m:dPr>
                      <m:ctrlPr>
                        <w:rPr>
                          <w:rFonts w:ascii="Cambria Math" w:hAnsi="Cambria Math" w:cs="Times New Roman"/>
                          <w:i/>
                          <w:sz w:val="36"/>
                          <w:szCs w:val="36"/>
                        </w:rPr>
                      </m:ctrlPr>
                    </m:dPr>
                    <m:e>
                      <m:r>
                        <w:rPr>
                          <w:rFonts w:ascii="Cambria Math" w:hAnsi="Cambria Math" w:cs="Times New Roman"/>
                          <w:sz w:val="36"/>
                          <w:szCs w:val="36"/>
                        </w:rPr>
                        <m:t>1,045+229</m:t>
                      </m:r>
                    </m:e>
                  </m:d>
                  <m:r>
                    <w:rPr>
                      <w:rFonts w:ascii="Cambria Math" w:hAnsi="Cambria Math" w:cs="Times New Roman"/>
                      <w:sz w:val="36"/>
                      <w:szCs w:val="36"/>
                    </w:rPr>
                    <m:t>+</m:t>
                  </m:r>
                  <m:d>
                    <m:dPr>
                      <m:ctrlPr>
                        <w:rPr>
                          <w:rFonts w:ascii="Cambria Math" w:hAnsi="Cambria Math" w:cs="Times New Roman"/>
                          <w:i/>
                          <w:sz w:val="36"/>
                          <w:szCs w:val="36"/>
                        </w:rPr>
                      </m:ctrlPr>
                    </m:dPr>
                    <m:e>
                      <m:r>
                        <w:rPr>
                          <w:rFonts w:ascii="Cambria Math" w:hAnsi="Cambria Math" w:cs="Times New Roman"/>
                          <w:sz w:val="36"/>
                          <w:szCs w:val="36"/>
                        </w:rPr>
                        <m:t>50</m:t>
                      </m:r>
                    </m:e>
                  </m:d>
                  <m:r>
                    <w:rPr>
                      <w:rFonts w:ascii="Cambria Math" w:hAnsi="Cambria Math" w:cs="Times New Roman"/>
                      <w:sz w:val="36"/>
                      <w:szCs w:val="36"/>
                    </w:rPr>
                    <m:t>+ .369(2,085)</m:t>
                  </m:r>
                </m:den>
              </m:f>
            </m:oMath>
            <w:r w:rsidRPr="00D24B87">
              <w:rPr>
                <w:rFonts w:ascii="Times New Roman" w:hAnsi="Times New Roman" w:cs="Times New Roman"/>
                <w:sz w:val="36"/>
                <w:szCs w:val="36"/>
              </w:rPr>
              <w:t xml:space="preserve"> = .623 = </w:t>
            </w:r>
            <w:r w:rsidRPr="00D24B87">
              <w:rPr>
                <w:rFonts w:ascii="Times New Roman" w:hAnsi="Times New Roman" w:cs="Times New Roman"/>
                <w:b/>
                <w:bCs/>
                <w:sz w:val="36"/>
                <w:szCs w:val="36"/>
              </w:rPr>
              <w:t>62.3%</w:t>
            </w:r>
          </w:p>
          <w:p w14:paraId="57A8C608" w14:textId="77777777" w:rsidR="00572889" w:rsidRPr="00D24B87" w:rsidRDefault="00572889" w:rsidP="00BB1089">
            <w:pPr>
              <w:rPr>
                <w:rFonts w:ascii="Times New Roman" w:hAnsi="Times New Roman" w:cs="Times New Roman"/>
              </w:rPr>
            </w:pPr>
          </w:p>
        </w:tc>
      </w:tr>
    </w:tbl>
    <w:p w14:paraId="135553AE" w14:textId="77777777" w:rsidR="00BB2FD6" w:rsidRDefault="00BB2FD6"/>
    <w:sectPr w:rsidR="00BB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9"/>
    <w:rsid w:val="00572889"/>
    <w:rsid w:val="00BB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BF5"/>
  <w15:chartTrackingRefBased/>
  <w15:docId w15:val="{06DDEE61-3420-407D-A404-80959EB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89"/>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889"/>
    <w:rPr>
      <w:color w:val="0563C1" w:themeColor="hyperlink"/>
      <w:u w:val="single"/>
    </w:rPr>
  </w:style>
  <w:style w:type="table" w:styleId="TableGrid">
    <w:name w:val="Table Grid"/>
    <w:basedOn w:val="TableNormal"/>
    <w:uiPriority w:val="39"/>
    <w:rsid w:val="00572889"/>
    <w:rPr>
      <w:rFonts w:asciiTheme="minorHAnsi" w:eastAsiaTheme="minorEastAsia" w:hAnsiTheme="minorHAns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por.org/AAPOR_Main/media/publications/Standard-Definitions20169theditionfinal.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9" ma:contentTypeDescription="Create a new document." ma:contentTypeScope="" ma:versionID="c434b159c12d5c0d20c8e83f96838286">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f111e6bfc6d3f22d5fea4425f0d4a23d"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535dd3-5edb-4be0-99c7-3429adca58e1}"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xsi:nil="true"/>
    <lcf76f155ced4ddcb4097134ff3c332f xmlns="f5e06d91-c5a6-4f5b-ba05-55ebba9fd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DD793-A16B-450B-86EE-0EB7D87F0066}"/>
</file>

<file path=customXml/itemProps2.xml><?xml version="1.0" encoding="utf-8"?>
<ds:datastoreItem xmlns:ds="http://schemas.openxmlformats.org/officeDocument/2006/customXml" ds:itemID="{92A6A90E-0725-4B4D-AA2F-A39E6A01FD00}"/>
</file>

<file path=customXml/itemProps3.xml><?xml version="1.0" encoding="utf-8"?>
<ds:datastoreItem xmlns:ds="http://schemas.openxmlformats.org/officeDocument/2006/customXml" ds:itemID="{972F6377-3874-4ED5-83D6-C20146864CB9}"/>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Parth</dc:creator>
  <cp:keywords/>
  <dc:description/>
  <cp:lastModifiedBy>Shah, Parth</cp:lastModifiedBy>
  <cp:revision>1</cp:revision>
  <dcterms:created xsi:type="dcterms:W3CDTF">2023-09-29T16:07:00Z</dcterms:created>
  <dcterms:modified xsi:type="dcterms:W3CDTF">2023-09-29T16:07:00Z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ies>
</file>