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DAE" w:rsidRPr="00306992" w:rsidRDefault="007D0DAE" w:rsidP="007D0DAE">
      <w:pPr>
        <w:spacing w:line="480" w:lineRule="auto"/>
        <w:rPr>
          <w:b/>
          <w:bCs/>
        </w:rPr>
      </w:pPr>
      <w:r w:rsidRPr="00306992">
        <w:rPr>
          <w:b/>
          <w:bCs/>
        </w:rPr>
        <w:t>Supplement</w:t>
      </w:r>
    </w:p>
    <w:p w:rsidR="007D0DAE" w:rsidRPr="004356D1" w:rsidRDefault="007D0DAE" w:rsidP="007D0DAE">
      <w:pPr>
        <w:spacing w:line="480" w:lineRule="auto"/>
        <w:rPr>
          <w:b/>
          <w:i/>
          <w:iCs/>
        </w:rPr>
      </w:pPr>
      <w:r w:rsidRPr="004356D1">
        <w:rPr>
          <w:b/>
        </w:rPr>
        <w:t>The SCIR Compartmental Model Fitting Method</w:t>
      </w:r>
    </w:p>
    <w:p w:rsidR="007D0DAE" w:rsidRPr="004356D1" w:rsidRDefault="007D0DAE" w:rsidP="007D0DAE">
      <w:pPr>
        <w:spacing w:line="480" w:lineRule="auto"/>
      </w:pPr>
      <w:r w:rsidRPr="004356D1">
        <w:t>The equations representing attack rate and invasive odds ratio are derived from the stable endemic equilibrium [</w:t>
      </w:r>
      <w:r w:rsidRPr="004356D1">
        <w:rPr>
          <w:i/>
          <w:iCs/>
        </w:rPr>
        <w:t>S</w:t>
      </w:r>
      <w:r w:rsidRPr="004356D1">
        <w:t xml:space="preserve">*, </w:t>
      </w:r>
      <w:r w:rsidRPr="004356D1">
        <w:rPr>
          <w:i/>
          <w:iCs/>
        </w:rPr>
        <w:t>C</w:t>
      </w:r>
      <w:r w:rsidRPr="004356D1">
        <w:t xml:space="preserve">*, </w:t>
      </w:r>
      <w:r w:rsidRPr="004356D1">
        <w:rPr>
          <w:i/>
          <w:iCs/>
        </w:rPr>
        <w:t>I</w:t>
      </w:r>
      <w:r w:rsidRPr="004356D1">
        <w:t xml:space="preserve">*, </w:t>
      </w:r>
      <w:r w:rsidRPr="004356D1">
        <w:rPr>
          <w:i/>
          <w:iCs/>
        </w:rPr>
        <w:t>R</w:t>
      </w:r>
      <w:r w:rsidRPr="004356D1">
        <w:t>*] solutions of the SCIR model given below,</w:t>
      </w:r>
    </w:p>
    <w:p w:rsidR="007D0DAE" w:rsidRPr="004356D1" w:rsidRDefault="007D0DAE" w:rsidP="007D0DAE">
      <w:pPr>
        <w:spacing w:line="480" w:lineRule="auto"/>
      </w:pPr>
    </w:p>
    <w:p w:rsidR="007D0DAE" w:rsidRPr="004356D1" w:rsidRDefault="007D0DAE" w:rsidP="007D0DAE">
      <w:pPr>
        <w:spacing w:line="480" w:lineRule="auto"/>
        <w:rPr>
          <w:i/>
        </w:rPr>
      </w:pPr>
      <m:oMathPara>
        <m:oMathParaPr>
          <m:jc m:val="center"/>
        </m:oMathParaPr>
        <m:oMath>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m:t>
          </m:r>
          <m:f>
            <m:fPr>
              <m:ctrlPr>
                <w:rPr>
                  <w:rFonts w:ascii="Cambria Math" w:hAnsi="Cambria Math"/>
                  <w:i/>
                </w:rPr>
              </m:ctrlPr>
            </m:fPr>
            <m:num>
              <m:r>
                <w:rPr>
                  <w:rFonts w:ascii="Cambria Math" w:hAnsi="Cambria Math"/>
                </w:rPr>
                <m:t>dτ+1</m:t>
              </m:r>
            </m:num>
            <m:den>
              <m:r>
                <w:rPr>
                  <w:rFonts w:ascii="Cambria Math" w:hAnsi="Cambria Math"/>
                </w:rPr>
                <m:t>βτ-βpτ</m:t>
              </m:r>
            </m:den>
          </m:f>
        </m:oMath>
      </m:oMathPara>
    </w:p>
    <w:p w:rsidR="007D0DAE" w:rsidRPr="004356D1" w:rsidRDefault="007D0DAE" w:rsidP="007D0DAE">
      <w:pPr>
        <w:spacing w:line="480" w:lineRule="auto"/>
        <w:rPr>
          <w:i/>
        </w:rPr>
      </w:pPr>
      <m:oMathPara>
        <m:oMathParaPr>
          <m:jc m:val="center"/>
        </m:oMathParaPr>
        <m:oMath>
          <m:sSup>
            <m:sSupPr>
              <m:ctrlPr>
                <w:rPr>
                  <w:rFonts w:ascii="Cambria Math" w:hAnsi="Cambria Math"/>
                  <w:i/>
                </w:rPr>
              </m:ctrlPr>
            </m:sSupPr>
            <m:e>
              <m:r>
                <w:rPr>
                  <w:rFonts w:ascii="Cambria Math" w:hAnsi="Cambria Math"/>
                </w:rPr>
                <m:t>C</m:t>
              </m:r>
            </m:e>
            <m:sup>
              <m:r>
                <w:rPr>
                  <w:rFonts w:ascii="Cambria Math" w:hAnsi="Cambria Math"/>
                </w:rPr>
                <m:t>*</m:t>
              </m:r>
            </m:sup>
          </m:sSup>
          <m:r>
            <w:rPr>
              <w:rFonts w:ascii="Cambria Math" w:hAnsi="Cambria Math"/>
            </w:rPr>
            <m:t>=-</m:t>
          </m:r>
          <m:f>
            <m:fPr>
              <m:ctrlPr>
                <w:rPr>
                  <w:rFonts w:ascii="Cambria Math" w:hAnsi="Cambria Math"/>
                  <w:i/>
                </w:rPr>
              </m:ctrlPr>
            </m:fPr>
            <m:num>
              <m:r>
                <w:rPr>
                  <w:rFonts w:ascii="Cambria Math" w:hAnsi="Cambria Math"/>
                </w:rPr>
                <m:t>fh</m:t>
              </m:r>
              <m:d>
                <m:dPr>
                  <m:ctrlPr>
                    <w:rPr>
                      <w:rFonts w:ascii="Cambria Math" w:hAnsi="Cambria Math"/>
                      <w:i/>
                    </w:rPr>
                  </m:ctrlPr>
                </m:dPr>
                <m:e>
                  <m:r>
                    <w:rPr>
                      <w:rFonts w:ascii="Cambria Math" w:hAnsi="Cambria Math"/>
                    </w:rPr>
                    <m:t>β</m:t>
                  </m:r>
                  <m:d>
                    <m:dPr>
                      <m:ctrlPr>
                        <w:rPr>
                          <w:rFonts w:ascii="Cambria Math" w:hAnsi="Cambria Math"/>
                          <w:i/>
                        </w:rPr>
                      </m:ctrlPr>
                    </m:dPr>
                    <m:e>
                      <m:r>
                        <w:rPr>
                          <w:rFonts w:ascii="Cambria Math" w:hAnsi="Cambria Math"/>
                        </w:rPr>
                        <m:t>p-1</m:t>
                      </m:r>
                    </m:e>
                  </m:d>
                  <m:r>
                    <w:rPr>
                      <w:rFonts w:ascii="Cambria Math" w:hAnsi="Cambria Math"/>
                    </w:rPr>
                    <m:t>τ+dτ+1</m:t>
                  </m:r>
                </m:e>
              </m:d>
            </m:num>
            <m:den>
              <m:r>
                <w:rPr>
                  <w:rFonts w:ascii="Cambria Math" w:hAnsi="Cambria Math"/>
                </w:rPr>
                <m:t>β</m:t>
              </m:r>
              <m:d>
                <m:dPr>
                  <m:ctrlPr>
                    <w:rPr>
                      <w:rFonts w:ascii="Cambria Math" w:hAnsi="Cambria Math"/>
                      <w:i/>
                    </w:rPr>
                  </m:ctrlPr>
                </m:dPr>
                <m:e>
                  <m:r>
                    <w:rPr>
                      <w:rFonts w:ascii="Cambria Math" w:hAnsi="Cambria Math"/>
                    </w:rPr>
                    <m:t>h</m:t>
                  </m:r>
                  <m:d>
                    <m:dPr>
                      <m:ctrlPr>
                        <w:rPr>
                          <w:rFonts w:ascii="Cambria Math" w:hAnsi="Cambria Math"/>
                          <w:i/>
                        </w:rPr>
                      </m:ctrlPr>
                    </m:dPr>
                    <m:e>
                      <m:r>
                        <w:rPr>
                          <w:rFonts w:ascii="Cambria Math" w:hAnsi="Cambria Math"/>
                        </w:rPr>
                        <m:t>dτ-fpτ+fτ+1</m:t>
                      </m:r>
                    </m:e>
                  </m:d>
                  <m:r>
                    <w:rPr>
                      <w:rFonts w:ascii="Cambria Math" w:hAnsi="Cambria Math"/>
                    </w:rPr>
                    <m:t>+f</m:t>
                  </m:r>
                  <m:d>
                    <m:dPr>
                      <m:ctrlPr>
                        <w:rPr>
                          <w:rFonts w:ascii="Cambria Math" w:hAnsi="Cambria Math"/>
                          <w:i/>
                        </w:rPr>
                      </m:ctrlPr>
                    </m:dPr>
                    <m:e>
                      <m:r>
                        <w:rPr>
                          <w:rFonts w:ascii="Cambria Math" w:hAnsi="Cambria Math"/>
                        </w:rPr>
                        <m:t>dτ+p</m:t>
                      </m:r>
                    </m:e>
                  </m:d>
                </m:e>
              </m:d>
            </m:den>
          </m:f>
        </m:oMath>
      </m:oMathPara>
    </w:p>
    <w:p w:rsidR="007D0DAE" w:rsidRPr="004356D1" w:rsidRDefault="007D0DAE" w:rsidP="007D0DAE">
      <w:pPr>
        <w:spacing w:line="480" w:lineRule="auto"/>
        <w:rPr>
          <w:i/>
        </w:rPr>
      </w:pPr>
      <m:oMathPara>
        <m:oMathParaPr>
          <m:jc m:val="center"/>
        </m:oMathParaPr>
        <m:oMath>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m:t>
          </m:r>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dτ+p</m:t>
                  </m:r>
                </m:e>
              </m:d>
              <m:d>
                <m:dPr>
                  <m:ctrlPr>
                    <w:rPr>
                      <w:rFonts w:ascii="Cambria Math" w:hAnsi="Cambria Math"/>
                      <w:i/>
                    </w:rPr>
                  </m:ctrlPr>
                </m:dPr>
                <m:e>
                  <m:r>
                    <w:rPr>
                      <w:rFonts w:ascii="Cambria Math" w:hAnsi="Cambria Math"/>
                    </w:rPr>
                    <m:t>β</m:t>
                  </m:r>
                  <m:d>
                    <m:dPr>
                      <m:ctrlPr>
                        <w:rPr>
                          <w:rFonts w:ascii="Cambria Math" w:hAnsi="Cambria Math"/>
                          <w:i/>
                        </w:rPr>
                      </m:ctrlPr>
                    </m:dPr>
                    <m:e>
                      <m:r>
                        <w:rPr>
                          <w:rFonts w:ascii="Cambria Math" w:hAnsi="Cambria Math"/>
                        </w:rPr>
                        <m:t>p-1</m:t>
                      </m:r>
                    </m:e>
                  </m:d>
                  <m:r>
                    <w:rPr>
                      <w:rFonts w:ascii="Cambria Math" w:hAnsi="Cambria Math"/>
                    </w:rPr>
                    <m:t>τ+dτ+1</m:t>
                  </m:r>
                </m:e>
              </m:d>
            </m:num>
            <m:den>
              <m:r>
                <w:rPr>
                  <w:rFonts w:ascii="Cambria Math" w:hAnsi="Cambria Math"/>
                </w:rPr>
                <m:t>β</m:t>
              </m:r>
              <m:d>
                <m:dPr>
                  <m:ctrlPr>
                    <w:rPr>
                      <w:rFonts w:ascii="Cambria Math" w:hAnsi="Cambria Math"/>
                      <w:i/>
                    </w:rPr>
                  </m:ctrlPr>
                </m:dPr>
                <m:e>
                  <m:r>
                    <w:rPr>
                      <w:rFonts w:ascii="Cambria Math" w:hAnsi="Cambria Math"/>
                    </w:rPr>
                    <m:t>p-1</m:t>
                  </m:r>
                </m:e>
              </m:d>
              <m:r>
                <w:rPr>
                  <w:rFonts w:ascii="Cambria Math" w:hAnsi="Cambria Math"/>
                </w:rPr>
                <m:t>τ</m:t>
              </m:r>
              <m:d>
                <m:dPr>
                  <m:ctrlPr>
                    <w:rPr>
                      <w:rFonts w:ascii="Cambria Math" w:hAnsi="Cambria Math"/>
                      <w:i/>
                    </w:rPr>
                  </m:ctrlPr>
                </m:dPr>
                <m:e>
                  <m:r>
                    <w:rPr>
                      <w:rFonts w:ascii="Cambria Math" w:hAnsi="Cambria Math"/>
                    </w:rPr>
                    <m:t>h</m:t>
                  </m:r>
                  <m:d>
                    <m:dPr>
                      <m:ctrlPr>
                        <w:rPr>
                          <w:rFonts w:ascii="Cambria Math" w:hAnsi="Cambria Math"/>
                          <w:i/>
                        </w:rPr>
                      </m:ctrlPr>
                    </m:dPr>
                    <m:e>
                      <m:r>
                        <w:rPr>
                          <w:rFonts w:ascii="Cambria Math" w:hAnsi="Cambria Math"/>
                        </w:rPr>
                        <m:t>dτ-fpτ+fτ+1</m:t>
                      </m:r>
                    </m:e>
                  </m:d>
                  <m:r>
                    <w:rPr>
                      <w:rFonts w:ascii="Cambria Math" w:hAnsi="Cambria Math"/>
                    </w:rPr>
                    <m:t>+f</m:t>
                  </m:r>
                  <m:d>
                    <m:dPr>
                      <m:ctrlPr>
                        <w:rPr>
                          <w:rFonts w:ascii="Cambria Math" w:hAnsi="Cambria Math"/>
                          <w:i/>
                        </w:rPr>
                      </m:ctrlPr>
                    </m:dPr>
                    <m:e>
                      <m:r>
                        <w:rPr>
                          <w:rFonts w:ascii="Cambria Math" w:hAnsi="Cambria Math"/>
                        </w:rPr>
                        <m:t>dτ+p</m:t>
                      </m:r>
                    </m:e>
                  </m:d>
                </m:e>
              </m:d>
            </m:den>
          </m:f>
        </m:oMath>
      </m:oMathPara>
    </w:p>
    <w:p w:rsidR="007D0DAE" w:rsidRPr="004356D1" w:rsidRDefault="007D0DAE" w:rsidP="007D0DAE">
      <w:pPr>
        <w:spacing w:line="480" w:lineRule="auto"/>
        <w:rPr>
          <w:i/>
        </w:rPr>
      </w:pPr>
      <m:oMathPara>
        <m:oMathParaPr>
          <m:jc m:val="center"/>
        </m:oMathParaPr>
        <m:oMath>
          <m:sSup>
            <m:sSupPr>
              <m:ctrlPr>
                <w:rPr>
                  <w:rFonts w:ascii="Cambria Math" w:hAnsi="Cambria Math"/>
                  <w:i/>
                </w:rPr>
              </m:ctrlPr>
            </m:sSupPr>
            <m:e>
              <m:r>
                <w:rPr>
                  <w:rFonts w:ascii="Cambria Math" w:hAnsi="Cambria Math"/>
                </w:rPr>
                <m:t>R</m:t>
              </m:r>
            </m:e>
            <m:sup>
              <m:r>
                <w:rPr>
                  <w:rFonts w:ascii="Cambria Math" w:hAnsi="Cambria Math"/>
                </w:rPr>
                <m:t>*</m:t>
              </m:r>
            </m:sup>
          </m:sSup>
          <m:r>
            <w:rPr>
              <w:rFonts w:ascii="Cambria Math" w:hAnsi="Cambria Math"/>
            </w:rPr>
            <m:t>=</m:t>
          </m:r>
          <m:f>
            <m:fPr>
              <m:ctrlPr>
                <w:rPr>
                  <w:rFonts w:ascii="Cambria Math" w:hAnsi="Cambria Math"/>
                  <w:i/>
                </w:rPr>
              </m:ctrlPr>
            </m:fPr>
            <m:num>
              <m:r>
                <w:rPr>
                  <w:rFonts w:ascii="Cambria Math" w:hAnsi="Cambria Math"/>
                </w:rPr>
                <m:t>h</m:t>
              </m:r>
              <m:d>
                <m:dPr>
                  <m:ctrlPr>
                    <w:rPr>
                      <w:rFonts w:ascii="Cambria Math" w:hAnsi="Cambria Math"/>
                      <w:i/>
                    </w:rPr>
                  </m:ctrlPr>
                </m:dPr>
                <m:e>
                  <m:r>
                    <w:rPr>
                      <w:rFonts w:ascii="Cambria Math" w:hAnsi="Cambria Math"/>
                    </w:rPr>
                    <m:t>dτ+1</m:t>
                  </m:r>
                </m:e>
              </m:d>
              <m:d>
                <m:dPr>
                  <m:ctrlPr>
                    <w:rPr>
                      <w:rFonts w:ascii="Cambria Math" w:hAnsi="Cambria Math"/>
                      <w:i/>
                    </w:rPr>
                  </m:ctrlPr>
                </m:dPr>
                <m:e>
                  <m:r>
                    <w:rPr>
                      <w:rFonts w:ascii="Cambria Math" w:hAnsi="Cambria Math"/>
                    </w:rPr>
                    <m:t>β</m:t>
                  </m:r>
                  <m:d>
                    <m:dPr>
                      <m:ctrlPr>
                        <w:rPr>
                          <w:rFonts w:ascii="Cambria Math" w:hAnsi="Cambria Math"/>
                          <w:i/>
                        </w:rPr>
                      </m:ctrlPr>
                    </m:dPr>
                    <m:e>
                      <m:r>
                        <w:rPr>
                          <w:rFonts w:ascii="Cambria Math" w:hAnsi="Cambria Math"/>
                        </w:rPr>
                        <m:t>p-1</m:t>
                      </m:r>
                    </m:e>
                  </m:d>
                  <m:r>
                    <w:rPr>
                      <w:rFonts w:ascii="Cambria Math" w:hAnsi="Cambria Math"/>
                    </w:rPr>
                    <m:t>τ+dτ+1</m:t>
                  </m:r>
                </m:e>
              </m:d>
            </m:num>
            <m:den>
              <m:r>
                <w:rPr>
                  <w:rFonts w:ascii="Cambria Math" w:hAnsi="Cambria Math"/>
                </w:rPr>
                <m:t>β</m:t>
              </m:r>
              <m:d>
                <m:dPr>
                  <m:ctrlPr>
                    <w:rPr>
                      <w:rFonts w:ascii="Cambria Math" w:hAnsi="Cambria Math"/>
                      <w:i/>
                    </w:rPr>
                  </m:ctrlPr>
                </m:dPr>
                <m:e>
                  <m:r>
                    <w:rPr>
                      <w:rFonts w:ascii="Cambria Math" w:hAnsi="Cambria Math"/>
                    </w:rPr>
                    <m:t>p-1</m:t>
                  </m:r>
                </m:e>
              </m:d>
              <m:r>
                <w:rPr>
                  <w:rFonts w:ascii="Cambria Math" w:hAnsi="Cambria Math"/>
                </w:rPr>
                <m:t>τ</m:t>
              </m:r>
              <m:d>
                <m:dPr>
                  <m:ctrlPr>
                    <w:rPr>
                      <w:rFonts w:ascii="Cambria Math" w:hAnsi="Cambria Math"/>
                      <w:i/>
                    </w:rPr>
                  </m:ctrlPr>
                </m:dPr>
                <m:e>
                  <m:r>
                    <w:rPr>
                      <w:rFonts w:ascii="Cambria Math" w:hAnsi="Cambria Math"/>
                    </w:rPr>
                    <m:t>h</m:t>
                  </m:r>
                  <m:d>
                    <m:dPr>
                      <m:ctrlPr>
                        <w:rPr>
                          <w:rFonts w:ascii="Cambria Math" w:hAnsi="Cambria Math"/>
                          <w:i/>
                        </w:rPr>
                      </m:ctrlPr>
                    </m:dPr>
                    <m:e>
                      <m:r>
                        <w:rPr>
                          <w:rFonts w:ascii="Cambria Math" w:hAnsi="Cambria Math"/>
                        </w:rPr>
                        <m:t>dτ-fpτ+fτ+1</m:t>
                      </m:r>
                    </m:e>
                  </m:d>
                  <m:r>
                    <w:rPr>
                      <w:rFonts w:ascii="Cambria Math" w:hAnsi="Cambria Math"/>
                    </w:rPr>
                    <m:t>+f</m:t>
                  </m:r>
                  <m:d>
                    <m:dPr>
                      <m:ctrlPr>
                        <w:rPr>
                          <w:rFonts w:ascii="Cambria Math" w:hAnsi="Cambria Math"/>
                          <w:i/>
                        </w:rPr>
                      </m:ctrlPr>
                    </m:dPr>
                    <m:e>
                      <m:r>
                        <w:rPr>
                          <w:rFonts w:ascii="Cambria Math" w:hAnsi="Cambria Math"/>
                        </w:rPr>
                        <m:t>dτ+p</m:t>
                      </m:r>
                    </m:e>
                  </m:d>
                </m:e>
              </m:d>
            </m:den>
          </m:f>
        </m:oMath>
      </m:oMathPara>
    </w:p>
    <w:p w:rsidR="007D0DAE" w:rsidRPr="004356D1" w:rsidRDefault="007D0DAE" w:rsidP="007D0DAE">
      <w:pPr>
        <w:spacing w:line="480" w:lineRule="auto"/>
      </w:pPr>
    </w:p>
    <w:p w:rsidR="007D0DAE" w:rsidRPr="004356D1" w:rsidRDefault="007D0DAE" w:rsidP="007D0DAE">
      <w:pPr>
        <w:spacing w:line="480" w:lineRule="auto"/>
      </w:pPr>
      <w:r w:rsidRPr="004356D1">
        <w:t xml:space="preserve">where the proportions of individuals in a susceptible, carrier, diseased and recovered class for a focal strain are denoted by the variables </w:t>
      </w:r>
      <w:r w:rsidRPr="004356D1">
        <w:rPr>
          <w:i/>
          <w:iCs/>
        </w:rPr>
        <w:t>S</w:t>
      </w:r>
      <w:r w:rsidRPr="004356D1">
        <w:t xml:space="preserve">, </w:t>
      </w:r>
      <w:r w:rsidRPr="004356D1">
        <w:rPr>
          <w:i/>
          <w:iCs/>
        </w:rPr>
        <w:t>C</w:t>
      </w:r>
      <w:r w:rsidRPr="004356D1">
        <w:t xml:space="preserve">, </w:t>
      </w:r>
      <w:r w:rsidRPr="004356D1">
        <w:rPr>
          <w:i/>
          <w:iCs/>
        </w:rPr>
        <w:t>I</w:t>
      </w:r>
      <w:r w:rsidRPr="004356D1">
        <w:t xml:space="preserve"> and </w:t>
      </w:r>
      <w:r w:rsidRPr="004356D1">
        <w:rPr>
          <w:i/>
          <w:iCs/>
        </w:rPr>
        <w:t>R</w:t>
      </w:r>
      <w:r w:rsidRPr="004356D1">
        <w:t xml:space="preserve"> respectively.</w:t>
      </w:r>
    </w:p>
    <w:p w:rsidR="007D0DAE" w:rsidRPr="004356D1" w:rsidRDefault="007D0DAE" w:rsidP="007D0DAE">
      <w:pPr>
        <w:spacing w:line="480" w:lineRule="auto"/>
      </w:pPr>
    </w:p>
    <w:p w:rsidR="007D0DAE" w:rsidRPr="004356D1" w:rsidRDefault="007D0DAE" w:rsidP="007D0DAE">
      <w:pPr>
        <w:spacing w:line="480" w:lineRule="auto"/>
      </w:pPr>
      <w:r w:rsidRPr="004356D1">
        <w:t xml:space="preserve">Carriage prevalence for a focal serotype is defined by the proportion of carriage cases, </w:t>
      </w:r>
      <w:r w:rsidRPr="004356D1">
        <w:rPr>
          <w:i/>
          <w:iCs/>
        </w:rPr>
        <w:t>C*</w:t>
      </w:r>
      <w:r w:rsidRPr="004356D1">
        <w:t>, which we express as a percentage (</w:t>
      </w:r>
      <m:oMath>
        <m:sSup>
          <m:sSupPr>
            <m:ctrlPr>
              <w:rPr>
                <w:rFonts w:ascii="Cambria Math" w:hAnsi="Cambria Math"/>
                <w:i/>
              </w:rPr>
            </m:ctrlPr>
          </m:sSupPr>
          <m:e>
            <m:r>
              <w:rPr>
                <w:rFonts w:ascii="Cambria Math" w:hAnsi="Cambria Math"/>
              </w:rPr>
              <m:t>C</m:t>
            </m:r>
          </m:e>
          <m:sup>
            <m:r>
              <w:rPr>
                <w:rFonts w:ascii="Cambria Math" w:hAnsi="Cambria Math"/>
              </w:rPr>
              <m:t>*</m:t>
            </m:r>
          </m:sup>
        </m:sSup>
        <m:r>
          <w:rPr>
            <w:rFonts w:ascii="Cambria Math" w:hAnsi="Cambria Math"/>
          </w:rPr>
          <m:t>*100</m:t>
        </m:r>
      </m:oMath>
      <w:r w:rsidRPr="004356D1">
        <w:t>). Incidence of IPD (I</w:t>
      </w:r>
      <w:r w:rsidRPr="004356D1">
        <w:rPr>
          <w:vertAlign w:val="subscript"/>
        </w:rPr>
        <w:t>inc</w:t>
      </w:r>
      <w:r w:rsidRPr="004356D1">
        <w:t xml:space="preserve">) is calculated as number of new invasive disease cases in 100,000 person-years </w:t>
      </w:r>
      <w:r w:rsidRPr="004356D1">
        <w:fldChar w:fldCharType="begin"/>
      </w:r>
      <w:r>
        <w:instrText xml:space="preserve"> ADDIN EN.CITE &lt;EndNote&gt;&lt;Cite&gt;&lt;Author&gt;Sleeman&lt;/Author&gt;&lt;Year&gt;2006&lt;/Year&gt;&lt;RecNum&gt;83&lt;/RecNum&gt;&lt;DisplayText&gt;(Sleeman et al., 2006)&lt;/DisplayText&gt;&lt;record&gt;&lt;rec-number&gt;83&lt;/rec-number&gt;&lt;foreign-keys&gt;&lt;key app="EN" db-id="arwsepdx905dwferawv5zt2ow09fwwt0ttfa" timestamp="1600111040" guid="a784d482-83cd-4592-9867-f7ca4d64f2ec"&gt;83&lt;/key&gt;&lt;/foreign-keys&gt;&lt;ref-type name="Journal Article"&gt;17&lt;/ref-type&gt;&lt;contributors&gt;&lt;authors&gt;&lt;author&gt;Sleeman, K. L.&lt;/author&gt;&lt;author&gt;Griffiths, D.&lt;/author&gt;&lt;author&gt;Shackley, F.&lt;/author&gt;&lt;author&gt;Diggle, L.&lt;/author&gt;&lt;author&gt;Gupta, S.&lt;/author&gt;&lt;author&gt;Maiden, M. C.&lt;/author&gt;&lt;author&gt;Moxon, E. R.&lt;/author&gt;&lt;author&gt;Crook, D. W.&lt;/author&gt;&lt;author&gt;Peto, T. E.&lt;/author&gt;&lt;/authors&gt;&lt;/contributors&gt;&lt;titles&gt;&lt;title&gt;Capsular serotype-specific attack rates and duration of carriage of Streptococcus pneumoniae in a population of children&lt;/title&gt;&lt;secondary-title&gt;J Infect Dis&lt;/secondary-title&gt;&lt;/titles&gt;&lt;periodical&gt;&lt;full-title&gt;J Infect Dis&lt;/full-title&gt;&lt;/periodical&gt;&lt;pages&gt;682-8&lt;/pages&gt;&lt;volume&gt;194&lt;/volume&gt;&lt;number&gt;5&lt;/number&gt;&lt;edition&gt;2006/07/25&lt;/edition&gt;&lt;keywords&gt;&lt;keyword&gt;Child&lt;/keyword&gt;&lt;keyword&gt;Humans&lt;/keyword&gt;&lt;keyword&gt;Longitudinal Studies&lt;/keyword&gt;&lt;keyword&gt;Pneumococcal Infections&lt;/keyword&gt;&lt;keyword&gt;Serotyping&lt;/keyword&gt;&lt;keyword&gt;Streptococcus pneumoniae&lt;/keyword&gt;&lt;keyword&gt;United Kingdom&lt;/keyword&gt;&lt;/keywords&gt;&lt;dates&gt;&lt;year&gt;2006&lt;/year&gt;&lt;pub-dates&gt;&lt;date&gt;Sep&lt;/date&gt;&lt;/pub-dates&gt;&lt;/dates&gt;&lt;isbn&gt;0022-1899&lt;/isbn&gt;&lt;accession-num&gt;16897668&lt;/accession-num&gt;&lt;urls&gt;&lt;related-urls&gt;&lt;url&gt;https://www.ncbi.nlm.nih.gov/pubmed/16897668&lt;/url&gt;&lt;/related-urls&gt;&lt;/urls&gt;&lt;electronic-resource-num&gt;10.1086/505710&lt;/electronic-resource-num&gt;&lt;language&gt;eng&lt;/language&gt;&lt;/record&gt;&lt;/Cite&gt;&lt;/EndNote&gt;</w:instrText>
      </w:r>
      <w:r w:rsidRPr="004356D1">
        <w:fldChar w:fldCharType="separate"/>
      </w:r>
      <w:r>
        <w:rPr>
          <w:noProof/>
        </w:rPr>
        <w:t>(Sleeman et al., 2006)</w:t>
      </w:r>
      <w:r w:rsidRPr="004356D1">
        <w:fldChar w:fldCharType="end"/>
      </w:r>
      <w:r w:rsidRPr="004356D1">
        <w:t>. The number of new invasive infections is the sum of inflow terms from the invasive disease differential equation,</w:t>
      </w:r>
    </w:p>
    <w:p w:rsidR="007D0DAE" w:rsidRPr="004356D1" w:rsidRDefault="007D0DAE" w:rsidP="007D0DAE">
      <w:pPr>
        <w:spacing w:line="480" w:lineRule="auto"/>
      </w:pPr>
    </w:p>
    <w:p w:rsidR="007D0DAE" w:rsidRPr="004356D1" w:rsidRDefault="007D0DAE" w:rsidP="007D0DAE">
      <w:pPr>
        <w:spacing w:line="480" w:lineRule="auto"/>
        <w:rPr>
          <w:i/>
        </w:rPr>
      </w:pPr>
      <m:oMathPara>
        <m:oMath>
          <m:sSubSup>
            <m:sSubSupPr>
              <m:ctrlPr>
                <w:rPr>
                  <w:rFonts w:ascii="Cambria Math" w:hAnsi="Cambria Math"/>
                  <w:i/>
                </w:rPr>
              </m:ctrlPr>
            </m:sSubSupPr>
            <m:e>
              <m:r>
                <w:rPr>
                  <w:rFonts w:ascii="Cambria Math" w:hAnsi="Cambria Math"/>
                </w:rPr>
                <m:t>I</m:t>
              </m:r>
            </m:e>
            <m:sub>
              <m:r>
                <w:rPr>
                  <w:rFonts w:ascii="Cambria Math" w:hAnsi="Cambria Math"/>
                </w:rPr>
                <m:t>new</m:t>
              </m:r>
            </m:sub>
            <m:sup>
              <m:r>
                <w:rPr>
                  <w:rFonts w:ascii="Cambria Math" w:hAnsi="Cambria Math"/>
                </w:rPr>
                <m:t>*</m:t>
              </m:r>
            </m:sup>
          </m:sSubSup>
          <m:r>
            <w:rPr>
              <w:rFonts w:ascii="Cambria Math" w:hAnsi="Cambria Math"/>
            </w:rPr>
            <m:t>=pβ</m:t>
          </m:r>
          <m:sSup>
            <m:sSupPr>
              <m:ctrlPr>
                <w:rPr>
                  <w:rFonts w:ascii="Cambria Math" w:hAnsi="Cambria Math"/>
                  <w:i/>
                </w:rPr>
              </m:ctrlPr>
            </m:sSupPr>
            <m:e>
              <m:r>
                <w:rPr>
                  <w:rFonts w:ascii="Cambria Math" w:hAnsi="Cambria Math"/>
                </w:rPr>
                <m:t>C</m:t>
              </m:r>
            </m:e>
            <m:sup>
              <m:r>
                <w:rPr>
                  <w:rFonts w:ascii="Cambria Math" w:hAnsi="Cambria Math"/>
                </w:rPr>
                <m:t>*</m:t>
              </m:r>
            </m:sup>
          </m:sSup>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+d</m:t>
          </m:r>
          <m:sSup>
            <m:sSupPr>
              <m:ctrlPr>
                <w:rPr>
                  <w:rFonts w:ascii="Cambria Math" w:hAnsi="Cambria Math"/>
                  <w:i/>
                </w:rPr>
              </m:ctrlPr>
            </m:sSupPr>
            <m:e>
              <m:r>
                <w:rPr>
                  <w:rFonts w:ascii="Cambria Math" w:hAnsi="Cambria Math"/>
                </w:rPr>
                <m:t>C</m:t>
              </m:r>
            </m:e>
            <m:sup>
              <m:r>
                <w:rPr>
                  <w:rFonts w:ascii="Cambria Math" w:hAnsi="Cambria Math"/>
                </w:rPr>
                <m:t>*</m:t>
              </m:r>
            </m:sup>
          </m:sSup>
        </m:oMath>
      </m:oMathPara>
    </w:p>
    <w:p w:rsidR="007D0DAE" w:rsidRPr="004356D1" w:rsidRDefault="007D0DAE" w:rsidP="007D0DAE">
      <w:pPr>
        <w:spacing w:line="480" w:lineRule="auto"/>
      </w:pPr>
    </w:p>
    <w:p w:rsidR="007D0DAE" w:rsidRPr="004356D1" w:rsidRDefault="007D0DAE" w:rsidP="007D0DAE">
      <w:pPr>
        <w:spacing w:line="480" w:lineRule="auto"/>
      </w:pPr>
      <w:r w:rsidRPr="004356D1">
        <w:lastRenderedPageBreak/>
        <w:t xml:space="preserve">In our model we track proportions of </w:t>
      </w:r>
      <w:r w:rsidRPr="004356D1">
        <w:rPr>
          <w:i/>
          <w:iCs/>
        </w:rPr>
        <w:t>S, C, I, and R</w:t>
      </w:r>
      <w:r w:rsidRPr="004356D1">
        <w:t xml:space="preserve"> and the time unit is weeks. By multiplying the proportions by the population size </w:t>
      </w:r>
      <w:r w:rsidRPr="004356D1">
        <w:rPr>
          <w:i/>
          <w:iCs/>
        </w:rPr>
        <w:t>n</w:t>
      </w:r>
      <w:r w:rsidRPr="004356D1">
        <w:t xml:space="preserve"> to get counts and converting the time unit, we generated the following equation for invasive incidence in 100,000 person-years,</w:t>
      </w:r>
    </w:p>
    <w:p w:rsidR="007D0DAE" w:rsidRPr="004356D1" w:rsidRDefault="007D0DAE" w:rsidP="007D0DAE">
      <w:pPr>
        <w:spacing w:line="480" w:lineRule="auto"/>
      </w:pPr>
    </w:p>
    <w:p w:rsidR="007D0DAE" w:rsidRPr="004356D1" w:rsidRDefault="007D0DAE" w:rsidP="007D0DAE">
      <w:pPr>
        <w:spacing w:line="480" w:lineRule="auto"/>
        <w:rPr>
          <w:i/>
        </w:rPr>
      </w:pPr>
      <m:oMathPara>
        <m:oMath>
          <m:sSubSup>
            <m:sSubSupPr>
              <m:ctrlPr>
                <w:rPr>
                  <w:rFonts w:ascii="Cambria Math" w:hAnsi="Cambria Math"/>
                  <w:i/>
                </w:rPr>
              </m:ctrlPr>
            </m:sSubSupPr>
            <m:e>
              <m:r>
                <w:rPr>
                  <w:rFonts w:ascii="Cambria Math" w:hAnsi="Cambria Math"/>
                </w:rPr>
                <m:t>I</m:t>
              </m:r>
            </m:e>
            <m:sub>
              <m:r>
                <w:rPr>
                  <w:rFonts w:ascii="Cambria Math" w:hAnsi="Cambria Math"/>
                </w:rPr>
                <m:t>inc</m:t>
              </m:r>
            </m:sub>
            <m:sup>
              <m:r>
                <w:rPr>
                  <w:rFonts w:ascii="Cambria Math" w:hAnsi="Cambria Math"/>
                </w:rPr>
                <m:t>*</m:t>
              </m:r>
            </m:sup>
          </m:sSubSup>
          <m:r>
            <w:rPr>
              <w:rFonts w:ascii="Cambria Math" w:hAnsi="Cambria Math"/>
            </w:rPr>
            <m:t>=</m:t>
          </m:r>
          <m:f>
            <m:fPr>
              <m:ctrlPr>
                <w:rPr>
                  <w:rFonts w:ascii="Cambria Math" w:hAnsi="Cambria Math"/>
                  <w:i/>
                </w:rPr>
              </m:ctrlPr>
            </m:fPr>
            <m:num>
              <m:r>
                <w:rPr>
                  <w:rFonts w:ascii="Cambria Math" w:hAnsi="Cambria Math"/>
                </w:rPr>
                <m:t>pβ</m:t>
              </m:r>
              <m:d>
                <m:dPr>
                  <m:ctrlPr>
                    <w:rPr>
                      <w:rFonts w:ascii="Cambria Math" w:hAnsi="Cambria Math"/>
                      <w:i/>
                    </w:rPr>
                  </m:ctrlPr>
                </m:dPr>
                <m:e>
                  <m:sSup>
                    <m:sSupPr>
                      <m:ctrlPr>
                        <w:rPr>
                          <w:rFonts w:ascii="Cambria Math" w:hAnsi="Cambria Math"/>
                          <w:i/>
                        </w:rPr>
                      </m:ctrlPr>
                    </m:sSupPr>
                    <m:e>
                      <m:r>
                        <w:rPr>
                          <w:rFonts w:ascii="Cambria Math" w:hAnsi="Cambria Math"/>
                        </w:rPr>
                        <m:t>C</m:t>
                      </m:r>
                    </m:e>
                    <m:sup>
                      <m:r>
                        <w:rPr>
                          <w:rFonts w:ascii="Cambria Math" w:hAnsi="Cambria Math"/>
                        </w:rPr>
                        <m:t>*</m:t>
                      </m:r>
                    </m:sup>
                  </m:sSup>
                  <m:r>
                    <w:rPr>
                      <w:rFonts w:ascii="Cambria Math" w:hAnsi="Cambria Math"/>
                    </w:rPr>
                    <m:t>n</m:t>
                  </m:r>
                </m:e>
              </m:d>
              <m:f>
                <m:fPr>
                  <m:ctrlPr>
                    <w:rPr>
                      <w:rFonts w:ascii="Cambria Math" w:hAnsi="Cambria Math"/>
                      <w:i/>
                    </w:rPr>
                  </m:ctrlPr>
                </m:fPr>
                <m:num>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n</m:t>
                      </m:r>
                    </m:e>
                  </m:d>
                </m:num>
                <m:den>
                  <m:r>
                    <w:rPr>
                      <w:rFonts w:ascii="Cambria Math" w:hAnsi="Cambria Math"/>
                    </w:rPr>
                    <m:t>n</m:t>
                  </m:r>
                </m:den>
              </m:f>
              <m:r>
                <w:rPr>
                  <w:rFonts w:ascii="Cambria Math" w:hAnsi="Cambria Math"/>
                </w:rPr>
                <m:t>+d</m:t>
              </m:r>
              <m:d>
                <m:dPr>
                  <m:ctrlPr>
                    <w:rPr>
                      <w:rFonts w:ascii="Cambria Math" w:hAnsi="Cambria Math"/>
                      <w:i/>
                    </w:rPr>
                  </m:ctrlPr>
                </m:dPr>
                <m:e>
                  <m:sSup>
                    <m:sSupPr>
                      <m:ctrlPr>
                        <w:rPr>
                          <w:rFonts w:ascii="Cambria Math" w:hAnsi="Cambria Math"/>
                          <w:i/>
                        </w:rPr>
                      </m:ctrlPr>
                    </m:sSupPr>
                    <m:e>
                      <m:r>
                        <w:rPr>
                          <w:rFonts w:ascii="Cambria Math" w:hAnsi="Cambria Math"/>
                        </w:rPr>
                        <m:t>C</m:t>
                      </m:r>
                    </m:e>
                    <m:sup>
                      <m:r>
                        <w:rPr>
                          <w:rFonts w:ascii="Cambria Math" w:hAnsi="Cambria Math"/>
                        </w:rPr>
                        <m:t>*</m:t>
                      </m:r>
                    </m:sup>
                  </m:sSup>
                  <m:r>
                    <w:rPr>
                      <w:rFonts w:ascii="Cambria Math" w:hAnsi="Cambria Math"/>
                    </w:rPr>
                    <m:t>n</m:t>
                  </m:r>
                </m:e>
              </m:d>
            </m:num>
            <m:den>
              <m:r>
                <w:rPr>
                  <w:rFonts w:ascii="Cambria Math" w:hAnsi="Cambria Math"/>
                </w:rPr>
                <m:t>n</m:t>
              </m:r>
            </m:den>
          </m:f>
          <m:r>
            <w:rPr>
              <w:rFonts w:ascii="Cambria Math" w:hAnsi="Cambria Math"/>
            </w:rPr>
            <m:t>52*100000=</m:t>
          </m:r>
          <m:d>
            <m:dPr>
              <m:ctrlPr>
                <w:rPr>
                  <w:rFonts w:ascii="Cambria Math" w:hAnsi="Cambria Math"/>
                  <w:i/>
                </w:rPr>
              </m:ctrlPr>
            </m:dPr>
            <m:e>
              <m:r>
                <w:rPr>
                  <w:rFonts w:ascii="Cambria Math" w:hAnsi="Cambria Math"/>
                </w:rPr>
                <m:t>pβ</m:t>
              </m:r>
              <m:sSup>
                <m:sSupPr>
                  <m:ctrlPr>
                    <w:rPr>
                      <w:rFonts w:ascii="Cambria Math" w:hAnsi="Cambria Math"/>
                      <w:i/>
                    </w:rPr>
                  </m:ctrlPr>
                </m:sSupPr>
                <m:e>
                  <m:r>
                    <w:rPr>
                      <w:rFonts w:ascii="Cambria Math" w:hAnsi="Cambria Math"/>
                    </w:rPr>
                    <m:t>C</m:t>
                  </m:r>
                </m:e>
                <m:sup>
                  <m:r>
                    <w:rPr>
                      <w:rFonts w:ascii="Cambria Math" w:hAnsi="Cambria Math"/>
                    </w:rPr>
                    <m:t>*</m:t>
                  </m:r>
                </m:sup>
              </m:sSup>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+d</m:t>
              </m:r>
              <m:sSup>
                <m:sSupPr>
                  <m:ctrlPr>
                    <w:rPr>
                      <w:rFonts w:ascii="Cambria Math" w:hAnsi="Cambria Math"/>
                      <w:i/>
                    </w:rPr>
                  </m:ctrlPr>
                </m:sSupPr>
                <m:e>
                  <m:r>
                    <w:rPr>
                      <w:rFonts w:ascii="Cambria Math" w:hAnsi="Cambria Math"/>
                    </w:rPr>
                    <m:t>C</m:t>
                  </m:r>
                </m:e>
                <m:sup>
                  <m:r>
                    <w:rPr>
                      <w:rFonts w:ascii="Cambria Math" w:hAnsi="Cambria Math"/>
                    </w:rPr>
                    <m:t>*</m:t>
                  </m:r>
                </m:sup>
              </m:sSup>
            </m:e>
          </m:d>
          <m:r>
            <w:rPr>
              <w:rFonts w:ascii="Cambria Math" w:hAnsi="Cambria Math"/>
            </w:rPr>
            <m:t>5200000</m:t>
          </m:r>
        </m:oMath>
      </m:oMathPara>
    </w:p>
    <w:p w:rsidR="007D0DAE" w:rsidRPr="004356D1" w:rsidRDefault="007D0DAE" w:rsidP="007D0DAE">
      <w:pPr>
        <w:spacing w:line="480" w:lineRule="auto"/>
      </w:pPr>
    </w:p>
    <w:p w:rsidR="007D0DAE" w:rsidRPr="004356D1" w:rsidRDefault="007D0DAE" w:rsidP="007D0DAE">
      <w:pPr>
        <w:spacing w:line="480" w:lineRule="auto"/>
      </w:pPr>
      <w:r w:rsidRPr="004356D1">
        <w:t>Similarly, the incidence of carriage acquisition (C</w:t>
      </w:r>
      <w:r w:rsidRPr="004356D1">
        <w:rPr>
          <w:vertAlign w:val="subscript"/>
        </w:rPr>
        <w:t>inc</w:t>
      </w:r>
      <w:r w:rsidRPr="004356D1">
        <w:t xml:space="preserve">) is calculated as the number of new nasopharyngeal acquisitions divided by the total population at risk in 100 person-years. The description in Table 1 of Sleeman </w:t>
      </w:r>
      <w:r w:rsidRPr="004356D1">
        <w:rPr>
          <w:i/>
          <w:iCs/>
        </w:rPr>
        <w:t>et al.</w:t>
      </w:r>
      <w:r w:rsidRPr="004356D1">
        <w:t xml:space="preserve"> </w:t>
      </w:r>
      <w:r w:rsidRPr="004356D1">
        <w:fldChar w:fldCharType="begin"/>
      </w:r>
      <w:r>
        <w:instrText xml:space="preserve"> ADDIN EN.CITE &lt;EndNote&gt;&lt;Cite&gt;&lt;Author&gt;Sleeman&lt;/Author&gt;&lt;Year&gt;2006&lt;/Year&gt;&lt;RecNum&gt;83&lt;/RecNum&gt;&lt;DisplayText&gt;(Sleeman et al., 2006)&lt;/DisplayText&gt;&lt;record&gt;&lt;rec-number&gt;83&lt;/rec-number&gt;&lt;foreign-keys&gt;&lt;key app="EN" db-id="arwsepdx905dwferawv5zt2ow09fwwt0ttfa" timestamp="1600111040" guid="a784d482-83cd-4592-9867-f7ca4d64f2ec"&gt;83&lt;/key&gt;&lt;/foreign-keys&gt;&lt;ref-type name="Journal Article"&gt;17&lt;/ref-type&gt;&lt;contributors&gt;&lt;authors&gt;&lt;author&gt;Sleeman, K. L.&lt;/author&gt;&lt;author&gt;Griffiths, D.&lt;/author&gt;&lt;author&gt;Shackley, F.&lt;/author&gt;&lt;author&gt;Diggle, L.&lt;/author&gt;&lt;author&gt;Gupta, S.&lt;/author&gt;&lt;author&gt;Maiden, M. C.&lt;/author&gt;&lt;author&gt;Moxon, E. R.&lt;/author&gt;&lt;author&gt;Crook, D. W.&lt;/author&gt;&lt;author&gt;Peto, T. E.&lt;/author&gt;&lt;/authors&gt;&lt;/contributors&gt;&lt;titles&gt;&lt;title&gt;Capsular serotype-specific attack rates and duration of carriage of Streptococcus pneumoniae in a population of children&lt;/title&gt;&lt;secondary-title&gt;J Infect Dis&lt;/secondary-title&gt;&lt;/titles&gt;&lt;periodical&gt;&lt;full-title&gt;J Infect Dis&lt;/full-title&gt;&lt;/periodical&gt;&lt;pages&gt;682-8&lt;/pages&gt;&lt;volume&gt;194&lt;/volume&gt;&lt;number&gt;5&lt;/number&gt;&lt;edition&gt;2006/07/25&lt;/edition&gt;&lt;keywords&gt;&lt;keyword&gt;Child&lt;/keyword&gt;&lt;keyword&gt;Humans&lt;/keyword&gt;&lt;keyword&gt;Longitudinal Studies&lt;/keyword&gt;&lt;keyword&gt;Pneumococcal Infections&lt;/keyword&gt;&lt;keyword&gt;Serotyping&lt;/keyword&gt;&lt;keyword&gt;Streptococcus pneumoniae&lt;/keyword&gt;&lt;keyword&gt;United Kingdom&lt;/keyword&gt;&lt;/keywords&gt;&lt;dates&gt;&lt;year&gt;2006&lt;/year&gt;&lt;pub-dates&gt;&lt;date&gt;Sep&lt;/date&gt;&lt;/pub-dates&gt;&lt;/dates&gt;&lt;isbn&gt;0022-1899&lt;/isbn&gt;&lt;accession-num&gt;16897668&lt;/accession-num&gt;&lt;urls&gt;&lt;related-urls&gt;&lt;url&gt;https://www.ncbi.nlm.nih.gov/pubmed/16897668&lt;/url&gt;&lt;/related-urls&gt;&lt;/urls&gt;&lt;electronic-resource-num&gt;10.1086/505710&lt;/electronic-resource-num&gt;&lt;language&gt;eng&lt;/language&gt;&lt;/record&gt;&lt;/Cite&gt;&lt;/EndNote&gt;</w:instrText>
      </w:r>
      <w:r w:rsidRPr="004356D1">
        <w:fldChar w:fldCharType="separate"/>
      </w:r>
      <w:r>
        <w:rPr>
          <w:noProof/>
        </w:rPr>
        <w:t>(Sleeman et al., 2006)</w:t>
      </w:r>
      <w:r w:rsidRPr="004356D1">
        <w:fldChar w:fldCharType="end"/>
      </w:r>
      <w:r w:rsidRPr="004356D1">
        <w:t xml:space="preserve"> stated carriage acquisition incidence was per 100,000 child-years but we believe this is a typo. New carriage acquisitions are represented by the following equation,</w:t>
      </w:r>
    </w:p>
    <w:p w:rsidR="007D0DAE" w:rsidRPr="004356D1" w:rsidRDefault="007D0DAE" w:rsidP="007D0DAE">
      <w:pPr>
        <w:spacing w:line="480" w:lineRule="auto"/>
      </w:pPr>
    </w:p>
    <w:p w:rsidR="007D0DAE" w:rsidRPr="004356D1" w:rsidRDefault="007D0DAE" w:rsidP="007D0DAE">
      <w:pPr>
        <w:spacing w:line="480" w:lineRule="auto"/>
        <w:rPr>
          <w:i/>
        </w:rPr>
      </w:pPr>
      <m:oMathPara>
        <m:oMathParaPr>
          <m:jc m:val="center"/>
        </m:oMathParaPr>
        <m:oMath>
          <m:sSubSup>
            <m:sSubSupPr>
              <m:ctrlPr>
                <w:rPr>
                  <w:rFonts w:ascii="Cambria Math" w:hAnsi="Cambria Math"/>
                  <w:i/>
                </w:rPr>
              </m:ctrlPr>
            </m:sSubSupPr>
            <m:e>
              <m:r>
                <w:rPr>
                  <w:rFonts w:ascii="Cambria Math" w:hAnsi="Cambria Math"/>
                </w:rPr>
                <m:t>C</m:t>
              </m:r>
            </m:e>
            <m:sub>
              <m:r>
                <w:rPr>
                  <w:rFonts w:ascii="Cambria Math" w:hAnsi="Cambria Math"/>
                </w:rPr>
                <m:t>new</m:t>
              </m:r>
            </m:sub>
            <m:sup>
              <m:r>
                <w:rPr>
                  <w:rFonts w:ascii="Cambria Math" w:hAnsi="Cambria Math"/>
                </w:rPr>
                <m:t>*</m:t>
              </m:r>
            </m:sup>
          </m:sSubSup>
          <m:r>
            <w:rPr>
              <w:rFonts w:ascii="Cambria Math" w:hAnsi="Cambria Math"/>
            </w:rPr>
            <m:t>=</m:t>
          </m:r>
          <m:d>
            <m:dPr>
              <m:ctrlPr>
                <w:rPr>
                  <w:rFonts w:ascii="Cambria Math" w:hAnsi="Cambria Math"/>
                  <w:i/>
                </w:rPr>
              </m:ctrlPr>
            </m:dPr>
            <m:e>
              <m:r>
                <w:rPr>
                  <w:rFonts w:ascii="Cambria Math" w:hAnsi="Cambria Math"/>
                </w:rPr>
                <m:t>1-p</m:t>
              </m:r>
            </m:e>
          </m:d>
          <m:r>
            <w:rPr>
              <w:rFonts w:ascii="Cambria Math" w:hAnsi="Cambria Math"/>
            </w:rPr>
            <m:t>β</m:t>
          </m:r>
          <m:sSup>
            <m:sSupPr>
              <m:ctrlPr>
                <w:rPr>
                  <w:rFonts w:ascii="Cambria Math" w:hAnsi="Cambria Math"/>
                  <w:i/>
                </w:rPr>
              </m:ctrlPr>
            </m:sSupPr>
            <m:e>
              <m:r>
                <w:rPr>
                  <w:rFonts w:ascii="Cambria Math" w:hAnsi="Cambria Math"/>
                </w:rPr>
                <m:t>C</m:t>
              </m:r>
            </m:e>
            <m:sup>
              <m:r>
                <w:rPr>
                  <w:rFonts w:ascii="Cambria Math" w:hAnsi="Cambria Math"/>
                </w:rPr>
                <m:t>*</m:t>
              </m:r>
            </m:sup>
          </m:sSup>
          <m:sSup>
            <m:sSupPr>
              <m:ctrlPr>
                <w:rPr>
                  <w:rFonts w:ascii="Cambria Math" w:hAnsi="Cambria Math"/>
                  <w:i/>
                </w:rPr>
              </m:ctrlPr>
            </m:sSupPr>
            <m:e>
              <m:r>
                <w:rPr>
                  <w:rFonts w:ascii="Cambria Math" w:hAnsi="Cambria Math"/>
                </w:rPr>
                <m:t>S</m:t>
              </m:r>
            </m:e>
            <m:sup>
              <m:r>
                <w:rPr>
                  <w:rFonts w:ascii="Cambria Math" w:hAnsi="Cambria Math"/>
                </w:rPr>
                <m:t>*</m:t>
              </m:r>
            </m:sup>
          </m:sSup>
        </m:oMath>
      </m:oMathPara>
    </w:p>
    <w:p w:rsidR="007D0DAE" w:rsidRPr="004356D1" w:rsidRDefault="007D0DAE" w:rsidP="007D0DAE">
      <w:pPr>
        <w:spacing w:line="480" w:lineRule="auto"/>
      </w:pPr>
    </w:p>
    <w:p w:rsidR="007D0DAE" w:rsidRPr="004356D1" w:rsidRDefault="007D0DAE" w:rsidP="007D0DAE">
      <w:pPr>
        <w:spacing w:line="480" w:lineRule="auto"/>
      </w:pPr>
      <w:r w:rsidRPr="004356D1">
        <w:t xml:space="preserve">Again, multiplying the proportions by </w:t>
      </w:r>
      <w:r w:rsidRPr="004356D1">
        <w:rPr>
          <w:i/>
          <w:iCs/>
        </w:rPr>
        <w:t>n</w:t>
      </w:r>
      <w:r w:rsidRPr="004356D1">
        <w:t xml:space="preserve"> and converting the time unit yields the following equation for carriage acquisition incidence in 100 person-years,</w:t>
      </w:r>
    </w:p>
    <w:p w:rsidR="007D0DAE" w:rsidRPr="004356D1" w:rsidRDefault="007D0DAE" w:rsidP="007D0DAE">
      <w:pPr>
        <w:spacing w:line="480" w:lineRule="auto"/>
      </w:pPr>
    </w:p>
    <w:p w:rsidR="007D0DAE" w:rsidRPr="004356D1" w:rsidRDefault="007D0DAE" w:rsidP="007D0DAE">
      <w:pPr>
        <w:spacing w:line="480" w:lineRule="auto"/>
        <w:rPr>
          <w:i/>
        </w:rPr>
      </w:pPr>
      <m:oMathPara>
        <m:oMath>
          <m:sSubSup>
            <m:sSubSupPr>
              <m:ctrlPr>
                <w:rPr>
                  <w:rFonts w:ascii="Cambria Math" w:hAnsi="Cambria Math"/>
                  <w:i/>
                </w:rPr>
              </m:ctrlPr>
            </m:sSubSupPr>
            <m:e>
              <m:r>
                <w:rPr>
                  <w:rFonts w:ascii="Cambria Math" w:hAnsi="Cambria Math"/>
                </w:rPr>
                <m:t>C</m:t>
              </m:r>
            </m:e>
            <m:sub>
              <m:r>
                <w:rPr>
                  <w:rFonts w:ascii="Cambria Math" w:hAnsi="Cambria Math"/>
                </w:rPr>
                <m:t>inc</m:t>
              </m:r>
            </m:sub>
            <m:sup>
              <m:r>
                <m:rPr>
                  <m:sty m:val="p"/>
                </m:rPr>
                <w:rPr>
                  <w:rFonts w:ascii="Cambria Math" w:hAnsi="Cambria Math"/>
                </w:rPr>
                <m:t>*</m:t>
              </m:r>
            </m:sup>
          </m:sSubSup>
          <m:r>
            <w:rPr>
              <w:rFonts w:ascii="Cambria Math" w:hAnsi="Cambria Math"/>
            </w:rPr>
            <m:t>=</m:t>
          </m:r>
          <m:f>
            <m:fPr>
              <m:ctrlPr>
                <w:rPr>
                  <w:rFonts w:ascii="Cambria Math" w:hAnsi="Cambria Math"/>
                </w:rPr>
              </m:ctrlPr>
            </m:fPr>
            <m:num>
              <m:d>
                <m:dPr>
                  <m:ctrlPr>
                    <w:rPr>
                      <w:rFonts w:ascii="Cambria Math" w:hAnsi="Cambria Math"/>
                    </w:rPr>
                  </m:ctrlPr>
                </m:dPr>
                <m:e>
                  <m:r>
                    <w:rPr>
                      <w:rFonts w:ascii="Cambria Math" w:hAnsi="Cambria Math"/>
                    </w:rPr>
                    <m:t>1-p</m:t>
                  </m:r>
                  <m:ctrlPr>
                    <w:rPr>
                      <w:rFonts w:ascii="Cambria Math" w:hAnsi="Cambria Math"/>
                      <w:i/>
                    </w:rPr>
                  </m:ctrlPr>
                </m:e>
              </m:d>
              <m:r>
                <m:rPr>
                  <m:sty m:val="p"/>
                </m:rPr>
                <w:rPr>
                  <w:rFonts w:ascii="Cambria Math" w:hAnsi="Cambria Math"/>
                </w:rPr>
                <m:t>β</m:t>
              </m:r>
              <m:d>
                <m:dPr>
                  <m:ctrlPr>
                    <w:rPr>
                      <w:rFonts w:ascii="Cambria Math" w:hAnsi="Cambria Math"/>
                    </w:rPr>
                  </m:ctrlPr>
                </m:dPr>
                <m:e>
                  <m:sSup>
                    <m:sSupPr>
                      <m:ctrlPr>
                        <w:rPr>
                          <w:rFonts w:ascii="Cambria Math" w:hAnsi="Cambria Math"/>
                          <w:i/>
                        </w:rPr>
                      </m:ctrlPr>
                    </m:sSupPr>
                    <m:e>
                      <m:r>
                        <w:rPr>
                          <w:rFonts w:ascii="Cambria Math" w:hAnsi="Cambria Math"/>
                        </w:rPr>
                        <m:t>C</m:t>
                      </m:r>
                      <m:ctrlPr>
                        <w:rPr>
                          <w:rFonts w:ascii="Cambria Math" w:hAnsi="Cambria Math"/>
                        </w:rPr>
                      </m:ctrlPr>
                    </m:e>
                    <m:sup>
                      <m:r>
                        <m:rPr>
                          <m:sty m:val="p"/>
                        </m:rPr>
                        <w:rPr>
                          <w:rFonts w:ascii="Cambria Math" w:hAnsi="Cambria Math"/>
                        </w:rPr>
                        <m:t>*</m:t>
                      </m:r>
                    </m:sup>
                  </m:sSup>
                  <m:r>
                    <w:rPr>
                      <w:rFonts w:ascii="Cambria Math" w:hAnsi="Cambria Math"/>
                    </w:rPr>
                    <m:t>n</m:t>
                  </m:r>
                  <m:ctrlPr>
                    <w:rPr>
                      <w:rFonts w:ascii="Cambria Math" w:hAnsi="Cambria Math"/>
                      <w:i/>
                    </w:rPr>
                  </m:ctrlPr>
                </m:e>
              </m:d>
              <m:f>
                <m:fPr>
                  <m:ctrlPr>
                    <w:rPr>
                      <w:rFonts w:ascii="Cambria Math" w:hAnsi="Cambria Math"/>
                    </w:rPr>
                  </m:ctrlPr>
                </m:fPr>
                <m:num>
                  <m:d>
                    <m:dPr>
                      <m:ctrlPr>
                        <w:rPr>
                          <w:rFonts w:ascii="Cambria Math" w:hAnsi="Cambria Math"/>
                        </w:rPr>
                      </m:ctrlPr>
                    </m:dPr>
                    <m:e>
                      <m:sSup>
                        <m:sSupPr>
                          <m:ctrlPr>
                            <w:rPr>
                              <w:rFonts w:ascii="Cambria Math" w:hAnsi="Cambria Math"/>
                              <w:i/>
                            </w:rPr>
                          </m:ctrlPr>
                        </m:sSupPr>
                        <m:e>
                          <m:r>
                            <w:rPr>
                              <w:rFonts w:ascii="Cambria Math" w:hAnsi="Cambria Math"/>
                            </w:rPr>
                            <m:t>S</m:t>
                          </m:r>
                          <m:ctrlPr>
                            <w:rPr>
                              <w:rFonts w:ascii="Cambria Math" w:hAnsi="Cambria Math"/>
                            </w:rPr>
                          </m:ctrlPr>
                        </m:e>
                        <m:sup>
                          <m:r>
                            <m:rPr>
                              <m:sty m:val="p"/>
                            </m:rPr>
                            <w:rPr>
                              <w:rFonts w:ascii="Cambria Math" w:hAnsi="Cambria Math"/>
                            </w:rPr>
                            <m:t>*</m:t>
                          </m:r>
                        </m:sup>
                      </m:sSup>
                      <m:r>
                        <w:rPr>
                          <w:rFonts w:ascii="Cambria Math" w:hAnsi="Cambria Math"/>
                        </w:rPr>
                        <m:t>n</m:t>
                      </m:r>
                      <m:ctrlPr>
                        <w:rPr>
                          <w:rFonts w:ascii="Cambria Math" w:hAnsi="Cambria Math"/>
                          <w:i/>
                        </w:rPr>
                      </m:ctrlPr>
                    </m:e>
                  </m:d>
                  <m:ctrlPr>
                    <w:rPr>
                      <w:rFonts w:ascii="Cambria Math" w:hAnsi="Cambria Math"/>
                      <w:i/>
                    </w:rPr>
                  </m:ctrlPr>
                </m:num>
                <m:den>
                  <m:r>
                    <w:rPr>
                      <w:rFonts w:ascii="Cambria Math" w:hAnsi="Cambria Math"/>
                    </w:rPr>
                    <m:t>n</m:t>
                  </m:r>
                  <m:ctrlPr>
                    <w:rPr>
                      <w:rFonts w:ascii="Cambria Math" w:hAnsi="Cambria Math"/>
                      <w:i/>
                    </w:rPr>
                  </m:ctrlPr>
                </m:den>
              </m:f>
              <m:ctrlPr>
                <w:rPr>
                  <w:rFonts w:ascii="Cambria Math" w:hAnsi="Cambria Math"/>
                  <w:i/>
                </w:rPr>
              </m:ctrlPr>
            </m:num>
            <m:den>
              <m:r>
                <w:rPr>
                  <w:rFonts w:ascii="Cambria Math" w:hAnsi="Cambria Math"/>
                </w:rPr>
                <m:t>n</m:t>
              </m:r>
              <m:ctrlPr>
                <w:rPr>
                  <w:rFonts w:ascii="Cambria Math" w:hAnsi="Cambria Math"/>
                  <w:i/>
                </w:rPr>
              </m:ctrlPr>
            </m:den>
          </m:f>
          <m:r>
            <w:rPr>
              <w:rFonts w:ascii="Cambria Math" w:hAnsi="Cambria Math"/>
            </w:rPr>
            <m:t>52</m:t>
          </m:r>
          <m:r>
            <m:rPr>
              <m:sty m:val="p"/>
            </m:rPr>
            <w:rPr>
              <w:rFonts w:ascii="Cambria Math" w:hAnsi="Cambria Math"/>
            </w:rPr>
            <m:t>*</m:t>
          </m:r>
          <m:r>
            <w:rPr>
              <w:rFonts w:ascii="Cambria Math" w:hAnsi="Cambria Math"/>
            </w:rPr>
            <m:t>100=</m:t>
          </m:r>
          <m:d>
            <m:dPr>
              <m:ctrlPr>
                <w:rPr>
                  <w:rFonts w:ascii="Cambria Math" w:hAnsi="Cambria Math"/>
                </w:rPr>
              </m:ctrlPr>
            </m:dPr>
            <m:e>
              <m:d>
                <m:dPr>
                  <m:ctrlPr>
                    <w:rPr>
                      <w:rFonts w:ascii="Cambria Math" w:hAnsi="Cambria Math"/>
                    </w:rPr>
                  </m:ctrlPr>
                </m:dPr>
                <m:e>
                  <m:r>
                    <w:rPr>
                      <w:rFonts w:ascii="Cambria Math" w:hAnsi="Cambria Math"/>
                    </w:rPr>
                    <m:t>1-p</m:t>
                  </m:r>
                  <m:ctrlPr>
                    <w:rPr>
                      <w:rFonts w:ascii="Cambria Math" w:hAnsi="Cambria Math"/>
                      <w:i/>
                    </w:rPr>
                  </m:ctrlPr>
                </m:e>
              </m:d>
              <m:r>
                <m:rPr>
                  <m:sty m:val="p"/>
                </m:rPr>
                <w:rPr>
                  <w:rFonts w:ascii="Cambria Math" w:hAnsi="Cambria Math"/>
                </w:rPr>
                <m:t>β</m:t>
              </m:r>
              <m:sSup>
                <m:sSupPr>
                  <m:ctrlPr>
                    <w:rPr>
                      <w:rFonts w:ascii="Cambria Math" w:hAnsi="Cambria Math"/>
                      <w:i/>
                    </w:rPr>
                  </m:ctrlPr>
                </m:sSupPr>
                <m:e>
                  <m:r>
                    <w:rPr>
                      <w:rFonts w:ascii="Cambria Math" w:hAnsi="Cambria Math"/>
                    </w:rPr>
                    <m:t>C</m:t>
                  </m:r>
                </m:e>
                <m:sup>
                  <m:r>
                    <m:rPr>
                      <m:sty m:val="p"/>
                    </m:rPr>
                    <w:rPr>
                      <w:rFonts w:ascii="Cambria Math" w:hAnsi="Cambria Math"/>
                    </w:rPr>
                    <m:t>*</m:t>
                  </m:r>
                </m:sup>
              </m:sSup>
              <m:sSup>
                <m:sSupPr>
                  <m:ctrlPr>
                    <w:rPr>
                      <w:rFonts w:ascii="Cambria Math" w:hAnsi="Cambria Math"/>
                      <w:i/>
                    </w:rPr>
                  </m:ctrlPr>
                </m:sSupPr>
                <m:e>
                  <m:r>
                    <w:rPr>
                      <w:rFonts w:ascii="Cambria Math" w:hAnsi="Cambria Math"/>
                    </w:rPr>
                    <m:t>S</m:t>
                  </m:r>
                </m:e>
                <m:sup>
                  <m:r>
                    <m:rPr>
                      <m:sty m:val="p"/>
                    </m:rPr>
                    <w:rPr>
                      <w:rFonts w:ascii="Cambria Math" w:hAnsi="Cambria Math"/>
                    </w:rPr>
                    <m:t>*</m:t>
                  </m:r>
                </m:sup>
              </m:sSup>
              <m:ctrlPr>
                <w:rPr>
                  <w:rFonts w:ascii="Cambria Math" w:hAnsi="Cambria Math"/>
                  <w:i/>
                </w:rPr>
              </m:ctrlPr>
            </m:e>
          </m:d>
          <m:r>
            <w:rPr>
              <w:rFonts w:ascii="Cambria Math" w:hAnsi="Cambria Math"/>
            </w:rPr>
            <m:t>5200</m:t>
          </m:r>
        </m:oMath>
      </m:oMathPara>
    </w:p>
    <w:p w:rsidR="007D0DAE" w:rsidRPr="004356D1" w:rsidRDefault="007D0DAE" w:rsidP="007D0DAE">
      <w:pPr>
        <w:spacing w:line="480" w:lineRule="auto"/>
      </w:pPr>
    </w:p>
    <w:p w:rsidR="007D0DAE" w:rsidRPr="004356D1" w:rsidRDefault="007D0DAE" w:rsidP="007D0DAE">
      <w:pPr>
        <w:spacing w:line="480" w:lineRule="auto"/>
      </w:pPr>
      <w:r w:rsidRPr="004356D1">
        <w:t xml:space="preserve">The serotype specific attack rate (AR) from Sleeman </w:t>
      </w:r>
      <w:r w:rsidRPr="004356D1">
        <w:rPr>
          <w:i/>
          <w:iCs/>
        </w:rPr>
        <w:t>et al.</w:t>
      </w:r>
      <w:r w:rsidRPr="004356D1">
        <w:t xml:space="preserve"> </w:t>
      </w:r>
      <w:r w:rsidRPr="004356D1">
        <w:fldChar w:fldCharType="begin"/>
      </w:r>
      <w:r>
        <w:instrText xml:space="preserve"> ADDIN EN.CITE &lt;EndNote&gt;&lt;Cite&gt;&lt;Author&gt;Sleeman&lt;/Author&gt;&lt;Year&gt;2006&lt;/Year&gt;&lt;RecNum&gt;83&lt;/RecNum&gt;&lt;DisplayText&gt;(Sleeman et al., 2006)&lt;/DisplayText&gt;&lt;record&gt;&lt;rec-number&gt;83&lt;/rec-number&gt;&lt;foreign-keys&gt;&lt;key app="EN" db-id="arwsepdx905dwferawv5zt2ow09fwwt0ttfa" timestamp="1600111040" guid="a784d482-83cd-4592-9867-f7ca4d64f2ec"&gt;83&lt;/key&gt;&lt;/foreign-keys&gt;&lt;ref-type name="Journal Article"&gt;17&lt;/ref-type&gt;&lt;contributors&gt;&lt;authors&gt;&lt;author&gt;Sleeman, K. L.&lt;/author&gt;&lt;author&gt;Griffiths, D.&lt;/author&gt;&lt;author&gt;Shackley, F.&lt;/author&gt;&lt;author&gt;Diggle, L.&lt;/author&gt;&lt;author&gt;Gupta, S.&lt;/author&gt;&lt;author&gt;Maiden, M. C.&lt;/author&gt;&lt;author&gt;Moxon, E. R.&lt;/author&gt;&lt;author&gt;Crook, D. W.&lt;/author&gt;&lt;author&gt;Peto, T. E.&lt;/author&gt;&lt;/authors&gt;&lt;/contributors&gt;&lt;titles&gt;&lt;title&gt;Capsular serotype-specific attack rates and duration of carriage of Streptococcus pneumoniae in a population of children&lt;/title&gt;&lt;secondary-title&gt;J Infect Dis&lt;/secondary-title&gt;&lt;/titles&gt;&lt;periodical&gt;&lt;full-title&gt;J Infect Dis&lt;/full-title&gt;&lt;/periodical&gt;&lt;pages&gt;682-8&lt;/pages&gt;&lt;volume&gt;194&lt;/volume&gt;&lt;number&gt;5&lt;/number&gt;&lt;edition&gt;2006/07/25&lt;/edition&gt;&lt;keywords&gt;&lt;keyword&gt;Child&lt;/keyword&gt;&lt;keyword&gt;Humans&lt;/keyword&gt;&lt;keyword&gt;Longitudinal Studies&lt;/keyword&gt;&lt;keyword&gt;Pneumococcal Infections&lt;/keyword&gt;&lt;keyword&gt;Serotyping&lt;/keyword&gt;&lt;keyword&gt;Streptococcus pneumoniae&lt;/keyword&gt;&lt;keyword&gt;United Kingdom&lt;/keyword&gt;&lt;/keywords&gt;&lt;dates&gt;&lt;year&gt;2006&lt;/year&gt;&lt;pub-dates&gt;&lt;date&gt;Sep&lt;/date&gt;&lt;/pub-dates&gt;&lt;/dates&gt;&lt;isbn&gt;0022-1899&lt;/isbn&gt;&lt;accession-num&gt;16897668&lt;/accession-num&gt;&lt;urls&gt;&lt;related-urls&gt;&lt;url&gt;https://www.ncbi.nlm.nih.gov/pubmed/16897668&lt;/url&gt;&lt;/related-urls&gt;&lt;/urls&gt;&lt;electronic-resource-num&gt;10.1086/505710&lt;/electronic-resource-num&gt;&lt;language&gt;eng&lt;/language&gt;&lt;/record&gt;&lt;/Cite&gt;&lt;/EndNote&gt;</w:instrText>
      </w:r>
      <w:r w:rsidRPr="004356D1">
        <w:fldChar w:fldCharType="separate"/>
      </w:r>
      <w:r>
        <w:rPr>
          <w:noProof/>
        </w:rPr>
        <w:t>(Sleeman et al., 2006)</w:t>
      </w:r>
      <w:r w:rsidRPr="004356D1">
        <w:fldChar w:fldCharType="end"/>
      </w:r>
      <w:r w:rsidRPr="004356D1">
        <w:t xml:space="preserve"> is calculated as the ratio of invasive incidence to carriage acquisition incidence per 100000 acquisitions.  Simplifying and cancelling terms yields the following equation, </w:t>
      </w:r>
    </w:p>
    <w:p w:rsidR="007D0DAE" w:rsidRPr="004356D1" w:rsidRDefault="007D0DAE" w:rsidP="007D0DAE">
      <w:pPr>
        <w:spacing w:line="480" w:lineRule="auto"/>
      </w:pPr>
    </w:p>
    <w:p w:rsidR="007D0DAE" w:rsidRPr="004356D1" w:rsidRDefault="007D0DAE" w:rsidP="007D0DAE">
      <w:pPr>
        <w:spacing w:line="480" w:lineRule="auto"/>
        <w:rPr>
          <w:i/>
          <w:iCs/>
        </w:rPr>
      </w:pPr>
      <m:oMathPara>
        <m:oMath>
          <m:r>
            <m:rPr>
              <m:sty m:val="p"/>
            </m:rPr>
            <w:rPr>
              <w:rFonts w:ascii="Cambria Math" w:hAnsi="Cambria Math"/>
            </w:rPr>
            <m:t>A</m:t>
          </m:r>
          <m:sSup>
            <m:sSupPr>
              <m:ctrlPr>
                <w:rPr>
                  <w:rFonts w:ascii="Cambria Math" w:hAnsi="Cambria Math"/>
                  <w:i/>
                  <w:iCs/>
                </w:rPr>
              </m:ctrlPr>
            </m:sSupPr>
            <m:e>
              <m:r>
                <w:rPr>
                  <w:rFonts w:ascii="Cambria Math" w:hAnsi="Cambria Math"/>
                </w:rPr>
                <m:t>R</m:t>
              </m:r>
            </m:e>
            <m:sup>
              <m:r>
                <m:rPr>
                  <m:sty m:val="p"/>
                </m:rPr>
                <w:rPr>
                  <w:rFonts w:ascii="Cambria Math" w:hAnsi="Cambria Math"/>
                </w:rPr>
                <m:t>*</m:t>
              </m:r>
            </m:sup>
          </m:sSup>
          <m:r>
            <w:rPr>
              <w:rFonts w:ascii="Cambria Math" w:hAnsi="Cambria Math"/>
            </w:rPr>
            <m:t>=</m:t>
          </m:r>
          <m:f>
            <m:fPr>
              <m:ctrlPr>
                <w:rPr>
                  <w:rFonts w:ascii="Cambria Math" w:hAnsi="Cambria Math"/>
                  <w:iCs/>
                </w:rPr>
              </m:ctrlPr>
            </m:fPr>
            <m:num>
              <m:r>
                <w:rPr>
                  <w:rFonts w:ascii="Cambria Math" w:hAnsi="Cambria Math"/>
                </w:rPr>
                <m:t>p</m:t>
              </m:r>
              <m:r>
                <m:rPr>
                  <m:sty m:val="p"/>
                </m:rPr>
                <w:rPr>
                  <w:rFonts w:ascii="Cambria Math" w:hAnsi="Cambria Math"/>
                </w:rPr>
                <m:t>β</m:t>
              </m:r>
              <m:sSup>
                <m:sSupPr>
                  <m:ctrlPr>
                    <w:rPr>
                      <w:rFonts w:ascii="Cambria Math" w:hAnsi="Cambria Math"/>
                      <w:i/>
                      <w:iCs/>
                    </w:rPr>
                  </m:ctrlPr>
                </m:sSupPr>
                <m:e>
                  <m:r>
                    <w:rPr>
                      <w:rFonts w:ascii="Cambria Math" w:hAnsi="Cambria Math"/>
                    </w:rPr>
                    <m:t>C</m:t>
                  </m:r>
                </m:e>
                <m:sup>
                  <m:r>
                    <m:rPr>
                      <m:sty m:val="p"/>
                    </m:rPr>
                    <w:rPr>
                      <w:rFonts w:ascii="Cambria Math" w:hAnsi="Cambria Math"/>
                    </w:rPr>
                    <m:t>*</m:t>
                  </m:r>
                </m:sup>
              </m:sSup>
              <m:sSup>
                <m:sSupPr>
                  <m:ctrlPr>
                    <w:rPr>
                      <w:rFonts w:ascii="Cambria Math" w:hAnsi="Cambria Math"/>
                      <w:i/>
                      <w:iCs/>
                    </w:rPr>
                  </m:ctrlPr>
                </m:sSupPr>
                <m:e>
                  <m:r>
                    <w:rPr>
                      <w:rFonts w:ascii="Cambria Math" w:hAnsi="Cambria Math"/>
                    </w:rPr>
                    <m:t>S</m:t>
                  </m:r>
                </m:e>
                <m:sup>
                  <m:r>
                    <m:rPr>
                      <m:sty m:val="p"/>
                    </m:rPr>
                    <w:rPr>
                      <w:rFonts w:ascii="Cambria Math" w:hAnsi="Cambria Math"/>
                    </w:rPr>
                    <m:t>*</m:t>
                  </m:r>
                </m:sup>
              </m:sSup>
              <m:r>
                <w:rPr>
                  <w:rFonts w:ascii="Cambria Math" w:hAnsi="Cambria Math"/>
                </w:rPr>
                <m:t>+d</m:t>
              </m:r>
              <m:sSup>
                <m:sSupPr>
                  <m:ctrlPr>
                    <w:rPr>
                      <w:rFonts w:ascii="Cambria Math" w:hAnsi="Cambria Math"/>
                      <w:i/>
                      <w:iCs/>
                    </w:rPr>
                  </m:ctrlPr>
                </m:sSupPr>
                <m:e>
                  <m:r>
                    <w:rPr>
                      <w:rFonts w:ascii="Cambria Math" w:hAnsi="Cambria Math"/>
                    </w:rPr>
                    <m:t>C</m:t>
                  </m:r>
                </m:e>
                <m:sup>
                  <m:r>
                    <m:rPr>
                      <m:sty m:val="p"/>
                    </m:rPr>
                    <w:rPr>
                      <w:rFonts w:ascii="Cambria Math" w:hAnsi="Cambria Math"/>
                    </w:rPr>
                    <m:t>*</m:t>
                  </m:r>
                </m:sup>
              </m:sSup>
              <m:ctrlPr>
                <w:rPr>
                  <w:rFonts w:ascii="Cambria Math" w:hAnsi="Cambria Math"/>
                  <w:i/>
                  <w:iCs/>
                </w:rPr>
              </m:ctrlPr>
            </m:num>
            <m:den>
              <m:d>
                <m:dPr>
                  <m:ctrlPr>
                    <w:rPr>
                      <w:rFonts w:ascii="Cambria Math" w:hAnsi="Cambria Math"/>
                      <w:iCs/>
                    </w:rPr>
                  </m:ctrlPr>
                </m:dPr>
                <m:e>
                  <m:r>
                    <w:rPr>
                      <w:rFonts w:ascii="Cambria Math" w:hAnsi="Cambria Math"/>
                    </w:rPr>
                    <m:t>1-p</m:t>
                  </m:r>
                  <m:ctrlPr>
                    <w:rPr>
                      <w:rFonts w:ascii="Cambria Math" w:hAnsi="Cambria Math"/>
                      <w:i/>
                      <w:iCs/>
                    </w:rPr>
                  </m:ctrlPr>
                </m:e>
              </m:d>
              <m:r>
                <m:rPr>
                  <m:sty m:val="p"/>
                </m:rPr>
                <w:rPr>
                  <w:rFonts w:ascii="Cambria Math" w:hAnsi="Cambria Math"/>
                </w:rPr>
                <m:t>β</m:t>
              </m:r>
              <m:sSup>
                <m:sSupPr>
                  <m:ctrlPr>
                    <w:rPr>
                      <w:rFonts w:ascii="Cambria Math" w:hAnsi="Cambria Math"/>
                      <w:i/>
                      <w:iCs/>
                    </w:rPr>
                  </m:ctrlPr>
                </m:sSupPr>
                <m:e>
                  <m:r>
                    <w:rPr>
                      <w:rFonts w:ascii="Cambria Math" w:hAnsi="Cambria Math"/>
                    </w:rPr>
                    <m:t>C</m:t>
                  </m:r>
                </m:e>
                <m:sup>
                  <m:r>
                    <m:rPr>
                      <m:sty m:val="p"/>
                    </m:rPr>
                    <w:rPr>
                      <w:rFonts w:ascii="Cambria Math" w:hAnsi="Cambria Math"/>
                    </w:rPr>
                    <m:t>*</m:t>
                  </m:r>
                </m:sup>
              </m:sSup>
              <m:sSup>
                <m:sSupPr>
                  <m:ctrlPr>
                    <w:rPr>
                      <w:rFonts w:ascii="Cambria Math" w:hAnsi="Cambria Math"/>
                      <w:i/>
                      <w:iCs/>
                    </w:rPr>
                  </m:ctrlPr>
                </m:sSupPr>
                <m:e>
                  <m:r>
                    <w:rPr>
                      <w:rFonts w:ascii="Cambria Math" w:hAnsi="Cambria Math"/>
                    </w:rPr>
                    <m:t>S</m:t>
                  </m:r>
                </m:e>
                <m:sup>
                  <m:r>
                    <m:rPr>
                      <m:sty m:val="p"/>
                    </m:rPr>
                    <w:rPr>
                      <w:rFonts w:ascii="Cambria Math" w:hAnsi="Cambria Math"/>
                    </w:rPr>
                    <m:t>*</m:t>
                  </m:r>
                </m:sup>
              </m:sSup>
              <m:ctrlPr>
                <w:rPr>
                  <w:rFonts w:ascii="Cambria Math" w:hAnsi="Cambria Math"/>
                  <w:i/>
                  <w:iCs/>
                </w:rPr>
              </m:ctrlPr>
            </m:den>
          </m:f>
          <m:r>
            <w:rPr>
              <w:rFonts w:ascii="Cambria Math" w:hAnsi="Cambria Math"/>
            </w:rPr>
            <m:t>100000=</m:t>
          </m:r>
          <m:f>
            <m:fPr>
              <m:ctrlPr>
                <w:rPr>
                  <w:rFonts w:ascii="Cambria Math" w:hAnsi="Cambria Math"/>
                  <w:iCs/>
                </w:rPr>
              </m:ctrlPr>
            </m:fPr>
            <m:num>
              <m:r>
                <w:rPr>
                  <w:rFonts w:ascii="Cambria Math" w:hAnsi="Cambria Math"/>
                </w:rPr>
                <m:t>d</m:t>
              </m:r>
              <m:r>
                <m:rPr>
                  <m:sty m:val="p"/>
                </m:rPr>
                <w:rPr>
                  <w:rFonts w:ascii="Cambria Math" w:hAnsi="Cambria Math"/>
                </w:rPr>
                <m:t>τ</m:t>
              </m:r>
              <m:r>
                <w:rPr>
                  <w:rFonts w:ascii="Cambria Math" w:hAnsi="Cambria Math"/>
                </w:rPr>
                <m:t>+p</m:t>
              </m:r>
              <m:ctrlPr>
                <w:rPr>
                  <w:rFonts w:ascii="Cambria Math" w:hAnsi="Cambria Math"/>
                  <w:i/>
                  <w:iCs/>
                </w:rPr>
              </m:ctrlPr>
            </m:num>
            <m:den>
              <m:d>
                <m:dPr>
                  <m:ctrlPr>
                    <w:rPr>
                      <w:rFonts w:ascii="Cambria Math" w:hAnsi="Cambria Math"/>
                      <w:iCs/>
                    </w:rPr>
                  </m:ctrlPr>
                </m:dPr>
                <m:e>
                  <m:r>
                    <w:rPr>
                      <w:rFonts w:ascii="Cambria Math" w:hAnsi="Cambria Math"/>
                    </w:rPr>
                    <m:t>1-p</m:t>
                  </m:r>
                  <m:ctrlPr>
                    <w:rPr>
                      <w:rFonts w:ascii="Cambria Math" w:hAnsi="Cambria Math"/>
                      <w:i/>
                      <w:iCs/>
                    </w:rPr>
                  </m:ctrlPr>
                </m:e>
              </m:d>
              <m:d>
                <m:dPr>
                  <m:ctrlPr>
                    <w:rPr>
                      <w:rFonts w:ascii="Cambria Math" w:hAnsi="Cambria Math"/>
                      <w:iCs/>
                    </w:rPr>
                  </m:ctrlPr>
                </m:dPr>
                <m:e>
                  <m:r>
                    <w:rPr>
                      <w:rFonts w:ascii="Cambria Math" w:hAnsi="Cambria Math"/>
                    </w:rPr>
                    <m:t>d</m:t>
                  </m:r>
                  <m:r>
                    <m:rPr>
                      <m:sty m:val="p"/>
                    </m:rPr>
                    <w:rPr>
                      <w:rFonts w:ascii="Cambria Math" w:hAnsi="Cambria Math"/>
                    </w:rPr>
                    <m:t>τ</m:t>
                  </m:r>
                  <m:r>
                    <w:rPr>
                      <w:rFonts w:ascii="Cambria Math" w:hAnsi="Cambria Math"/>
                    </w:rPr>
                    <m:t>+1</m:t>
                  </m:r>
                  <m:ctrlPr>
                    <w:rPr>
                      <w:rFonts w:ascii="Cambria Math" w:hAnsi="Cambria Math"/>
                      <w:i/>
                      <w:iCs/>
                    </w:rPr>
                  </m:ctrlPr>
                </m:e>
              </m:d>
              <m:ctrlPr>
                <w:rPr>
                  <w:rFonts w:ascii="Cambria Math" w:hAnsi="Cambria Math"/>
                  <w:i/>
                  <w:iCs/>
                </w:rPr>
              </m:ctrlPr>
            </m:den>
          </m:f>
          <m:r>
            <w:rPr>
              <w:rFonts w:ascii="Cambria Math" w:hAnsi="Cambria Math"/>
            </w:rPr>
            <m:t>100000</m:t>
          </m:r>
        </m:oMath>
      </m:oMathPara>
    </w:p>
    <w:p w:rsidR="007D0DAE" w:rsidRPr="004356D1" w:rsidRDefault="007D0DAE" w:rsidP="007D0DAE">
      <w:pPr>
        <w:spacing w:line="480" w:lineRule="auto"/>
      </w:pPr>
    </w:p>
    <w:p w:rsidR="007D0DAE" w:rsidRPr="004356D1" w:rsidRDefault="007D0DAE" w:rsidP="007D0DAE">
      <w:pPr>
        <w:spacing w:line="480" w:lineRule="auto"/>
      </w:pPr>
    </w:p>
    <w:p w:rsidR="007D0DAE" w:rsidRPr="004356D1" w:rsidRDefault="007D0DAE" w:rsidP="007D0DAE">
      <w:pPr>
        <w:spacing w:line="480" w:lineRule="auto"/>
      </w:pPr>
      <w:r w:rsidRPr="004356D1">
        <w:t xml:space="preserve">The invasive odds ratio (IOR) is defined as the number of invasive disease cases over the number of carriage cases for a specific serotype, referenced against either a particular serotype or all other serotypes. To illustrate, if </w:t>
      </w:r>
      <w:r w:rsidRPr="004356D1">
        <w:rPr>
          <w:i/>
          <w:iCs/>
        </w:rPr>
        <w:t>a</w:t>
      </w:r>
      <w:r w:rsidRPr="004356D1">
        <w:t xml:space="preserve"> is the number of invasive cases for the focal serotype, </w:t>
      </w:r>
      <w:r w:rsidRPr="004356D1">
        <w:rPr>
          <w:i/>
          <w:iCs/>
        </w:rPr>
        <w:t>b</w:t>
      </w:r>
      <w:r w:rsidRPr="004356D1">
        <w:t xml:space="preserve"> is the number of carriage cases for the focal serotype, </w:t>
      </w:r>
      <w:r w:rsidRPr="004356D1">
        <w:rPr>
          <w:i/>
          <w:iCs/>
        </w:rPr>
        <w:t>c</w:t>
      </w:r>
      <w:r w:rsidRPr="004356D1">
        <w:t xml:space="preserve"> is the number of invasive cases for the reference, and </w:t>
      </w:r>
      <w:r w:rsidRPr="004356D1">
        <w:rPr>
          <w:i/>
          <w:iCs/>
        </w:rPr>
        <w:t>d</w:t>
      </w:r>
      <w:r w:rsidRPr="004356D1">
        <w:t xml:space="preserve"> is the number of carriage cases for the reference, then </w:t>
      </w:r>
      <w:r w:rsidRPr="004356D1">
        <w:rPr>
          <w:i/>
          <w:iCs/>
        </w:rPr>
        <w:t xml:space="preserve">IOR = </w:t>
      </w:r>
      <w:r w:rsidRPr="004356D1">
        <w:t>(</w:t>
      </w:r>
      <w:r w:rsidRPr="004356D1">
        <w:rPr>
          <w:i/>
          <w:iCs/>
        </w:rPr>
        <w:t>ad</w:t>
      </w:r>
      <w:r w:rsidRPr="004356D1">
        <w:t>)/(</w:t>
      </w:r>
      <w:r w:rsidRPr="004356D1">
        <w:rPr>
          <w:i/>
          <w:iCs/>
        </w:rPr>
        <w:t>bc</w:t>
      </w:r>
      <w:r w:rsidRPr="004356D1">
        <w:t xml:space="preserve">). In the study by Brueggemann </w:t>
      </w:r>
      <w:r w:rsidRPr="004356D1">
        <w:rPr>
          <w:i/>
          <w:iCs/>
        </w:rPr>
        <w:t>et al.</w:t>
      </w:r>
      <w:r w:rsidRPr="004356D1">
        <w:t xml:space="preserve"> </w:t>
      </w:r>
      <w:r w:rsidRPr="004356D1">
        <w:fldChar w:fldCharType="begin"/>
      </w:r>
      <w:r>
        <w:instrText xml:space="preserve"> ADDIN EN.CITE &lt;EndNote&gt;&lt;Cite&gt;&lt;Author&gt;Brueggemann&lt;/Author&gt;&lt;Year&gt;2004&lt;/Year&gt;&lt;RecNum&gt;84&lt;/RecNum&gt;&lt;DisplayText&gt;(Brueggemann et al., 2004)&lt;/DisplayText&gt;&lt;record&gt;&lt;rec-number&gt;84&lt;/rec-number&gt;&lt;foreign-keys&gt;&lt;key app="EN" db-id="arwsepdx905dwferawv5zt2ow09fwwt0ttfa" timestamp="1600111040" guid="67b9d3ae-07b7-44c8-8ae1-0af83345c6dc"&gt;84&lt;/key&gt;&lt;/foreign-keys&gt;&lt;ref-type name="Journal Article"&gt;17&lt;/ref-type&gt;&lt;contributors&gt;&lt;authors&gt;&lt;author&gt;Brueggemann, A. B.&lt;/author&gt;&lt;author&gt;Peto, T. E.&lt;/author&gt;&lt;author&gt;Crook, D. W.&lt;/author&gt;&lt;author&gt;Butler, J. C.&lt;/author&gt;&lt;author&gt;Kristinsson, K. G.&lt;/author&gt;&lt;author&gt;Spratt, B. G.&lt;/author&gt;&lt;/authors&gt;&lt;/contributors&gt;&lt;titles&gt;&lt;title&gt;Temporal and geographic stability of the serogroup-specific invasive disease potential of Streptococcus pneumoniae in children&lt;/title&gt;&lt;secondary-title&gt;J Infect Dis&lt;/secondary-title&gt;&lt;/titles&gt;&lt;periodical&gt;&lt;full-title&gt;J Infect Dis&lt;/full-title&gt;&lt;/periodical&gt;&lt;pages&gt;1203-11&lt;/pages&gt;&lt;volume&gt;190&lt;/volume&gt;&lt;number&gt;7&lt;/number&gt;&lt;edition&gt;2004/08/25&lt;/edition&gt;&lt;keywords&gt;&lt;keyword&gt;Child&lt;/keyword&gt;&lt;keyword&gt;Humans&lt;/keyword&gt;&lt;keyword&gt;Odds Ratio&lt;/keyword&gt;&lt;keyword&gt;Pneumococcal Infections&lt;/keyword&gt;&lt;keyword&gt;Pneumococcal Vaccines&lt;/keyword&gt;&lt;keyword&gt;Serotyping&lt;/keyword&gt;&lt;keyword&gt;Streptococcus pneumoniae&lt;/keyword&gt;&lt;/keywords&gt;&lt;dates&gt;&lt;year&gt;2004&lt;/year&gt;&lt;pub-dates&gt;&lt;date&gt;Oct&lt;/date&gt;&lt;/pub-dates&gt;&lt;/dates&gt;&lt;isbn&gt;0022-1899&lt;/isbn&gt;&lt;accession-num&gt;15346329&lt;/accession-num&gt;&lt;urls&gt;&lt;related-urls&gt;&lt;url&gt;https://www.ncbi.nlm.nih.gov/pubmed/15346329&lt;/url&gt;&lt;/related-urls&gt;&lt;/urls&gt;&lt;electronic-resource-num&gt;10.1086/423820&lt;/electronic-resource-num&gt;&lt;language&gt;eng&lt;/language&gt;&lt;/record&gt;&lt;/Cite&gt;&lt;/EndNote&gt;</w:instrText>
      </w:r>
      <w:r w:rsidRPr="004356D1">
        <w:fldChar w:fldCharType="separate"/>
      </w:r>
      <w:r>
        <w:rPr>
          <w:noProof/>
        </w:rPr>
        <w:t>(Brueggemann et al., 2004)</w:t>
      </w:r>
      <w:r w:rsidRPr="004356D1">
        <w:fldChar w:fldCharType="end"/>
      </w:r>
      <w:r w:rsidRPr="004356D1">
        <w:t xml:space="preserve"> a single reference (serotype 14) was used to calculate IOR. Thus, we use serotype 14’s carriage duration of 14 weeks for the reference type and define IOR as the following equation where </w:t>
      </w:r>
      <m:oMath>
        <m:sSub>
          <m:sSubPr>
            <m:ctrlPr>
              <w:rPr>
                <w:rFonts w:ascii="Cambria Math" w:hAnsi="Cambria Math"/>
                <w:i/>
                <w:iCs/>
              </w:rPr>
            </m:ctrlPr>
          </m:sSubPr>
          <m:e>
            <m:r>
              <m:rPr>
                <m:sty m:val="p"/>
              </m:rPr>
              <w:rPr>
                <w:rFonts w:ascii="Cambria Math" w:hAnsi="Cambria Math"/>
              </w:rPr>
              <m:t>τ</m:t>
            </m:r>
          </m:e>
          <m:sub>
            <m:r>
              <w:rPr>
                <w:rFonts w:ascii="Cambria Math" w:hAnsi="Cambria Math"/>
              </w:rPr>
              <m:t>f</m:t>
            </m:r>
          </m:sub>
        </m:sSub>
      </m:oMath>
      <w:r w:rsidRPr="004356D1">
        <w:rPr>
          <w:iCs/>
        </w:rPr>
        <w:t xml:space="preserve"> is the focal serotype carriage duration</w:t>
      </w:r>
      <w:r w:rsidRPr="004356D1">
        <w:t xml:space="preserve">, </w:t>
      </w:r>
    </w:p>
    <w:p w:rsidR="007D0DAE" w:rsidRPr="004356D1" w:rsidRDefault="007D0DAE" w:rsidP="007D0DAE">
      <w:pPr>
        <w:spacing w:line="480" w:lineRule="auto"/>
        <w:rPr>
          <w:i/>
          <w:iCs/>
        </w:rPr>
      </w:pPr>
      <m:oMathPara>
        <m:oMathParaPr>
          <m:jc m:val="center"/>
        </m:oMathParaPr>
        <m:oMath>
          <m:r>
            <m:rPr>
              <m:sty m:val="p"/>
            </m:rPr>
            <w:rPr>
              <w:rFonts w:ascii="Cambria Math" w:hAnsi="Cambria Math"/>
            </w:rPr>
            <m:t>IO</m:t>
          </m:r>
          <m:sSup>
            <m:sSupPr>
              <m:ctrlPr>
                <w:rPr>
                  <w:rFonts w:ascii="Cambria Math" w:hAnsi="Cambria Math"/>
                  <w:i/>
                  <w:iCs/>
                </w:rPr>
              </m:ctrlPr>
            </m:sSupPr>
            <m:e>
              <m:r>
                <w:rPr>
                  <w:rFonts w:ascii="Cambria Math" w:hAnsi="Cambria Math"/>
                </w:rPr>
                <m:t>R</m:t>
              </m:r>
            </m:e>
            <m:sup>
              <m:r>
                <m:rPr>
                  <m:sty m:val="p"/>
                </m:rPr>
                <w:rPr>
                  <w:rFonts w:ascii="Cambria Math" w:hAnsi="Cambria Math"/>
                </w:rPr>
                <m:t>*</m:t>
              </m:r>
            </m:sup>
          </m:sSup>
          <m:r>
            <w:rPr>
              <w:rFonts w:ascii="Cambria Math" w:hAnsi="Cambria Math"/>
            </w:rPr>
            <m:t>=</m:t>
          </m:r>
          <m:f>
            <m:fPr>
              <m:ctrlPr>
                <w:rPr>
                  <w:rFonts w:ascii="Cambria Math" w:hAnsi="Cambria Math"/>
                  <w:iCs/>
                </w:rPr>
              </m:ctrlPr>
            </m:fPr>
            <m:num>
              <m:sSup>
                <m:sSupPr>
                  <m:ctrlPr>
                    <w:rPr>
                      <w:rFonts w:ascii="Cambria Math" w:hAnsi="Cambria Math"/>
                      <w:i/>
                      <w:iCs/>
                    </w:rPr>
                  </m:ctrlPr>
                </m:sSupPr>
                <m:e>
                  <m:r>
                    <w:rPr>
                      <w:rFonts w:ascii="Cambria Math" w:hAnsi="Cambria Math"/>
                    </w:rPr>
                    <m:t>I</m:t>
                  </m:r>
                  <m:ctrlPr>
                    <w:rPr>
                      <w:rFonts w:ascii="Cambria Math" w:hAnsi="Cambria Math"/>
                      <w:iCs/>
                    </w:rPr>
                  </m:ctrlPr>
                </m:e>
                <m:sup>
                  <m:r>
                    <m:rPr>
                      <m:sty m:val="p"/>
                    </m:rPr>
                    <w:rPr>
                      <w:rFonts w:ascii="Cambria Math" w:hAnsi="Cambria Math"/>
                    </w:rPr>
                    <m:t>*</m:t>
                  </m:r>
                </m:sup>
              </m:sSup>
              <m:d>
                <m:dPr>
                  <m:ctrlPr>
                    <w:rPr>
                      <w:rFonts w:ascii="Cambria Math" w:hAnsi="Cambria Math"/>
                      <w:iCs/>
                    </w:rPr>
                  </m:ctrlPr>
                </m:dPr>
                <m:e>
                  <m:r>
                    <m:rPr>
                      <m:sty m:val="p"/>
                    </m:rPr>
                    <w:rPr>
                      <w:rFonts w:ascii="Cambria Math" w:hAnsi="Cambria Math"/>
                    </w:rPr>
                    <m:t>τ</m:t>
                  </m:r>
                  <m:r>
                    <w:rPr>
                      <w:rFonts w:ascii="Cambria Math" w:hAnsi="Cambria Math"/>
                    </w:rPr>
                    <m:t>=</m:t>
                  </m:r>
                  <m:sSub>
                    <m:sSubPr>
                      <m:ctrlPr>
                        <w:rPr>
                          <w:rFonts w:ascii="Cambria Math" w:hAnsi="Cambria Math"/>
                          <w:i/>
                          <w:iCs/>
                        </w:rPr>
                      </m:ctrlPr>
                    </m:sSubPr>
                    <m:e>
                      <m:r>
                        <m:rPr>
                          <m:sty m:val="p"/>
                        </m:rPr>
                        <w:rPr>
                          <w:rFonts w:ascii="Cambria Math" w:hAnsi="Cambria Math"/>
                        </w:rPr>
                        <m:t>τ</m:t>
                      </m:r>
                    </m:e>
                    <m:sub>
                      <m:r>
                        <w:rPr>
                          <w:rFonts w:ascii="Cambria Math" w:hAnsi="Cambria Math"/>
                        </w:rPr>
                        <m:t>f</m:t>
                      </m:r>
                    </m:sub>
                  </m:sSub>
                  <m:ctrlPr>
                    <w:rPr>
                      <w:rFonts w:ascii="Cambria Math" w:hAnsi="Cambria Math"/>
                      <w:i/>
                      <w:iCs/>
                    </w:rPr>
                  </m:ctrlPr>
                </m:e>
              </m:d>
              <m:sSup>
                <m:sSupPr>
                  <m:ctrlPr>
                    <w:rPr>
                      <w:rFonts w:ascii="Cambria Math" w:hAnsi="Cambria Math"/>
                      <w:i/>
                      <w:iCs/>
                    </w:rPr>
                  </m:ctrlPr>
                </m:sSupPr>
                <m:e>
                  <m:r>
                    <w:rPr>
                      <w:rFonts w:ascii="Cambria Math" w:hAnsi="Cambria Math"/>
                    </w:rPr>
                    <m:t>C</m:t>
                  </m:r>
                </m:e>
                <m:sup>
                  <m:r>
                    <m:rPr>
                      <m:sty m:val="p"/>
                    </m:rPr>
                    <w:rPr>
                      <w:rFonts w:ascii="Cambria Math" w:hAnsi="Cambria Math"/>
                    </w:rPr>
                    <m:t>*</m:t>
                  </m:r>
                </m:sup>
              </m:sSup>
              <m:d>
                <m:dPr>
                  <m:ctrlPr>
                    <w:rPr>
                      <w:rFonts w:ascii="Cambria Math" w:hAnsi="Cambria Math"/>
                      <w:iCs/>
                    </w:rPr>
                  </m:ctrlPr>
                </m:dPr>
                <m:e>
                  <m:r>
                    <m:rPr>
                      <m:sty m:val="p"/>
                    </m:rPr>
                    <w:rPr>
                      <w:rFonts w:ascii="Cambria Math" w:hAnsi="Cambria Math"/>
                    </w:rPr>
                    <m:t>τ</m:t>
                  </m:r>
                  <m:r>
                    <w:rPr>
                      <w:rFonts w:ascii="Cambria Math" w:hAnsi="Cambria Math"/>
                    </w:rPr>
                    <m:t>=14</m:t>
                  </m:r>
                  <m:ctrlPr>
                    <w:rPr>
                      <w:rFonts w:ascii="Cambria Math" w:hAnsi="Cambria Math"/>
                      <w:i/>
                      <w:iCs/>
                    </w:rPr>
                  </m:ctrlPr>
                </m:e>
              </m:d>
            </m:num>
            <m:den>
              <m:sSup>
                <m:sSupPr>
                  <m:ctrlPr>
                    <w:rPr>
                      <w:rFonts w:ascii="Cambria Math" w:hAnsi="Cambria Math"/>
                      <w:i/>
                      <w:iCs/>
                    </w:rPr>
                  </m:ctrlPr>
                </m:sSupPr>
                <m:e>
                  <m:r>
                    <w:rPr>
                      <w:rFonts w:ascii="Cambria Math" w:hAnsi="Cambria Math"/>
                    </w:rPr>
                    <m:t>C</m:t>
                  </m:r>
                  <m:ctrlPr>
                    <w:rPr>
                      <w:rFonts w:ascii="Cambria Math" w:hAnsi="Cambria Math"/>
                      <w:iCs/>
                    </w:rPr>
                  </m:ctrlPr>
                </m:e>
                <m:sup>
                  <m:r>
                    <m:rPr>
                      <m:sty m:val="p"/>
                    </m:rPr>
                    <w:rPr>
                      <w:rFonts w:ascii="Cambria Math" w:hAnsi="Cambria Math"/>
                    </w:rPr>
                    <m:t>*</m:t>
                  </m:r>
                </m:sup>
              </m:sSup>
              <m:d>
                <m:dPr>
                  <m:ctrlPr>
                    <w:rPr>
                      <w:rFonts w:ascii="Cambria Math" w:hAnsi="Cambria Math"/>
                      <w:iCs/>
                    </w:rPr>
                  </m:ctrlPr>
                </m:dPr>
                <m:e>
                  <m:r>
                    <m:rPr>
                      <m:sty m:val="p"/>
                    </m:rPr>
                    <w:rPr>
                      <w:rFonts w:ascii="Cambria Math" w:hAnsi="Cambria Math"/>
                    </w:rPr>
                    <m:t>τ=</m:t>
                  </m:r>
                  <m:sSub>
                    <m:sSubPr>
                      <m:ctrlPr>
                        <w:rPr>
                          <w:rFonts w:ascii="Cambria Math" w:hAnsi="Cambria Math"/>
                          <w:iCs/>
                        </w:rPr>
                      </m:ctrlPr>
                    </m:sSubPr>
                    <m:e>
                      <m:r>
                        <m:rPr>
                          <m:sty m:val="p"/>
                        </m:rPr>
                        <w:rPr>
                          <w:rFonts w:ascii="Cambria Math" w:hAnsi="Cambria Math"/>
                        </w:rPr>
                        <m:t>τ</m:t>
                      </m:r>
                    </m:e>
                    <m:sub>
                      <m:r>
                        <m:rPr>
                          <m:sty m:val="p"/>
                        </m:rPr>
                        <w:rPr>
                          <w:rFonts w:ascii="Cambria Math" w:hAnsi="Cambria Math"/>
                        </w:rPr>
                        <m:t>f</m:t>
                      </m:r>
                    </m:sub>
                  </m:sSub>
                </m:e>
              </m:d>
              <m:sSup>
                <m:sSupPr>
                  <m:ctrlPr>
                    <w:rPr>
                      <w:rFonts w:ascii="Cambria Math" w:hAnsi="Cambria Math"/>
                      <w:i/>
                      <w:iCs/>
                    </w:rPr>
                  </m:ctrlPr>
                </m:sSupPr>
                <m:e>
                  <m:r>
                    <w:rPr>
                      <w:rFonts w:ascii="Cambria Math" w:hAnsi="Cambria Math"/>
                    </w:rPr>
                    <m:t>I</m:t>
                  </m:r>
                </m:e>
                <m:sup>
                  <m:r>
                    <m:rPr>
                      <m:sty m:val="p"/>
                    </m:rPr>
                    <w:rPr>
                      <w:rFonts w:ascii="Cambria Math" w:hAnsi="Cambria Math"/>
                    </w:rPr>
                    <m:t>*</m:t>
                  </m:r>
                </m:sup>
              </m:sSup>
              <m:d>
                <m:dPr>
                  <m:ctrlPr>
                    <w:rPr>
                      <w:rFonts w:ascii="Cambria Math" w:hAnsi="Cambria Math"/>
                      <w:iCs/>
                    </w:rPr>
                  </m:ctrlPr>
                </m:dPr>
                <m:e>
                  <m:r>
                    <m:rPr>
                      <m:sty m:val="p"/>
                    </m:rPr>
                    <w:rPr>
                      <w:rFonts w:ascii="Cambria Math" w:hAnsi="Cambria Math"/>
                    </w:rPr>
                    <m:t>τ</m:t>
                  </m:r>
                  <m:r>
                    <w:rPr>
                      <w:rFonts w:ascii="Cambria Math" w:hAnsi="Cambria Math"/>
                    </w:rPr>
                    <m:t>=14</m:t>
                  </m:r>
                  <m:ctrlPr>
                    <w:rPr>
                      <w:rFonts w:ascii="Cambria Math" w:hAnsi="Cambria Math"/>
                      <w:i/>
                      <w:iCs/>
                    </w:rPr>
                  </m:ctrlPr>
                </m:e>
              </m:d>
            </m:den>
          </m:f>
        </m:oMath>
      </m:oMathPara>
    </w:p>
    <w:p w:rsidR="007D0DAE" w:rsidRPr="004356D1" w:rsidRDefault="007D0DAE" w:rsidP="007D0DAE">
      <w:pPr>
        <w:spacing w:line="480" w:lineRule="auto"/>
      </w:pPr>
    </w:p>
    <w:p w:rsidR="007D0DAE" w:rsidRDefault="007D0DAE" w:rsidP="007D0DAE">
      <w:pPr>
        <w:spacing w:line="480" w:lineRule="auto"/>
      </w:pPr>
      <w:r w:rsidRPr="004356D1">
        <w:t xml:space="preserve">Because we had carriage prevalence, invasive incidence, carriage acquisition incidence, AR and IOR data for each serotype and the functions describing these epidemiological attributes all used the same parameters, we wanted to estimate the parameters by model fitting all five functions simultaneously. To achieve this, we use the ‘NonlinearModelFit’ function in Mathematica to estimate the </w:t>
      </w:r>
      <w:r w:rsidRPr="004356D1">
        <w:rPr>
          <w:i/>
          <w:iCs/>
        </w:rPr>
        <w:t>β</w:t>
      </w:r>
      <w:r w:rsidRPr="004356D1">
        <w:t xml:space="preserve">, </w:t>
      </w:r>
      <w:r w:rsidRPr="004356D1">
        <w:rPr>
          <w:i/>
          <w:iCs/>
        </w:rPr>
        <w:t>p</w:t>
      </w:r>
      <w:r w:rsidRPr="004356D1">
        <w:t xml:space="preserve">, </w:t>
      </w:r>
      <w:r w:rsidRPr="004356D1">
        <w:rPr>
          <w:i/>
          <w:iCs/>
        </w:rPr>
        <w:t>d</w:t>
      </w:r>
      <w:r w:rsidRPr="004356D1">
        <w:t xml:space="preserve">, and </w:t>
      </w:r>
      <w:r w:rsidRPr="004356D1">
        <w:rPr>
          <w:i/>
          <w:iCs/>
        </w:rPr>
        <w:t>f</w:t>
      </w:r>
      <w:r w:rsidRPr="004356D1">
        <w:t xml:space="preserve"> parameters which represent the transmission rate, rapid invasive progression probability, constant invasive progression probability and immunity clearance rate respectively.  One other parameter, invasive clearance rate (</w:t>
      </w:r>
      <w:r w:rsidRPr="004356D1">
        <w:rPr>
          <w:i/>
          <w:iCs/>
        </w:rPr>
        <w:t>h</w:t>
      </w:r>
      <w:r w:rsidRPr="004356D1">
        <w:t xml:space="preserve">), is fixed in the analysis with </w:t>
      </w:r>
      <w:r w:rsidRPr="004356D1">
        <w:rPr>
          <w:i/>
          <w:iCs/>
        </w:rPr>
        <w:t>h</w:t>
      </w:r>
      <w:r w:rsidRPr="004356D1">
        <w:t xml:space="preserve"> set to 0.5 weeks based on previous work by Baldo </w:t>
      </w:r>
      <w:r w:rsidRPr="004356D1">
        <w:rPr>
          <w:i/>
          <w:iCs/>
        </w:rPr>
        <w:t>et al.</w:t>
      </w:r>
      <w:r w:rsidRPr="004356D1">
        <w:t xml:space="preserve"> </w:t>
      </w:r>
      <w:r w:rsidRPr="004356D1">
        <w:fldChar w:fldCharType="begin"/>
      </w:r>
      <w:r>
        <w:instrText xml:space="preserve"> ADDIN EN.CITE &lt;EndNote&gt;&lt;Cite&gt;&lt;Author&gt;Baldo&lt;/Author&gt;&lt;Year&gt;2015&lt;/Year&gt;&lt;RecNum&gt;85&lt;/RecNum&gt;&lt;DisplayText&gt;(Baldo et al., 2015)&lt;/DisplayText&gt;&lt;record&gt;&lt;rec-number&gt;85&lt;/rec-number&gt;&lt;foreign-keys&gt;&lt;key app="EN" db-id="arwsepdx905dwferawv5zt2ow09fwwt0ttfa" timestamp="1600111040" guid="dd39fea1-ab8e-4ad1-aedb-ebfe90ba0de2"&gt;85&lt;/key&gt;&lt;/foreign-keys&gt;&lt;ref-type name="Journal Article"&gt;17&lt;/ref-type&gt;&lt;contributors&gt;&lt;authors&gt;&lt;author&gt;Baldo, V.&lt;/author&gt;&lt;author&gt;Cocchio, S.&lt;/author&gt;&lt;author&gt;Lazzari, R.&lt;/author&gt;&lt;author&gt;Furlan, P.&lt;/author&gt;&lt;author&gt;Bertoncello, C.&lt;/author&gt;&lt;author&gt;Russo, F.&lt;/author&gt;&lt;author&gt;Saia, M.&lt;/author&gt;&lt;author&gt;Baldovin, T.&lt;/author&gt;&lt;/authors&gt;&lt;/contributors&gt;&lt;titles&gt;&lt;title&gt;Estimated hospitalization rate for diseases attributable to Streptococcus pneumoniae in the Veneto region of north-east Italy&lt;/title&gt;&lt;secondary-title&gt;Prev Med Rep&lt;/secondary-title&gt;&lt;/titles&gt;&lt;periodical&gt;&lt;full-title&gt;Prev Med Rep&lt;/full-title&gt;&lt;/periodical&gt;&lt;pages&gt;27-31&lt;/pages&gt;&lt;volume&gt;2&lt;/volume&gt;&lt;edition&gt;2014/12/15&lt;/edition&gt;&lt;keywords&gt;&lt;keyword&gt;Epidemiology&lt;/keyword&gt;&lt;keyword&gt;Hospitalization&lt;/keyword&gt;&lt;keyword&gt;Streptococcus pneumoniae&lt;/keyword&gt;&lt;/keywords&gt;&lt;dates&gt;&lt;year&gt;2015&lt;/year&gt;&lt;/dates&gt;&lt;isbn&gt;2211-3355&lt;/isbn&gt;&lt;accession-num&gt;27114894&lt;/accession-num&gt;&lt;urls&gt;&lt;related-urls&gt;&lt;url&gt;https://www.ncbi.nlm.nih.gov/pubmed/27114894&lt;/url&gt;&lt;/related-urls&gt;&lt;/urls&gt;&lt;custom2&gt;PMC4832486&lt;/custom2&gt;&lt;electronic-resource-num&gt;10.1016/j.pmedr.2014.12.001&lt;/electronic-resource-num&gt;&lt;language&gt;eng&lt;/language&gt;&lt;/record&gt;&lt;/Cite&gt;&lt;/EndNote&gt;</w:instrText>
      </w:r>
      <w:r w:rsidRPr="004356D1">
        <w:fldChar w:fldCharType="separate"/>
      </w:r>
      <w:r>
        <w:rPr>
          <w:noProof/>
        </w:rPr>
        <w:t>(Baldo et al., 2015)</w:t>
      </w:r>
      <w:r w:rsidRPr="004356D1">
        <w:fldChar w:fldCharType="end"/>
      </w:r>
      <w:r w:rsidRPr="004356D1">
        <w:t xml:space="preserve">. We fit these equations </w:t>
      </w:r>
      <w:r w:rsidRPr="004356D1">
        <w:lastRenderedPageBreak/>
        <w:t xml:space="preserve">simultaneously by building an object function comprised of the five equations and by employing the ‘Piecewise’ Mathematica function which uses a dummy variable as a condition in order to associate each equation with its corresponding epidemiological dataset. The code for this model fitting procedure is available as a supplementary file (Mathematica notebook). </w:t>
      </w:r>
    </w:p>
    <w:p w:rsidR="007D0DAE" w:rsidRPr="004356D1" w:rsidRDefault="007D0DAE" w:rsidP="007D0DAE">
      <w:pPr>
        <w:spacing w:line="480" w:lineRule="auto"/>
      </w:pPr>
    </w:p>
    <w:p w:rsidR="007D0DAE" w:rsidRPr="004356D1" w:rsidRDefault="007D0DAE" w:rsidP="007D0DAE">
      <w:pPr>
        <w:spacing w:line="480" w:lineRule="auto"/>
        <w:rPr>
          <w:b/>
          <w:bCs/>
        </w:rPr>
      </w:pPr>
      <w:r w:rsidRPr="004356D1">
        <w:rPr>
          <w:b/>
          <w:bCs/>
        </w:rPr>
        <w:t>Deriving the Mathematical Relationship between IOR and Carriage Duration</w:t>
      </w:r>
    </w:p>
    <w:p w:rsidR="007D0DAE" w:rsidRPr="004356D1" w:rsidRDefault="007D0DAE" w:rsidP="007D0DAE">
      <w:pPr>
        <w:spacing w:line="480" w:lineRule="auto"/>
      </w:pPr>
      <w:r w:rsidRPr="004356D1">
        <w:t xml:space="preserve">To understand the first principles of the relationship between IOR and carriage duration using the compartmental model we constructed odds ratio calculations for a hypothetical set of pathogen strains. As described in the methods section, we assume that multiple strains co-circulate independently (thus co-infections do not change focal strain dynamics and need not be tracked explicitly) and reach an endemic equilibrium. Strain comparisons can be made explicit by subscripting strain numbers to infection classes (e.g., </w:t>
      </w:r>
      <w:r w:rsidRPr="004356D1">
        <w:rPr>
          <w:i/>
          <w:iCs/>
        </w:rPr>
        <w:t>C</w:t>
      </w:r>
      <w:r w:rsidRPr="004356D1">
        <w:rPr>
          <w:vertAlign w:val="subscript"/>
        </w:rPr>
        <w:t>0</w:t>
      </w:r>
      <w:r w:rsidRPr="004356D1">
        <w:t xml:space="preserve">, </w:t>
      </w:r>
      <w:r w:rsidRPr="004356D1">
        <w:rPr>
          <w:i/>
          <w:iCs/>
        </w:rPr>
        <w:t>C</w:t>
      </w:r>
      <w:r w:rsidRPr="004356D1">
        <w:rPr>
          <w:vertAlign w:val="subscript"/>
        </w:rPr>
        <w:t>1</w:t>
      </w:r>
      <w:r w:rsidRPr="004356D1">
        <w:t xml:space="preserve">) and to strain life-history parameters (e.g., </w:t>
      </w:r>
      <w:r w:rsidRPr="004356D1">
        <w:rPr>
          <w:i/>
          <w:iCs/>
        </w:rPr>
        <w:t>p</w:t>
      </w:r>
      <w:r w:rsidRPr="004356D1">
        <w:rPr>
          <w:i/>
          <w:iCs/>
          <w:vertAlign w:val="subscript"/>
        </w:rPr>
        <w:t>0</w:t>
      </w:r>
      <w:r w:rsidRPr="004356D1">
        <w:rPr>
          <w:i/>
          <w:iCs/>
        </w:rPr>
        <w:t>, p</w:t>
      </w:r>
      <w:r w:rsidRPr="004356D1">
        <w:rPr>
          <w:i/>
          <w:iCs/>
          <w:vertAlign w:val="subscript"/>
        </w:rPr>
        <w:t>1</w:t>
      </w:r>
      <w:r w:rsidRPr="004356D1">
        <w:t xml:space="preserve">). The odds that the reference strain 0 causes disease (given carriage of strain 0) is then simply </w:t>
      </w:r>
      <w:r w:rsidRPr="004356D1">
        <w:rPr>
          <w:i/>
          <w:iCs/>
        </w:rPr>
        <w:t>I</w:t>
      </w:r>
      <w:r w:rsidRPr="004356D1">
        <w:rPr>
          <w:vertAlign w:val="subscript"/>
        </w:rPr>
        <w:t>0</w:t>
      </w:r>
      <w:r w:rsidRPr="004356D1">
        <w:t>/</w:t>
      </w:r>
      <w:r w:rsidRPr="004356D1">
        <w:rPr>
          <w:i/>
          <w:iCs/>
        </w:rPr>
        <w:t>C</w:t>
      </w:r>
      <w:r w:rsidRPr="004356D1">
        <w:rPr>
          <w:vertAlign w:val="subscript"/>
        </w:rPr>
        <w:t>0</w:t>
      </w:r>
      <w:r w:rsidRPr="004356D1">
        <w:t xml:space="preserve">. Similarly, the odds that focal strain 1 causes disease (given carriage of 1) is </w:t>
      </w:r>
      <w:r w:rsidRPr="004356D1">
        <w:rPr>
          <w:i/>
          <w:iCs/>
        </w:rPr>
        <w:t>I</w:t>
      </w:r>
      <w:r w:rsidRPr="004356D1">
        <w:rPr>
          <w:vertAlign w:val="subscript"/>
        </w:rPr>
        <w:t>1</w:t>
      </w:r>
      <w:r w:rsidRPr="004356D1">
        <w:t>/</w:t>
      </w:r>
      <w:r w:rsidRPr="004356D1">
        <w:rPr>
          <w:i/>
          <w:iCs/>
        </w:rPr>
        <w:t>C</w:t>
      </w:r>
      <w:r w:rsidRPr="004356D1">
        <w:rPr>
          <w:vertAlign w:val="subscript"/>
        </w:rPr>
        <w:t>1</w:t>
      </w:r>
      <w:r w:rsidRPr="004356D1">
        <w:t xml:space="preserve">. Thus, the odds ratio of disease in strain 1 (relative to strain 0) is </w:t>
      </w:r>
      <w:r w:rsidRPr="004356D1">
        <w:rPr>
          <w:i/>
          <w:iCs/>
        </w:rPr>
        <w:t>I</w:t>
      </w:r>
      <w:r w:rsidRPr="004356D1">
        <w:rPr>
          <w:vertAlign w:val="subscript"/>
        </w:rPr>
        <w:t>1</w:t>
      </w:r>
      <w:r w:rsidRPr="004356D1">
        <w:rPr>
          <w:i/>
          <w:iCs/>
        </w:rPr>
        <w:t>C</w:t>
      </w:r>
      <w:r w:rsidRPr="004356D1">
        <w:rPr>
          <w:vertAlign w:val="subscript"/>
        </w:rPr>
        <w:t>0</w:t>
      </w:r>
      <w:r w:rsidRPr="004356D1">
        <w:t xml:space="preserve"> / </w:t>
      </w:r>
      <w:r w:rsidRPr="004356D1">
        <w:rPr>
          <w:i/>
          <w:iCs/>
        </w:rPr>
        <w:t>C</w:t>
      </w:r>
      <w:r w:rsidRPr="004356D1">
        <w:rPr>
          <w:vertAlign w:val="subscript"/>
        </w:rPr>
        <w:t>1</w:t>
      </w:r>
      <w:r w:rsidRPr="004356D1">
        <w:rPr>
          <w:i/>
          <w:iCs/>
        </w:rPr>
        <w:t>I</w:t>
      </w:r>
      <w:r w:rsidRPr="004356D1">
        <w:rPr>
          <w:vertAlign w:val="subscript"/>
        </w:rPr>
        <w:t>0</w:t>
      </w:r>
      <w:r w:rsidRPr="004356D1">
        <w:t>. We can now ask: How does the odds ratio of disease vary with focal carriage duration? Formulating the invasive odds ratio equation as a function of focal carriage duration yields the following expression,</w:t>
      </w:r>
    </w:p>
    <w:p w:rsidR="007D0DAE" w:rsidRPr="004356D1" w:rsidRDefault="007D0DAE" w:rsidP="007D0DAE">
      <w:pPr>
        <w:spacing w:line="480" w:lineRule="auto"/>
      </w:pPr>
    </w:p>
    <w:p w:rsidR="007D0DAE" w:rsidRPr="004356D1" w:rsidRDefault="007D0DAE" w:rsidP="007D0DAE">
      <w:pPr>
        <w:spacing w:line="480" w:lineRule="auto"/>
        <w:rPr>
          <w:i/>
          <w:iCs/>
        </w:rPr>
      </w:pPr>
      <m:oMathPara>
        <m:oMathParaPr>
          <m:jc m:val="center"/>
        </m:oMathParaPr>
        <m:oMath>
          <m:r>
            <w:rPr>
              <w:rFonts w:ascii="Cambria Math" w:hAnsi="Cambria Math"/>
            </w:rPr>
            <m:t>IOR</m:t>
          </m:r>
          <m:d>
            <m:dPr>
              <m:ctrlPr>
                <w:rPr>
                  <w:rFonts w:ascii="Cambria Math" w:hAnsi="Cambria Math"/>
                  <w:i/>
                  <w:iCs/>
                </w:rPr>
              </m:ctrlPr>
            </m:dPr>
            <m:e>
              <m:sSub>
                <m:sSubPr>
                  <m:ctrlPr>
                    <w:rPr>
                      <w:rFonts w:ascii="Cambria Math" w:hAnsi="Cambria Math"/>
                      <w:i/>
                      <w:iCs/>
                    </w:rPr>
                  </m:ctrlPr>
                </m:sSubPr>
                <m:e>
                  <m:r>
                    <w:rPr>
                      <w:rFonts w:ascii="Cambria Math" w:hAnsi="Cambria Math"/>
                    </w:rPr>
                    <m:t>τ</m:t>
                  </m:r>
                </m:e>
                <m:sub>
                  <m:r>
                    <w:rPr>
                      <w:rFonts w:ascii="Cambria Math" w:hAnsi="Cambria Math"/>
                    </w:rPr>
                    <m:t>1</m:t>
                  </m:r>
                </m:sub>
              </m:sSub>
            </m:e>
          </m:d>
          <m:r>
            <w:rPr>
              <w:rFonts w:ascii="Cambria Math" w:hAnsi="Cambria Math"/>
            </w:rPr>
            <m:t>=</m:t>
          </m:r>
          <m:f>
            <m:fPr>
              <m:ctrlPr>
                <w:rPr>
                  <w:rFonts w:ascii="Cambria Math" w:hAnsi="Cambria Math"/>
                  <w:i/>
                  <w:iCs/>
                </w:rPr>
              </m:ctrlPr>
            </m:fPr>
            <m:num>
              <m:sSub>
                <m:sSubPr>
                  <m:ctrlPr>
                    <w:rPr>
                      <w:rFonts w:ascii="Cambria Math" w:hAnsi="Cambria Math"/>
                      <w:i/>
                      <w:iCs/>
                    </w:rPr>
                  </m:ctrlPr>
                </m:sSubPr>
                <m:e>
                  <m:r>
                    <m:rPr>
                      <m:nor/>
                    </m:rPr>
                    <w:rPr>
                      <w:i/>
                      <w:iCs/>
                    </w:rPr>
                    <m:t>τ</m:t>
                  </m:r>
                </m:e>
                <m:sub>
                  <m:r>
                    <m:rPr>
                      <m:nor/>
                    </m:rPr>
                    <w:rPr>
                      <w:i/>
                      <w:iCs/>
                    </w:rPr>
                    <m:t>0</m:t>
                  </m:r>
                </m:sub>
              </m:sSub>
              <m:d>
                <m:dPr>
                  <m:ctrlPr>
                    <w:rPr>
                      <w:rFonts w:ascii="Cambria Math" w:hAnsi="Cambria Math"/>
                      <w:i/>
                      <w:iCs/>
                    </w:rPr>
                  </m:ctrlPr>
                </m:dPr>
                <m:e>
                  <m:r>
                    <w:rPr>
                      <w:rFonts w:ascii="Cambria Math" w:hAnsi="Cambria Math"/>
                    </w:rPr>
                    <m:t>d</m:t>
                  </m:r>
                  <m:sSub>
                    <m:sSubPr>
                      <m:ctrlPr>
                        <w:rPr>
                          <w:rFonts w:ascii="Cambria Math" w:hAnsi="Cambria Math"/>
                          <w:i/>
                          <w:iCs/>
                        </w:rPr>
                      </m:ctrlPr>
                    </m:sSubPr>
                    <m:e>
                      <m:r>
                        <m:rPr>
                          <m:nor/>
                        </m:rPr>
                        <w:rPr>
                          <w:i/>
                          <w:iCs/>
                        </w:rPr>
                        <m:t>τ</m:t>
                      </m:r>
                    </m:e>
                    <m:sub>
                      <m:r>
                        <m:rPr>
                          <m:nor/>
                        </m:rPr>
                        <w:rPr>
                          <w:i/>
                          <w:iCs/>
                        </w:rPr>
                        <m:t>1</m:t>
                      </m:r>
                    </m:sub>
                  </m:sSub>
                  <m:r>
                    <w:rPr>
                      <w:rFonts w:ascii="Cambria Math" w:hAnsi="Cambria Math"/>
                    </w:rPr>
                    <m:t>+p</m:t>
                  </m:r>
                </m:e>
              </m:d>
            </m:num>
            <m:den>
              <m:sSub>
                <m:sSubPr>
                  <m:ctrlPr>
                    <w:rPr>
                      <w:rFonts w:ascii="Cambria Math" w:hAnsi="Cambria Math"/>
                      <w:i/>
                      <w:iCs/>
                    </w:rPr>
                  </m:ctrlPr>
                </m:sSubPr>
                <m:e>
                  <m:r>
                    <m:rPr>
                      <m:nor/>
                    </m:rPr>
                    <w:rPr>
                      <w:i/>
                      <w:iCs/>
                    </w:rPr>
                    <m:t>τ</m:t>
                  </m:r>
                </m:e>
                <m:sub>
                  <m:r>
                    <m:rPr>
                      <m:nor/>
                    </m:rPr>
                    <w:rPr>
                      <w:i/>
                      <w:iCs/>
                    </w:rPr>
                    <m:t>1</m:t>
                  </m:r>
                </m:sub>
              </m:sSub>
              <m:d>
                <m:dPr>
                  <m:ctrlPr>
                    <w:rPr>
                      <w:rFonts w:ascii="Cambria Math" w:hAnsi="Cambria Math"/>
                      <w:i/>
                      <w:iCs/>
                    </w:rPr>
                  </m:ctrlPr>
                </m:dPr>
                <m:e>
                  <m:r>
                    <w:rPr>
                      <w:rFonts w:ascii="Cambria Math" w:hAnsi="Cambria Math"/>
                    </w:rPr>
                    <m:t>d</m:t>
                  </m:r>
                  <m:sSub>
                    <m:sSubPr>
                      <m:ctrlPr>
                        <w:rPr>
                          <w:rFonts w:ascii="Cambria Math" w:hAnsi="Cambria Math"/>
                          <w:i/>
                          <w:iCs/>
                        </w:rPr>
                      </m:ctrlPr>
                    </m:sSubPr>
                    <m:e>
                      <m:r>
                        <m:rPr>
                          <m:nor/>
                        </m:rPr>
                        <w:rPr>
                          <w:i/>
                          <w:iCs/>
                        </w:rPr>
                        <m:t>τ</m:t>
                      </m:r>
                    </m:e>
                    <m:sub>
                      <m:r>
                        <m:rPr>
                          <m:nor/>
                        </m:rPr>
                        <w:rPr>
                          <w:i/>
                          <w:iCs/>
                        </w:rPr>
                        <m:t>0</m:t>
                      </m:r>
                    </m:sub>
                  </m:sSub>
                  <m:r>
                    <w:rPr>
                      <w:rFonts w:ascii="Cambria Math" w:hAnsi="Cambria Math"/>
                    </w:rPr>
                    <m:t>+p</m:t>
                  </m:r>
                </m:e>
              </m:d>
            </m:den>
          </m:f>
        </m:oMath>
      </m:oMathPara>
    </w:p>
    <w:p w:rsidR="007D0DAE" w:rsidRPr="004356D1" w:rsidRDefault="007D0DAE" w:rsidP="007D0DAE">
      <w:pPr>
        <w:spacing w:line="480" w:lineRule="auto"/>
      </w:pPr>
    </w:p>
    <w:p w:rsidR="007D0DAE" w:rsidRPr="004356D1" w:rsidRDefault="007D0DAE" w:rsidP="007D0DAE">
      <w:pPr>
        <w:spacing w:line="480" w:lineRule="auto"/>
      </w:pPr>
      <w:r w:rsidRPr="004356D1">
        <w:t>Increasing the commensal-specific carriage duration τ</w:t>
      </w:r>
      <w:r w:rsidRPr="004356D1">
        <w:rPr>
          <w:vertAlign w:val="subscript"/>
        </w:rPr>
        <w:t xml:space="preserve">1 </w:t>
      </w:r>
      <w:r w:rsidRPr="004356D1">
        <w:t>will decrease IOR, as commensal stages will increase their relative representation in the population (</w:t>
      </w:r>
      <w:r w:rsidRPr="004356D1">
        <w:rPr>
          <w:i/>
          <w:iCs/>
          <w:lang w:val="it-IT"/>
        </w:rPr>
        <w:t>Figure 2A</w:t>
      </w:r>
      <w:r w:rsidRPr="004356D1">
        <w:t xml:space="preserve">). Note that with the </w:t>
      </w:r>
      <w:r w:rsidRPr="004356D1">
        <w:rPr>
          <w:i/>
          <w:iCs/>
        </w:rPr>
        <w:t>d</w:t>
      </w:r>
      <w:r w:rsidRPr="004356D1">
        <w:t xml:space="preserve"> </w:t>
      </w:r>
      <w:r w:rsidRPr="004356D1">
        <w:lastRenderedPageBreak/>
        <w:t xml:space="preserve">parameter set to 0, IOR written as a function of focal carriage duration simply becomes the reciprocal equation </w:t>
      </w:r>
      <m:oMath>
        <m:r>
          <w:rPr>
            <w:rFonts w:ascii="Cambria Math" w:hAnsi="Cambria Math"/>
          </w:rPr>
          <m:t>IOR</m:t>
        </m:r>
        <m:d>
          <m:dPr>
            <m:ctrlPr>
              <w:rPr>
                <w:rFonts w:ascii="Cambria Math" w:hAnsi="Cambria Math"/>
                <w:i/>
              </w:rPr>
            </m:ctrlPr>
          </m:dPr>
          <m:e>
            <m:r>
              <w:rPr>
                <w:rFonts w:ascii="Cambria Math" w:hAnsi="Cambria Math"/>
              </w:rPr>
              <m:t>τ</m:t>
            </m:r>
          </m:e>
        </m:d>
        <m:r>
          <w:rPr>
            <w:rFonts w:ascii="Cambria Math" w:hAnsi="Cambria Math"/>
          </w:rPr>
          <m:t>=</m:t>
        </m:r>
        <m:f>
          <m:fPr>
            <m:ctrlPr>
              <w:rPr>
                <w:rFonts w:ascii="Cambria Math" w:hAnsi="Cambria Math"/>
                <w:i/>
              </w:rPr>
            </m:ctrlPr>
          </m:fPr>
          <m:num>
            <m:sSub>
              <m:sSubPr>
                <m:ctrlPr>
                  <w:rPr>
                    <w:rFonts w:ascii="Cambria Math" w:hAnsi="Cambria Math"/>
                    <w:i/>
                  </w:rPr>
                </m:ctrlPr>
              </m:sSubPr>
              <m:e>
                <m:r>
                  <m:rPr>
                    <m:nor/>
                  </m:rPr>
                  <w:rPr>
                    <w:i/>
                  </w:rPr>
                  <m:t>τ</m:t>
                </m:r>
              </m:e>
              <m:sub>
                <m:r>
                  <m:rPr>
                    <m:nor/>
                  </m:rPr>
                  <w:rPr>
                    <w:i/>
                  </w:rPr>
                  <m:t>0</m:t>
                </m:r>
              </m:sub>
            </m:sSub>
          </m:num>
          <m:den>
            <m:r>
              <m:rPr>
                <m:nor/>
              </m:rPr>
              <w:rPr>
                <w:i/>
              </w:rPr>
              <m:t>τ</m:t>
            </m:r>
          </m:den>
        </m:f>
      </m:oMath>
      <w:r w:rsidRPr="004356D1">
        <w:t>. In other words, it is just the clearance rate of the focal serotype multiplied by the reference carriage duration. Given that this is a relational expression IOR can therefore vary by orders of magnitude over short carriage durations.</w:t>
      </w:r>
    </w:p>
    <w:p w:rsidR="007D0DAE" w:rsidRPr="004356D1" w:rsidRDefault="007D0DAE" w:rsidP="007D0DAE">
      <w:pPr>
        <w:spacing w:line="480" w:lineRule="auto"/>
      </w:pPr>
    </w:p>
    <w:p w:rsidR="007D0DAE" w:rsidRPr="004356D1" w:rsidRDefault="007D0DAE" w:rsidP="007D0DAE">
      <w:pPr>
        <w:spacing w:line="480" w:lineRule="auto"/>
        <w:rPr>
          <w:b/>
          <w:bCs/>
        </w:rPr>
      </w:pPr>
      <w:r w:rsidRPr="004356D1">
        <w:rPr>
          <w:b/>
          <w:bCs/>
        </w:rPr>
        <w:t>Invasive OR Analysis</w:t>
      </w:r>
    </w:p>
    <w:p w:rsidR="007D0DAE" w:rsidRPr="004356D1" w:rsidRDefault="007D0DAE" w:rsidP="007D0DAE">
      <w:pPr>
        <w:spacing w:line="480" w:lineRule="auto"/>
      </w:pPr>
      <w:r w:rsidRPr="004356D1">
        <w:t xml:space="preserve">We begin by testing the basic premise of invasive OR comparisons that increasing the initial or constant disease risk (increasing </w:t>
      </w:r>
      <w:r w:rsidRPr="004356D1">
        <w:rPr>
          <w:i/>
          <w:iCs/>
        </w:rPr>
        <w:t>p</w:t>
      </w:r>
      <w:r w:rsidRPr="004356D1">
        <w:rPr>
          <w:i/>
          <w:iCs/>
          <w:vertAlign w:val="subscript"/>
        </w:rPr>
        <w:t>1</w:t>
      </w:r>
      <w:r w:rsidRPr="004356D1">
        <w:t xml:space="preserve"> or </w:t>
      </w:r>
      <w:r w:rsidRPr="004356D1">
        <w:rPr>
          <w:i/>
          <w:iCs/>
        </w:rPr>
        <w:t>d</w:t>
      </w:r>
      <w:r w:rsidRPr="004356D1">
        <w:rPr>
          <w:i/>
          <w:iCs/>
          <w:vertAlign w:val="subscript"/>
        </w:rPr>
        <w:t>1</w:t>
      </w:r>
      <w:r w:rsidRPr="004356D1">
        <w:t xml:space="preserve"> in our model) will increase the odds ratio of disease. The effect of increasing the constant disease progression in the focal strain (</w:t>
      </w:r>
      <w:r w:rsidRPr="004356D1">
        <w:rPr>
          <w:i/>
          <w:iCs/>
        </w:rPr>
        <w:t>d</w:t>
      </w:r>
      <w:r w:rsidRPr="004356D1">
        <w:rPr>
          <w:i/>
          <w:iCs/>
          <w:vertAlign w:val="subscript"/>
        </w:rPr>
        <w:t>1</w:t>
      </w:r>
      <w:r w:rsidRPr="004356D1">
        <w:t xml:space="preserve">) on the odds ratio of disease can be readily identified by inspecting the gradient of IOR on </w:t>
      </w:r>
      <w:r w:rsidRPr="004356D1">
        <w:rPr>
          <w:i/>
          <w:iCs/>
        </w:rPr>
        <w:t>d</w:t>
      </w:r>
      <w:r w:rsidRPr="004356D1">
        <w:rPr>
          <w:i/>
          <w:iCs/>
          <w:vertAlign w:val="subscript"/>
        </w:rPr>
        <w:t>1</w:t>
      </w:r>
    </w:p>
    <w:p w:rsidR="007D0DAE" w:rsidRPr="004356D1" w:rsidRDefault="007D0DAE" w:rsidP="007D0DAE">
      <w:pPr>
        <w:spacing w:line="480" w:lineRule="auto"/>
      </w:pPr>
    </w:p>
    <w:p w:rsidR="007D0DAE" w:rsidRPr="004356D1" w:rsidRDefault="007D0DAE" w:rsidP="007D0DAE">
      <w:pPr>
        <w:spacing w:line="480" w:lineRule="auto"/>
        <w:rPr>
          <w:i/>
          <w:iCs/>
        </w:rPr>
      </w:pPr>
      <m:oMathPara>
        <m:oMath>
          <m:r>
            <w:rPr>
              <w:rFonts w:ascii="Cambria Math" w:hAnsi="Cambria Math"/>
            </w:rPr>
            <m:t>IO</m:t>
          </m:r>
          <m:sSup>
            <m:sSupPr>
              <m:ctrlPr>
                <w:rPr>
                  <w:rFonts w:ascii="Cambria Math" w:hAnsi="Cambria Math"/>
                  <w:i/>
                  <w:iCs/>
                </w:rPr>
              </m:ctrlPr>
            </m:sSupPr>
            <m:e>
              <m:r>
                <w:rPr>
                  <w:rFonts w:ascii="Cambria Math" w:hAnsi="Cambria Math"/>
                </w:rPr>
                <m:t>R</m:t>
              </m:r>
            </m:e>
            <m:sup>
              <m:r>
                <w:rPr>
                  <w:rFonts w:ascii="Cambria Math" w:hAnsi="Cambria Math" w:hint="eastAsia"/>
                </w:rPr>
                <m:t>'</m:t>
              </m:r>
            </m:sup>
          </m:sSup>
          <m:d>
            <m:dPr>
              <m:ctrlPr>
                <w:rPr>
                  <w:rFonts w:ascii="Cambria Math" w:hAnsi="Cambria Math"/>
                  <w:i/>
                  <w:iCs/>
                </w:rPr>
              </m:ctrlPr>
            </m:dPr>
            <m:e>
              <m:sSub>
                <m:sSubPr>
                  <m:ctrlPr>
                    <w:rPr>
                      <w:rFonts w:ascii="Cambria Math" w:hAnsi="Cambria Math"/>
                      <w:i/>
                      <w:iCs/>
                    </w:rPr>
                  </m:ctrlPr>
                </m:sSubPr>
                <m:e>
                  <m:r>
                    <w:rPr>
                      <w:rFonts w:ascii="Cambria Math" w:hAnsi="Cambria Math"/>
                    </w:rPr>
                    <m:t>d</m:t>
                  </m:r>
                </m:e>
                <m:sub>
                  <m:r>
                    <w:rPr>
                      <w:rFonts w:ascii="Cambria Math" w:hAnsi="Cambria Math"/>
                    </w:rPr>
                    <m:t>1</m:t>
                  </m:r>
                </m:sub>
              </m:sSub>
            </m:e>
          </m:d>
          <m:r>
            <w:rPr>
              <w:rFonts w:ascii="Cambria Math" w:hAnsi="Cambria Math"/>
            </w:rPr>
            <m:t>=</m:t>
          </m:r>
          <m:f>
            <m:fPr>
              <m:ctrlPr>
                <w:rPr>
                  <w:rFonts w:ascii="Cambria Math" w:hAnsi="Cambria Math"/>
                  <w:i/>
                  <w:iCs/>
                </w:rPr>
              </m:ctrlPr>
            </m:fPr>
            <m:num>
              <m:r>
                <w:rPr>
                  <w:rFonts w:ascii="Cambria Math" w:hAnsi="Cambria Math"/>
                </w:rPr>
                <m:t>p</m:t>
              </m:r>
              <m:sSub>
                <m:sSubPr>
                  <m:ctrlPr>
                    <w:rPr>
                      <w:rFonts w:ascii="Cambria Math" w:hAnsi="Cambria Math"/>
                      <w:i/>
                      <w:iCs/>
                    </w:rPr>
                  </m:ctrlPr>
                </m:sSubPr>
                <m:e>
                  <m:r>
                    <m:rPr>
                      <m:nor/>
                    </m:rPr>
                    <w:rPr>
                      <w:i/>
                      <w:iCs/>
                    </w:rPr>
                    <m:t>τ</m:t>
                  </m:r>
                </m:e>
                <m:sub>
                  <m:r>
                    <m:rPr>
                      <m:nor/>
                    </m:rPr>
                    <w:rPr>
                      <w:i/>
                      <w:iCs/>
                    </w:rPr>
                    <m:t>0</m:t>
                  </m:r>
                </m:sub>
              </m:sSub>
              <m:d>
                <m:dPr>
                  <m:ctrlPr>
                    <w:rPr>
                      <w:rFonts w:ascii="Cambria Math" w:hAnsi="Cambria Math"/>
                      <w:i/>
                      <w:iCs/>
                    </w:rPr>
                  </m:ctrlPr>
                </m:dPr>
                <m:e>
                  <m:r>
                    <w:rPr>
                      <w:rFonts w:ascii="Cambria Math" w:hAnsi="Cambria Math"/>
                    </w:rPr>
                    <m:t>τ -</m:t>
                  </m:r>
                  <m:sSub>
                    <m:sSubPr>
                      <m:ctrlPr>
                        <w:rPr>
                          <w:rFonts w:ascii="Cambria Math" w:hAnsi="Cambria Math"/>
                          <w:i/>
                          <w:iCs/>
                        </w:rPr>
                      </m:ctrlPr>
                    </m:sSubPr>
                    <m:e>
                      <m:r>
                        <m:rPr>
                          <m:nor/>
                        </m:rPr>
                        <w:rPr>
                          <w:i/>
                          <w:iCs/>
                        </w:rPr>
                        <m:t>τ</m:t>
                      </m:r>
                    </m:e>
                    <m:sub>
                      <m:r>
                        <m:rPr>
                          <m:nor/>
                        </m:rPr>
                        <w:rPr>
                          <w:i/>
                          <w:iCs/>
                        </w:rPr>
                        <m:t>0</m:t>
                      </m:r>
                    </m:sub>
                  </m:sSub>
                </m:e>
              </m:d>
            </m:num>
            <m:den>
              <m:r>
                <w:rPr>
                  <w:rFonts w:ascii="Cambria Math" w:hAnsi="Cambria Math"/>
                </w:rPr>
                <m:t>τ</m:t>
              </m:r>
              <m:sSup>
                <m:sSupPr>
                  <m:ctrlPr>
                    <w:rPr>
                      <w:rFonts w:ascii="Cambria Math" w:hAnsi="Cambria Math"/>
                      <w:i/>
                      <w:iCs/>
                    </w:rPr>
                  </m:ctrlPr>
                </m:sSupPr>
                <m:e>
                  <m:d>
                    <m:dPr>
                      <m:ctrlPr>
                        <w:rPr>
                          <w:rFonts w:ascii="Cambria Math" w:hAnsi="Cambria Math"/>
                          <w:i/>
                          <w:iCs/>
                        </w:rPr>
                      </m:ctrlPr>
                    </m:dPr>
                    <m:e>
                      <m:r>
                        <w:rPr>
                          <w:rFonts w:ascii="Cambria Math" w:hAnsi="Cambria Math"/>
                        </w:rPr>
                        <m:t>d</m:t>
                      </m:r>
                      <m:sSub>
                        <m:sSubPr>
                          <m:ctrlPr>
                            <w:rPr>
                              <w:rFonts w:ascii="Cambria Math" w:hAnsi="Cambria Math"/>
                              <w:i/>
                              <w:iCs/>
                            </w:rPr>
                          </m:ctrlPr>
                        </m:sSubPr>
                        <m:e>
                          <m:r>
                            <m:rPr>
                              <m:nor/>
                            </m:rPr>
                            <w:rPr>
                              <w:i/>
                              <w:iCs/>
                            </w:rPr>
                            <m:t>τ</m:t>
                          </m:r>
                        </m:e>
                        <m:sub>
                          <m:r>
                            <m:rPr>
                              <m:nor/>
                            </m:rPr>
                            <w:rPr>
                              <w:i/>
                              <w:iCs/>
                            </w:rPr>
                            <m:t>0</m:t>
                          </m:r>
                        </m:sub>
                      </m:sSub>
                      <m:r>
                        <w:rPr>
                          <w:rFonts w:ascii="Cambria Math" w:hAnsi="Cambria Math"/>
                        </w:rPr>
                        <m:t>+p</m:t>
                      </m:r>
                    </m:e>
                  </m:d>
                </m:e>
                <m:sup>
                  <m:r>
                    <w:rPr>
                      <w:rFonts w:ascii="Cambria Math" w:hAnsi="Cambria Math"/>
                    </w:rPr>
                    <m:t>2</m:t>
                  </m:r>
                </m:sup>
              </m:sSup>
            </m:den>
          </m:f>
        </m:oMath>
      </m:oMathPara>
    </w:p>
    <w:p w:rsidR="007D0DAE" w:rsidRPr="004356D1" w:rsidRDefault="007D0DAE" w:rsidP="007D0DAE">
      <w:pPr>
        <w:spacing w:line="480" w:lineRule="auto"/>
      </w:pPr>
    </w:p>
    <w:p w:rsidR="007D0DAE" w:rsidRPr="004356D1" w:rsidRDefault="007D0DAE" w:rsidP="007D0DAE">
      <w:pPr>
        <w:spacing w:line="480" w:lineRule="auto"/>
      </w:pPr>
      <w:r w:rsidRPr="004356D1">
        <w:t xml:space="preserve">which is positive when </w:t>
      </w:r>
      <m:oMath>
        <m:sSub>
          <m:sSubPr>
            <m:ctrlPr>
              <w:rPr>
                <w:rFonts w:ascii="Cambria Math" w:hAnsi="Cambria Math"/>
                <w:i/>
                <w:iCs/>
              </w:rPr>
            </m:ctrlPr>
          </m:sSubPr>
          <m:e>
            <m:r>
              <m:rPr>
                <m:nor/>
              </m:rPr>
              <w:rPr>
                <w:i/>
                <w:iCs/>
              </w:rPr>
              <m:t>τ</m:t>
            </m:r>
          </m:e>
          <m:sub>
            <m:r>
              <m:rPr>
                <m:nor/>
              </m:rPr>
              <m:t>0</m:t>
            </m:r>
          </m:sub>
        </m:sSub>
        <m:r>
          <m:rPr>
            <m:sty m:val="p"/>
          </m:rPr>
          <w:rPr>
            <w:rFonts w:ascii="Cambria Math" w:hAnsi="Cambria Math"/>
          </w:rPr>
          <m:t xml:space="preserve">&lt; </m:t>
        </m:r>
        <m:r>
          <w:rPr>
            <w:rFonts w:ascii="Cambria Math" w:hAnsi="Cambria Math"/>
          </w:rPr>
          <m:t>τ</m:t>
        </m:r>
      </m:oMath>
      <w:r w:rsidRPr="004356D1">
        <w:t>. A similar analysis for the effect of the initial carriage risk alone (</w:t>
      </w:r>
      <w:r w:rsidRPr="004356D1">
        <w:rPr>
          <w:i/>
          <w:iCs/>
        </w:rPr>
        <w:t>p</w:t>
      </w:r>
      <w:r w:rsidRPr="004356D1">
        <w:rPr>
          <w:i/>
          <w:iCs/>
          <w:vertAlign w:val="subscript"/>
        </w:rPr>
        <w:t>1</w:t>
      </w:r>
      <w:r w:rsidRPr="004356D1">
        <w:t xml:space="preserve">) yields an outcome where, assuming </w:t>
      </w:r>
      <m:oMath>
        <m:sSub>
          <m:sSubPr>
            <m:ctrlPr>
              <w:rPr>
                <w:rFonts w:ascii="Cambria Math" w:hAnsi="Cambria Math"/>
                <w:i/>
                <w:iCs/>
              </w:rPr>
            </m:ctrlPr>
          </m:sSubPr>
          <m:e>
            <m:r>
              <m:rPr>
                <m:nor/>
              </m:rPr>
              <w:rPr>
                <w:i/>
                <w:iCs/>
              </w:rPr>
              <m:t>τ</m:t>
            </m:r>
          </m:e>
          <m:sub>
            <m:r>
              <m:rPr>
                <m:nor/>
              </m:rPr>
              <m:t>0</m:t>
            </m:r>
          </m:sub>
        </m:sSub>
        <m:r>
          <m:rPr>
            <m:sty m:val="p"/>
          </m:rPr>
          <w:rPr>
            <w:rFonts w:ascii="Cambria Math" w:hAnsi="Cambria Math"/>
          </w:rPr>
          <m:t xml:space="preserve">&gt; </m:t>
        </m:r>
        <m:r>
          <w:rPr>
            <w:rFonts w:ascii="Cambria Math" w:hAnsi="Cambria Math"/>
          </w:rPr>
          <m:t>τ</m:t>
        </m:r>
      </m:oMath>
      <w:r w:rsidRPr="004356D1">
        <w:t xml:space="preserve">, the gradient of OR on </w:t>
      </w:r>
      <w:r w:rsidRPr="004356D1">
        <w:rPr>
          <w:i/>
          <w:iCs/>
        </w:rPr>
        <w:t>p</w:t>
      </w:r>
      <w:r w:rsidRPr="004356D1">
        <w:rPr>
          <w:i/>
          <w:iCs/>
          <w:vertAlign w:val="subscript"/>
          <w:lang w:val="ru-RU"/>
        </w:rPr>
        <w:t>1</w:t>
      </w:r>
      <w:r w:rsidRPr="004356D1">
        <w:rPr>
          <w:vertAlign w:val="subscript"/>
          <w:lang w:val="ru-RU"/>
        </w:rPr>
        <w:t xml:space="preserve"> </w:t>
      </w:r>
      <w:r w:rsidRPr="004356D1">
        <w:t xml:space="preserve">will also be positive. Thus, increasing </w:t>
      </w:r>
      <w:r w:rsidRPr="004356D1">
        <w:rPr>
          <w:i/>
          <w:iCs/>
        </w:rPr>
        <w:t>p</w:t>
      </w:r>
      <w:r w:rsidRPr="004356D1">
        <w:rPr>
          <w:i/>
          <w:iCs/>
          <w:vertAlign w:val="subscript"/>
        </w:rPr>
        <w:t>1</w:t>
      </w:r>
      <w:r w:rsidRPr="004356D1">
        <w:t>, will lead to higher invasive odds ratios only when the reference carriage duration is sufficiently large</w:t>
      </w:r>
    </w:p>
    <w:p w:rsidR="007D0DAE" w:rsidRPr="004356D1" w:rsidRDefault="007D0DAE" w:rsidP="007D0DAE">
      <w:pPr>
        <w:spacing w:line="480" w:lineRule="auto"/>
      </w:pPr>
    </w:p>
    <w:p w:rsidR="007D0DAE" w:rsidRPr="004356D1" w:rsidRDefault="007D0DAE" w:rsidP="007D0DAE">
      <w:pPr>
        <w:spacing w:line="480" w:lineRule="auto"/>
      </w:pPr>
      <m:oMathPara>
        <m:oMath>
          <m:r>
            <w:rPr>
              <w:rFonts w:ascii="Cambria Math" w:hAnsi="Cambria Math"/>
            </w:rPr>
            <m:t>IO</m:t>
          </m:r>
          <m:sSup>
            <m:sSupPr>
              <m:ctrlPr>
                <w:rPr>
                  <w:rFonts w:ascii="Cambria Math" w:hAnsi="Cambria Math"/>
                  <w:i/>
                  <w:iCs/>
                </w:rPr>
              </m:ctrlPr>
            </m:sSupPr>
            <m:e>
              <m:r>
                <w:rPr>
                  <w:rFonts w:ascii="Cambria Math" w:hAnsi="Cambria Math"/>
                </w:rPr>
                <m:t>R</m:t>
              </m:r>
            </m:e>
            <m:sup>
              <m:r>
                <w:rPr>
                  <w:rFonts w:ascii="Cambria Math" w:hAnsi="Cambria Math" w:hint="eastAsia"/>
                </w:rPr>
                <m:t>'</m:t>
              </m:r>
            </m:sup>
          </m:sSup>
          <m:d>
            <m:dPr>
              <m:ctrlPr>
                <w:rPr>
                  <w:rFonts w:ascii="Cambria Math" w:hAnsi="Cambria Math"/>
                  <w:i/>
                  <w:iCs/>
                </w:rPr>
              </m:ctrlPr>
            </m:dPr>
            <m:e>
              <m:sSub>
                <m:sSubPr>
                  <m:ctrlPr>
                    <w:rPr>
                      <w:rFonts w:ascii="Cambria Math" w:hAnsi="Cambria Math"/>
                      <w:i/>
                      <w:iCs/>
                    </w:rPr>
                  </m:ctrlPr>
                </m:sSubPr>
                <m:e>
                  <m:r>
                    <w:rPr>
                      <w:rFonts w:ascii="Cambria Math" w:hAnsi="Cambria Math"/>
                    </w:rPr>
                    <m:t>p</m:t>
                  </m:r>
                </m:e>
                <m:sub>
                  <m:r>
                    <w:rPr>
                      <w:rFonts w:ascii="Cambria Math" w:hAnsi="Cambria Math"/>
                    </w:rPr>
                    <m:t>1</m:t>
                  </m:r>
                </m:sub>
              </m:sSub>
            </m:e>
          </m:d>
          <m:r>
            <w:rPr>
              <w:rFonts w:ascii="Cambria Math" w:hAnsi="Cambria Math"/>
            </w:rPr>
            <m:t>=</m:t>
          </m:r>
          <m:f>
            <m:fPr>
              <m:ctrlPr>
                <w:rPr>
                  <w:rFonts w:ascii="Cambria Math" w:hAnsi="Cambria Math"/>
                  <w:i/>
                  <w:iCs/>
                </w:rPr>
              </m:ctrlPr>
            </m:fPr>
            <m:num>
              <m:r>
                <w:rPr>
                  <w:rFonts w:ascii="Cambria Math" w:hAnsi="Cambria Math"/>
                </w:rPr>
                <m:t>d</m:t>
              </m:r>
              <m:sSub>
                <m:sSubPr>
                  <m:ctrlPr>
                    <w:rPr>
                      <w:rFonts w:ascii="Cambria Math" w:hAnsi="Cambria Math"/>
                      <w:i/>
                      <w:iCs/>
                    </w:rPr>
                  </m:ctrlPr>
                </m:sSubPr>
                <m:e>
                  <m:r>
                    <m:rPr>
                      <m:nor/>
                    </m:rPr>
                    <w:rPr>
                      <w:i/>
                      <w:iCs/>
                    </w:rPr>
                    <m:t>τ</m:t>
                  </m:r>
                </m:e>
                <m:sub>
                  <m:r>
                    <m:rPr>
                      <m:nor/>
                    </m:rPr>
                    <w:rPr>
                      <w:i/>
                      <w:iCs/>
                    </w:rPr>
                    <m:t>0</m:t>
                  </m:r>
                </m:sub>
              </m:sSub>
              <m:d>
                <m:dPr>
                  <m:ctrlPr>
                    <w:rPr>
                      <w:rFonts w:ascii="Cambria Math" w:hAnsi="Cambria Math"/>
                      <w:i/>
                      <w:iCs/>
                    </w:rPr>
                  </m:ctrlPr>
                </m:dPr>
                <m:e>
                  <m:sSub>
                    <m:sSubPr>
                      <m:ctrlPr>
                        <w:rPr>
                          <w:rFonts w:ascii="Cambria Math" w:hAnsi="Cambria Math"/>
                          <w:i/>
                          <w:iCs/>
                        </w:rPr>
                      </m:ctrlPr>
                    </m:sSubPr>
                    <m:e>
                      <m:r>
                        <m:rPr>
                          <m:nor/>
                        </m:rPr>
                        <w:rPr>
                          <w:i/>
                          <w:iCs/>
                        </w:rPr>
                        <m:t>τ</m:t>
                      </m:r>
                    </m:e>
                    <m:sub>
                      <m:r>
                        <m:rPr>
                          <m:nor/>
                        </m:rPr>
                        <w:rPr>
                          <w:i/>
                          <w:iCs/>
                        </w:rPr>
                        <m:t>0</m:t>
                      </m:r>
                    </m:sub>
                  </m:sSub>
                  <m:r>
                    <w:rPr>
                      <w:rFonts w:ascii="Cambria Math" w:hAnsi="Cambria Math"/>
                    </w:rPr>
                    <m:t>-τ</m:t>
                  </m:r>
                </m:e>
              </m:d>
            </m:num>
            <m:den>
              <m:r>
                <w:rPr>
                  <w:rFonts w:ascii="Cambria Math" w:hAnsi="Cambria Math"/>
                </w:rPr>
                <m:t>τ</m:t>
              </m:r>
              <m:sSup>
                <m:sSupPr>
                  <m:ctrlPr>
                    <w:rPr>
                      <w:rFonts w:ascii="Cambria Math" w:hAnsi="Cambria Math"/>
                      <w:i/>
                      <w:iCs/>
                    </w:rPr>
                  </m:ctrlPr>
                </m:sSupPr>
                <m:e>
                  <m:d>
                    <m:dPr>
                      <m:ctrlPr>
                        <w:rPr>
                          <w:rFonts w:ascii="Cambria Math" w:hAnsi="Cambria Math"/>
                          <w:i/>
                          <w:iCs/>
                        </w:rPr>
                      </m:ctrlPr>
                    </m:dPr>
                    <m:e>
                      <m:r>
                        <w:rPr>
                          <w:rFonts w:ascii="Cambria Math" w:hAnsi="Cambria Math"/>
                        </w:rPr>
                        <m:t>d</m:t>
                      </m:r>
                      <m:sSub>
                        <m:sSubPr>
                          <m:ctrlPr>
                            <w:rPr>
                              <w:rFonts w:ascii="Cambria Math" w:hAnsi="Cambria Math"/>
                              <w:i/>
                              <w:iCs/>
                            </w:rPr>
                          </m:ctrlPr>
                        </m:sSubPr>
                        <m:e>
                          <m:r>
                            <m:rPr>
                              <m:nor/>
                            </m:rPr>
                            <w:rPr>
                              <w:i/>
                              <w:iCs/>
                            </w:rPr>
                            <m:t>τ</m:t>
                          </m:r>
                        </m:e>
                        <m:sub>
                          <m:r>
                            <m:rPr>
                              <m:nor/>
                            </m:rPr>
                            <w:rPr>
                              <w:i/>
                              <w:iCs/>
                            </w:rPr>
                            <m:t>0</m:t>
                          </m:r>
                        </m:sub>
                      </m:sSub>
                      <m:r>
                        <w:rPr>
                          <w:rFonts w:ascii="Cambria Math" w:hAnsi="Cambria Math"/>
                        </w:rPr>
                        <m:t>+p</m:t>
                      </m:r>
                    </m:e>
                  </m:d>
                </m:e>
                <m:sup>
                  <m:r>
                    <w:rPr>
                      <w:rFonts w:ascii="Cambria Math" w:hAnsi="Cambria Math"/>
                    </w:rPr>
                    <m:t>2</m:t>
                  </m:r>
                </m:sup>
              </m:sSup>
            </m:den>
          </m:f>
          <m:r>
            <m:rPr>
              <m:sty m:val="p"/>
            </m:rPr>
            <w:rPr>
              <w:rFonts w:ascii="Cambria Math" w:hAnsi="Cambria Math"/>
            </w:rPr>
            <m:t>.</m:t>
          </m:r>
        </m:oMath>
      </m:oMathPara>
    </w:p>
    <w:p w:rsidR="007D0DAE" w:rsidRPr="004356D1" w:rsidRDefault="007D0DAE" w:rsidP="007D0DAE">
      <w:pPr>
        <w:spacing w:line="480" w:lineRule="auto"/>
      </w:pPr>
    </w:p>
    <w:p w:rsidR="007D0DAE" w:rsidRPr="004356D1" w:rsidRDefault="007D0DAE" w:rsidP="007D0DAE">
      <w:pPr>
        <w:spacing w:line="480" w:lineRule="auto"/>
      </w:pPr>
      <w:r w:rsidRPr="004356D1">
        <w:t xml:space="preserve">To determine what values of </w:t>
      </w:r>
      <w:r w:rsidRPr="004356D1">
        <w:rPr>
          <w:i/>
          <w:iCs/>
        </w:rPr>
        <w:t>p</w:t>
      </w:r>
      <w:r w:rsidRPr="004356D1">
        <w:t xml:space="preserve"> and </w:t>
      </w:r>
      <w:r w:rsidRPr="004356D1">
        <w:rPr>
          <w:i/>
          <w:iCs/>
        </w:rPr>
        <w:t>d</w:t>
      </w:r>
      <w:r w:rsidRPr="004356D1">
        <w:t xml:space="preserve"> are consistent with the observed negative relationship between IOR and τ we calculate the derivative of IOR with respect to τ</w:t>
      </w:r>
    </w:p>
    <w:p w:rsidR="007D0DAE" w:rsidRPr="004356D1" w:rsidRDefault="007D0DAE" w:rsidP="007D0DAE">
      <w:pPr>
        <w:spacing w:line="480" w:lineRule="auto"/>
      </w:pPr>
    </w:p>
    <w:p w:rsidR="007D0DAE" w:rsidRPr="004356D1" w:rsidRDefault="007D0DAE" w:rsidP="007D0DAE">
      <w:pPr>
        <w:spacing w:line="480" w:lineRule="auto"/>
        <w:rPr>
          <w:i/>
          <w:iCs/>
        </w:rPr>
      </w:pPr>
      <m:oMathPara>
        <m:oMath>
          <m:r>
            <w:rPr>
              <w:rFonts w:ascii="Cambria Math" w:hAnsi="Cambria Math"/>
            </w:rPr>
            <m:t>IO</m:t>
          </m:r>
          <m:sSup>
            <m:sSupPr>
              <m:ctrlPr>
                <w:rPr>
                  <w:rFonts w:ascii="Cambria Math" w:hAnsi="Cambria Math"/>
                  <w:i/>
                  <w:iCs/>
                </w:rPr>
              </m:ctrlPr>
            </m:sSupPr>
            <m:e>
              <m:r>
                <w:rPr>
                  <w:rFonts w:ascii="Cambria Math" w:hAnsi="Cambria Math"/>
                </w:rPr>
                <m:t>R</m:t>
              </m:r>
            </m:e>
            <m:sup>
              <m:r>
                <w:rPr>
                  <w:rFonts w:ascii="Cambria Math" w:hAnsi="Cambria Math" w:hint="eastAsia"/>
                </w:rPr>
                <m:t>'</m:t>
              </m:r>
            </m:sup>
          </m:sSup>
          <m:d>
            <m:dPr>
              <m:ctrlPr>
                <w:rPr>
                  <w:rFonts w:ascii="Cambria Math" w:hAnsi="Cambria Math"/>
                  <w:i/>
                  <w:iCs/>
                </w:rPr>
              </m:ctrlPr>
            </m:dPr>
            <m:e>
              <m:r>
                <w:rPr>
                  <w:rFonts w:ascii="Cambria Math" w:hAnsi="Cambria Math"/>
                </w:rPr>
                <m:t>τ</m:t>
              </m:r>
            </m:e>
          </m:d>
          <m:r>
            <w:rPr>
              <w:rFonts w:ascii="Cambria Math" w:hAnsi="Cambria Math"/>
            </w:rPr>
            <m:t>=-</m:t>
          </m:r>
          <m:f>
            <m:fPr>
              <m:ctrlPr>
                <w:rPr>
                  <w:rFonts w:ascii="Cambria Math" w:hAnsi="Cambria Math"/>
                  <w:i/>
                  <w:iCs/>
                </w:rPr>
              </m:ctrlPr>
            </m:fPr>
            <m:num>
              <m:r>
                <w:rPr>
                  <w:rFonts w:ascii="Cambria Math" w:hAnsi="Cambria Math"/>
                </w:rPr>
                <m:t>p</m:t>
              </m:r>
              <m:sSub>
                <m:sSubPr>
                  <m:ctrlPr>
                    <w:rPr>
                      <w:rFonts w:ascii="Cambria Math" w:hAnsi="Cambria Math"/>
                      <w:i/>
                      <w:iCs/>
                    </w:rPr>
                  </m:ctrlPr>
                </m:sSubPr>
                <m:e>
                  <m:r>
                    <m:rPr>
                      <m:nor/>
                    </m:rPr>
                    <w:rPr>
                      <w:i/>
                      <w:iCs/>
                    </w:rPr>
                    <m:t>τ</m:t>
                  </m:r>
                </m:e>
                <m:sub>
                  <m:r>
                    <m:rPr>
                      <m:nor/>
                    </m:rPr>
                    <w:rPr>
                      <w:i/>
                      <w:iCs/>
                    </w:rPr>
                    <m:t>0</m:t>
                  </m:r>
                </m:sub>
              </m:sSub>
            </m:num>
            <m:den>
              <m:sSup>
                <m:sSupPr>
                  <m:ctrlPr>
                    <w:rPr>
                      <w:rFonts w:ascii="Cambria Math" w:hAnsi="Cambria Math"/>
                      <w:i/>
                      <w:iCs/>
                    </w:rPr>
                  </m:ctrlPr>
                </m:sSupPr>
                <m:e>
                  <m:r>
                    <w:rPr>
                      <w:rFonts w:ascii="Cambria Math" w:hAnsi="Cambria Math"/>
                    </w:rPr>
                    <m:t>τ</m:t>
                  </m:r>
                </m:e>
                <m:sup>
                  <m:r>
                    <w:rPr>
                      <w:rFonts w:ascii="Cambria Math" w:hAnsi="Cambria Math"/>
                    </w:rPr>
                    <m:t>2</m:t>
                  </m:r>
                </m:sup>
              </m:sSup>
              <m:d>
                <m:dPr>
                  <m:ctrlPr>
                    <w:rPr>
                      <w:rFonts w:ascii="Cambria Math" w:hAnsi="Cambria Math"/>
                      <w:i/>
                      <w:iCs/>
                    </w:rPr>
                  </m:ctrlPr>
                </m:dPr>
                <m:e>
                  <m:r>
                    <w:rPr>
                      <w:rFonts w:ascii="Cambria Math" w:hAnsi="Cambria Math"/>
                    </w:rPr>
                    <m:t>d</m:t>
                  </m:r>
                  <m:sSub>
                    <m:sSubPr>
                      <m:ctrlPr>
                        <w:rPr>
                          <w:rFonts w:ascii="Cambria Math" w:hAnsi="Cambria Math"/>
                          <w:i/>
                          <w:iCs/>
                        </w:rPr>
                      </m:ctrlPr>
                    </m:sSubPr>
                    <m:e>
                      <m:r>
                        <m:rPr>
                          <m:nor/>
                        </m:rPr>
                        <w:rPr>
                          <w:i/>
                          <w:iCs/>
                        </w:rPr>
                        <m:t>τ</m:t>
                      </m:r>
                    </m:e>
                    <m:sub>
                      <m:r>
                        <m:rPr>
                          <m:nor/>
                        </m:rPr>
                        <w:rPr>
                          <w:i/>
                          <w:iCs/>
                        </w:rPr>
                        <m:t>0</m:t>
                      </m:r>
                    </m:sub>
                  </m:sSub>
                  <m:r>
                    <w:rPr>
                      <w:rFonts w:ascii="Cambria Math" w:hAnsi="Cambria Math"/>
                    </w:rPr>
                    <m:t>+p</m:t>
                  </m:r>
                </m:e>
              </m:d>
            </m:den>
          </m:f>
        </m:oMath>
      </m:oMathPara>
    </w:p>
    <w:p w:rsidR="007D0DAE" w:rsidRPr="004356D1" w:rsidRDefault="007D0DAE" w:rsidP="007D0DAE">
      <w:pPr>
        <w:spacing w:line="480" w:lineRule="auto"/>
      </w:pPr>
    </w:p>
    <w:p w:rsidR="007D0DAE" w:rsidRPr="004356D1" w:rsidRDefault="007D0DAE" w:rsidP="007D0DAE">
      <w:pPr>
        <w:spacing w:line="480" w:lineRule="auto"/>
      </w:pPr>
      <w:r w:rsidRPr="004356D1">
        <w:t xml:space="preserve">The gradient IOR on τ shows that IOR will maintain a negative association with τ as long as </w:t>
      </w:r>
      <w:r w:rsidRPr="004356D1">
        <w:rPr>
          <w:i/>
          <w:iCs/>
        </w:rPr>
        <w:t>p</w:t>
      </w:r>
      <w:r w:rsidRPr="004356D1">
        <w:t xml:space="preserve"> &gt; 0 and </w:t>
      </w:r>
      <w:r w:rsidRPr="004356D1">
        <w:rPr>
          <w:i/>
          <w:iCs/>
        </w:rPr>
        <w:t>d</w:t>
      </w:r>
      <w:r w:rsidRPr="004356D1">
        <w:t xml:space="preserve"> is not negative (which is an assumption of the model).</w:t>
      </w:r>
    </w:p>
    <w:p w:rsidR="007D0DAE" w:rsidRPr="004356D1" w:rsidRDefault="007D0DAE" w:rsidP="007D0DAE">
      <w:pPr>
        <w:spacing w:line="480" w:lineRule="auto"/>
      </w:pPr>
    </w:p>
    <w:p w:rsidR="007D0DAE" w:rsidRPr="004356D1" w:rsidRDefault="007D0DAE" w:rsidP="007D0DAE">
      <w:pPr>
        <w:spacing w:line="480" w:lineRule="auto"/>
        <w:rPr>
          <w:b/>
          <w:bCs/>
        </w:rPr>
      </w:pPr>
      <w:r w:rsidRPr="004356D1">
        <w:rPr>
          <w:b/>
          <w:bCs/>
        </w:rPr>
        <w:t>Deriving the Mathematical Relationship between AR and Carriage Duration</w:t>
      </w:r>
    </w:p>
    <w:p w:rsidR="007D0DAE" w:rsidRPr="004356D1" w:rsidRDefault="007D0DAE" w:rsidP="007D0DAE">
      <w:pPr>
        <w:spacing w:line="480" w:lineRule="auto"/>
      </w:pPr>
      <w:r w:rsidRPr="004356D1">
        <w:t xml:space="preserve">Similar to our analysis with IOR we can also use the compartmental model to derive an equation for the attack rate and investigate how this same set of focal traits can affect invasiveness. Attack rate is the ratio of invasive disease incidence over carriage acquisition rate. Since both rates are based on the generation of new cases, each measurement only depends on the inflows into their respective compartments as shown in </w:t>
      </w:r>
      <w:r w:rsidRPr="004356D1">
        <w:rPr>
          <w:i/>
          <w:iCs/>
          <w:lang w:val="it-IT"/>
        </w:rPr>
        <w:t>Figure 1</w:t>
      </w:r>
      <w:r w:rsidRPr="004356D1">
        <w:t>. Mathematically, attack rate is the sum of inflow terms in the invasive disease differential equation (</w:t>
      </w:r>
      <m:oMath>
        <m:r>
          <m:rPr>
            <m:sty m:val="p"/>
          </m:rPr>
          <w:rPr>
            <w:rFonts w:ascii="Cambria Math" w:hAnsi="Cambria Math"/>
          </w:rPr>
          <m:t>pβCS</m:t>
        </m:r>
        <m:r>
          <w:rPr>
            <w:rFonts w:ascii="Cambria Math" w:hAnsi="Cambria Math"/>
          </w:rPr>
          <m:t>+</m:t>
        </m:r>
        <m:r>
          <m:rPr>
            <m:sty m:val="p"/>
          </m:rPr>
          <w:rPr>
            <w:rFonts w:ascii="Cambria Math" w:hAnsi="Cambria Math"/>
          </w:rPr>
          <m:t>dC</m:t>
        </m:r>
      </m:oMath>
      <w:r w:rsidRPr="004356D1">
        <w:t>) over the inflow term in the carriage ODE (</w:t>
      </w:r>
      <m:oMath>
        <m:d>
          <m:dPr>
            <m:ctrlPr>
              <w:rPr>
                <w:rFonts w:ascii="Cambria Math" w:hAnsi="Cambria Math"/>
              </w:rPr>
            </m:ctrlPr>
          </m:dPr>
          <m:e>
            <m:r>
              <w:rPr>
                <w:rFonts w:ascii="Cambria Math" w:hAnsi="Cambria Math"/>
              </w:rPr>
              <m:t>1-</m:t>
            </m:r>
            <m:r>
              <m:rPr>
                <m:sty m:val="p"/>
              </m:rPr>
              <w:rPr>
                <w:rFonts w:ascii="Cambria Math" w:hAnsi="Cambria Math"/>
              </w:rPr>
              <m:t>p</m:t>
            </m:r>
            <m:ctrlPr>
              <w:rPr>
                <w:rFonts w:ascii="Cambria Math" w:hAnsi="Cambria Math"/>
                <w:i/>
              </w:rPr>
            </m:ctrlPr>
          </m:e>
        </m:d>
        <m:r>
          <m:rPr>
            <m:sty m:val="p"/>
          </m:rPr>
          <w:rPr>
            <w:rFonts w:ascii="Cambria Math" w:hAnsi="Cambria Math"/>
          </w:rPr>
          <m:t>βCS</m:t>
        </m:r>
      </m:oMath>
      <w:r w:rsidRPr="004356D1">
        <w:t>). The endemic equilibrium solution for the attack rate yielded the following expression</w:t>
      </w:r>
    </w:p>
    <w:p w:rsidR="007D0DAE" w:rsidRPr="004356D1" w:rsidRDefault="007D0DAE" w:rsidP="007D0DAE">
      <w:pPr>
        <w:spacing w:line="480" w:lineRule="auto"/>
      </w:pPr>
    </w:p>
    <w:p w:rsidR="007D0DAE" w:rsidRPr="004356D1" w:rsidRDefault="007D0DAE" w:rsidP="007D0DAE">
      <w:pPr>
        <w:spacing w:line="480" w:lineRule="auto"/>
        <w:rPr>
          <w:i/>
          <w:iCs/>
        </w:rPr>
      </w:pPr>
      <m:oMathPara>
        <m:oMathParaPr>
          <m:jc m:val="center"/>
        </m:oMathParaPr>
        <m:oMath>
          <m:r>
            <w:rPr>
              <w:rFonts w:ascii="Cambria Math" w:hAnsi="Cambria Math"/>
            </w:rPr>
            <m:t>AR</m:t>
          </m:r>
          <m:d>
            <m:dPr>
              <m:ctrlPr>
                <w:rPr>
                  <w:rFonts w:ascii="Cambria Math" w:hAnsi="Cambria Math"/>
                  <w:i/>
                  <w:iCs/>
                </w:rPr>
              </m:ctrlPr>
            </m:dPr>
            <m:e>
              <m:r>
                <w:rPr>
                  <w:rFonts w:ascii="Cambria Math" w:hAnsi="Cambria Math"/>
                </w:rPr>
                <m:t>τ</m:t>
              </m:r>
            </m:e>
          </m:d>
          <m:r>
            <w:rPr>
              <w:rFonts w:ascii="Cambria Math" w:hAnsi="Cambria Math"/>
            </w:rPr>
            <m:t>=-</m:t>
          </m:r>
          <m:f>
            <m:fPr>
              <m:ctrlPr>
                <w:rPr>
                  <w:rFonts w:ascii="Cambria Math" w:hAnsi="Cambria Math"/>
                  <w:i/>
                  <w:iCs/>
                </w:rPr>
              </m:ctrlPr>
            </m:fPr>
            <m:num>
              <m:r>
                <w:rPr>
                  <w:rFonts w:ascii="Cambria Math" w:hAnsi="Cambria Math"/>
                </w:rPr>
                <m:t>dτ+p</m:t>
              </m:r>
            </m:num>
            <m:den>
              <m:d>
                <m:dPr>
                  <m:ctrlPr>
                    <w:rPr>
                      <w:rFonts w:ascii="Cambria Math" w:hAnsi="Cambria Math"/>
                      <w:i/>
                      <w:iCs/>
                    </w:rPr>
                  </m:ctrlPr>
                </m:dPr>
                <m:e>
                  <m:r>
                    <w:rPr>
                      <w:rFonts w:ascii="Cambria Math" w:hAnsi="Cambria Math"/>
                    </w:rPr>
                    <m:t>p-1</m:t>
                  </m:r>
                </m:e>
              </m:d>
              <m:d>
                <m:dPr>
                  <m:ctrlPr>
                    <w:rPr>
                      <w:rFonts w:ascii="Cambria Math" w:hAnsi="Cambria Math"/>
                      <w:i/>
                      <w:iCs/>
                    </w:rPr>
                  </m:ctrlPr>
                </m:dPr>
                <m:e>
                  <m:r>
                    <w:rPr>
                      <w:rFonts w:ascii="Cambria Math" w:hAnsi="Cambria Math"/>
                    </w:rPr>
                    <m:t>dτ+1</m:t>
                  </m:r>
                </m:e>
              </m:d>
            </m:den>
          </m:f>
        </m:oMath>
      </m:oMathPara>
    </w:p>
    <w:p w:rsidR="007D0DAE" w:rsidRPr="004356D1" w:rsidRDefault="007D0DAE" w:rsidP="007D0DAE">
      <w:pPr>
        <w:spacing w:line="480" w:lineRule="auto"/>
      </w:pPr>
    </w:p>
    <w:p w:rsidR="007D0DAE" w:rsidRPr="004356D1" w:rsidRDefault="007D0DAE" w:rsidP="007D0DAE">
      <w:pPr>
        <w:spacing w:line="480" w:lineRule="auto"/>
      </w:pPr>
      <w:r w:rsidRPr="004356D1">
        <w:t>Using the equation for AR(</w:t>
      </w:r>
      <w:r w:rsidRPr="004356D1">
        <w:rPr>
          <w:i/>
          <w:iCs/>
        </w:rPr>
        <w:t>τ</w:t>
      </w:r>
      <w:r w:rsidRPr="004356D1">
        <w:t xml:space="preserve">), we observe that isolating the effect of carriage duration on attack rate reveals a more complicated relationship between </w:t>
      </w:r>
      <w:r w:rsidRPr="004356D1">
        <w:rPr>
          <w:i/>
          <w:iCs/>
        </w:rPr>
        <w:t>τ</w:t>
      </w:r>
      <w:r w:rsidRPr="004356D1">
        <w:t xml:space="preserve">, </w:t>
      </w:r>
      <w:r w:rsidRPr="004356D1">
        <w:rPr>
          <w:i/>
          <w:iCs/>
        </w:rPr>
        <w:t>d</w:t>
      </w:r>
      <w:r w:rsidRPr="004356D1">
        <w:t xml:space="preserve"> and AR. Assuming positive parameters, taking the gradient of AR on </w:t>
      </w:r>
      <w:r w:rsidRPr="004356D1">
        <w:rPr>
          <w:i/>
          <w:iCs/>
        </w:rPr>
        <w:t>τ</w:t>
      </w:r>
      <w:r w:rsidRPr="004356D1">
        <w:t xml:space="preserve"> yields, </w:t>
      </w:r>
      <w:r w:rsidRPr="004356D1">
        <w:rPr>
          <w:noProof/>
        </w:rPr>
        <w:drawing>
          <wp:inline distT="0" distB="0" distL="0" distR="0" wp14:anchorId="004E9907" wp14:editId="625143C9">
            <wp:extent cx="1295400" cy="355600"/>
            <wp:effectExtent l="0" t="0" r="0" b="0"/>
            <wp:docPr id="45" name="Image6" descr="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 descr="image16.png"/>
                    <pic:cNvPicPr>
                      <a:picLocks noChangeAspect="1" noChangeArrowheads="1"/>
                    </pic:cNvPicPr>
                  </pic:nvPicPr>
                  <pic:blipFill>
                    <a:blip r:embed="rId5"/>
                    <a:stretch>
                      <a:fillRect/>
                    </a:stretch>
                  </pic:blipFill>
                  <pic:spPr bwMode="auto">
                    <a:xfrm>
                      <a:off x="0" y="0"/>
                      <a:ext cx="1295400" cy="355600"/>
                    </a:xfrm>
                    <a:prstGeom prst="rect">
                      <a:avLst/>
                    </a:prstGeom>
                  </pic:spPr>
                </pic:pic>
              </a:graphicData>
            </a:graphic>
          </wp:inline>
        </w:drawing>
      </w:r>
      <w:r w:rsidRPr="004356D1">
        <w:t xml:space="preserve">. Thus, if the constant progression to invasive disease term </w:t>
      </w:r>
      <w:r w:rsidRPr="004356D1">
        <w:rPr>
          <w:i/>
          <w:iCs/>
        </w:rPr>
        <w:t>d</w:t>
      </w:r>
      <w:r w:rsidRPr="004356D1">
        <w:t xml:space="preserve"> is greater than zero, then the gradient of AR on </w:t>
      </w:r>
      <w:r w:rsidRPr="004356D1">
        <w:rPr>
          <w:i/>
          <w:iCs/>
        </w:rPr>
        <w:t>τ</w:t>
      </w:r>
      <w:r w:rsidRPr="004356D1">
        <w:t xml:space="preserve"> will </w:t>
      </w:r>
      <w:r w:rsidRPr="004356D1">
        <w:lastRenderedPageBreak/>
        <w:t xml:space="preserve">always be positive, signifying an increasing proportional relationship between attack rate and carriage duration. However, If the </w:t>
      </w:r>
      <w:r w:rsidRPr="004356D1">
        <w:rPr>
          <w:i/>
          <w:iCs/>
        </w:rPr>
        <w:t>d</w:t>
      </w:r>
      <w:r w:rsidRPr="004356D1">
        <w:t xml:space="preserve"> term equals 0, then the attack rate equilibrium expression AR(</w:t>
      </w:r>
      <w:r w:rsidRPr="004356D1">
        <w:rPr>
          <w:i/>
          <w:iCs/>
        </w:rPr>
        <w:t>τ</w:t>
      </w:r>
      <w:r w:rsidRPr="004356D1">
        <w:t xml:space="preserve">) simplifies to </w:t>
      </w:r>
      <m:oMath>
        <m:f>
          <m:fPr>
            <m:ctrlPr>
              <w:rPr>
                <w:rFonts w:ascii="Cambria Math" w:hAnsi="Cambria Math"/>
              </w:rPr>
            </m:ctrlPr>
          </m:fPr>
          <m:num>
            <m:r>
              <w:rPr>
                <w:rFonts w:ascii="Cambria Math" w:hAnsi="Cambria Math"/>
              </w:rPr>
              <m:t>p</m:t>
            </m:r>
            <m:ctrlPr>
              <w:rPr>
                <w:rFonts w:ascii="Cambria Math" w:hAnsi="Cambria Math"/>
                <w:i/>
              </w:rPr>
            </m:ctrlPr>
          </m:num>
          <m:den>
            <m:r>
              <w:rPr>
                <w:rFonts w:ascii="Cambria Math" w:hAnsi="Cambria Math"/>
              </w:rPr>
              <m:t>1-p</m:t>
            </m:r>
            <m:ctrlPr>
              <w:rPr>
                <w:rFonts w:ascii="Cambria Math" w:hAnsi="Cambria Math"/>
                <w:i/>
              </w:rPr>
            </m:ctrlPr>
          </m:den>
        </m:f>
      </m:oMath>
      <w:r w:rsidRPr="004356D1">
        <w:t xml:space="preserve"> which is invariant across carriage duration.</w:t>
      </w:r>
    </w:p>
    <w:p w:rsidR="007D0DAE" w:rsidRPr="004356D1" w:rsidRDefault="007D0DAE" w:rsidP="007D0DAE">
      <w:pPr>
        <w:spacing w:line="480" w:lineRule="auto"/>
      </w:pPr>
    </w:p>
    <w:p w:rsidR="007D0DAE" w:rsidRPr="004356D1" w:rsidRDefault="007D0DAE" w:rsidP="007D0DAE">
      <w:pPr>
        <w:spacing w:line="480" w:lineRule="auto"/>
        <w:rPr>
          <w:b/>
        </w:rPr>
      </w:pPr>
      <w:r w:rsidRPr="004356D1">
        <w:rPr>
          <w:b/>
        </w:rPr>
        <w:t>Attack Rate Analysis</w:t>
      </w:r>
    </w:p>
    <w:p w:rsidR="007D0DAE" w:rsidRPr="004356D1" w:rsidRDefault="007D0DAE" w:rsidP="007D0DAE">
      <w:pPr>
        <w:spacing w:line="480" w:lineRule="auto"/>
        <w:rPr>
          <w:bCs/>
        </w:rPr>
      </w:pPr>
      <w:r w:rsidRPr="004356D1">
        <w:rPr>
          <w:bCs/>
        </w:rPr>
        <w:t xml:space="preserve">Using a similar method as the IOR analysis we test the basic premise that increasing the initial or constant disease risk (increasing </w:t>
      </w:r>
      <w:r w:rsidRPr="004356D1">
        <w:rPr>
          <w:bCs/>
          <w:i/>
          <w:iCs/>
        </w:rPr>
        <w:t>p</w:t>
      </w:r>
      <w:r w:rsidRPr="004356D1">
        <w:rPr>
          <w:bCs/>
        </w:rPr>
        <w:t xml:space="preserve"> or </w:t>
      </w:r>
      <w:r w:rsidRPr="004356D1">
        <w:rPr>
          <w:bCs/>
          <w:i/>
          <w:iCs/>
        </w:rPr>
        <w:t>d</w:t>
      </w:r>
      <w:r w:rsidRPr="004356D1">
        <w:rPr>
          <w:bCs/>
        </w:rPr>
        <w:t xml:space="preserve"> in our model) will increase the Spn invasive attack rate. Taking the gradient of AR on </w:t>
      </w:r>
      <w:r w:rsidRPr="004356D1">
        <w:rPr>
          <w:bCs/>
          <w:i/>
          <w:iCs/>
        </w:rPr>
        <w:t>d</w:t>
      </w:r>
      <w:r w:rsidRPr="004356D1">
        <w:rPr>
          <w:bCs/>
        </w:rPr>
        <w:t xml:space="preserve"> reveals that AR</w:t>
      </w:r>
      <w:r w:rsidRPr="004356D1">
        <w:rPr>
          <w:bCs/>
          <w:vertAlign w:val="superscript"/>
        </w:rPr>
        <w:t>’</w:t>
      </w:r>
      <w:r w:rsidRPr="004356D1">
        <w:rPr>
          <w:bCs/>
        </w:rPr>
        <w:t>(</w:t>
      </w:r>
      <w:r w:rsidRPr="004356D1">
        <w:rPr>
          <w:bCs/>
          <w:i/>
          <w:iCs/>
        </w:rPr>
        <w:t>d</w:t>
      </w:r>
      <w:r w:rsidRPr="004356D1">
        <w:rPr>
          <w:bCs/>
        </w:rPr>
        <w:t>) is always a positive function and thus AR will always have a positive relationship with the constant invasive risk parameter</w:t>
      </w:r>
    </w:p>
    <w:p w:rsidR="007D0DAE" w:rsidRPr="004356D1" w:rsidRDefault="007D0DAE" w:rsidP="007D0DAE">
      <w:pPr>
        <w:spacing w:line="480" w:lineRule="auto"/>
        <w:rPr>
          <w:bCs/>
        </w:rPr>
      </w:pPr>
    </w:p>
    <w:p w:rsidR="007D0DAE" w:rsidRPr="004356D1" w:rsidRDefault="007D0DAE" w:rsidP="007D0DAE">
      <w:pPr>
        <w:spacing w:line="480" w:lineRule="auto"/>
        <w:rPr>
          <w:bCs/>
          <w:i/>
          <w:iCs/>
        </w:rPr>
      </w:pPr>
      <m:oMathPara>
        <m:oMath>
          <m:r>
            <w:rPr>
              <w:rFonts w:ascii="Cambria Math" w:hAnsi="Cambria Math"/>
            </w:rPr>
            <m:t>A</m:t>
          </m:r>
          <m:sSup>
            <m:sSupPr>
              <m:ctrlPr>
                <w:rPr>
                  <w:rFonts w:ascii="Cambria Math" w:hAnsi="Cambria Math"/>
                  <w:bCs/>
                  <w:i/>
                  <w:iCs/>
                </w:rPr>
              </m:ctrlPr>
            </m:sSupPr>
            <m:e>
              <m:r>
                <w:rPr>
                  <w:rFonts w:ascii="Cambria Math" w:hAnsi="Cambria Math"/>
                </w:rPr>
                <m:t>R</m:t>
              </m:r>
            </m:e>
            <m:sup>
              <m:r>
                <w:rPr>
                  <w:rFonts w:ascii="Cambria Math" w:hAnsi="Cambria Math" w:hint="eastAsia"/>
                </w:rPr>
                <m:t>'</m:t>
              </m:r>
            </m:sup>
          </m:sSup>
          <m:d>
            <m:dPr>
              <m:ctrlPr>
                <w:rPr>
                  <w:rFonts w:ascii="Cambria Math" w:hAnsi="Cambria Math"/>
                  <w:bCs/>
                  <w:i/>
                  <w:iCs/>
                </w:rPr>
              </m:ctrlPr>
            </m:dPr>
            <m:e>
              <m:r>
                <w:rPr>
                  <w:rFonts w:ascii="Cambria Math" w:hAnsi="Cambria Math"/>
                </w:rPr>
                <m:t>d</m:t>
              </m:r>
            </m:e>
          </m:d>
          <m:r>
            <w:rPr>
              <w:rFonts w:ascii="Cambria Math" w:hAnsi="Cambria Math"/>
            </w:rPr>
            <m:t>=</m:t>
          </m:r>
          <m:f>
            <m:fPr>
              <m:ctrlPr>
                <w:rPr>
                  <w:rFonts w:ascii="Cambria Math" w:hAnsi="Cambria Math"/>
                  <w:bCs/>
                  <w:i/>
                  <w:iCs/>
                </w:rPr>
              </m:ctrlPr>
            </m:fPr>
            <m:num>
              <m:r>
                <w:rPr>
                  <w:rFonts w:ascii="Cambria Math" w:hAnsi="Cambria Math"/>
                </w:rPr>
                <m:t>τ</m:t>
              </m:r>
            </m:num>
            <m:den>
              <m:sSup>
                <m:sSupPr>
                  <m:ctrlPr>
                    <w:rPr>
                      <w:rFonts w:ascii="Cambria Math" w:hAnsi="Cambria Math"/>
                      <w:bCs/>
                      <w:i/>
                      <w:iCs/>
                    </w:rPr>
                  </m:ctrlPr>
                </m:sSupPr>
                <m:e>
                  <m:d>
                    <m:dPr>
                      <m:ctrlPr>
                        <w:rPr>
                          <w:rFonts w:ascii="Cambria Math" w:hAnsi="Cambria Math"/>
                          <w:bCs/>
                          <w:i/>
                          <w:iCs/>
                        </w:rPr>
                      </m:ctrlPr>
                    </m:dPr>
                    <m:e>
                      <m:r>
                        <w:rPr>
                          <w:rFonts w:ascii="Cambria Math" w:hAnsi="Cambria Math"/>
                        </w:rPr>
                        <m:t>dτ+1</m:t>
                      </m:r>
                    </m:e>
                  </m:d>
                </m:e>
                <m:sup>
                  <m:r>
                    <w:rPr>
                      <w:rFonts w:ascii="Cambria Math" w:hAnsi="Cambria Math"/>
                    </w:rPr>
                    <m:t>2</m:t>
                  </m:r>
                </m:sup>
              </m:sSup>
            </m:den>
          </m:f>
        </m:oMath>
      </m:oMathPara>
    </w:p>
    <w:p w:rsidR="007D0DAE" w:rsidRPr="004356D1" w:rsidRDefault="007D0DAE" w:rsidP="007D0DAE">
      <w:pPr>
        <w:spacing w:line="480" w:lineRule="auto"/>
        <w:rPr>
          <w:bCs/>
        </w:rPr>
      </w:pPr>
    </w:p>
    <w:p w:rsidR="007D0DAE" w:rsidRPr="004356D1" w:rsidRDefault="007D0DAE" w:rsidP="007D0DAE">
      <w:pPr>
        <w:spacing w:line="480" w:lineRule="auto"/>
        <w:rPr>
          <w:bCs/>
        </w:rPr>
      </w:pPr>
      <w:r w:rsidRPr="004356D1">
        <w:rPr>
          <w:bCs/>
        </w:rPr>
        <w:t xml:space="preserve">This is also true for the initial disease risk scenario. Taking the derivative of the AR with respect to </w:t>
      </w:r>
      <w:r w:rsidRPr="004356D1">
        <w:rPr>
          <w:bCs/>
          <w:i/>
          <w:iCs/>
        </w:rPr>
        <w:t>p</w:t>
      </w:r>
      <w:r w:rsidRPr="004356D1">
        <w:rPr>
          <w:bCs/>
        </w:rPr>
        <w:t xml:space="preserve"> also yields a positive function indicating AR will always increase with a higher initial invasive disease risk</w:t>
      </w:r>
    </w:p>
    <w:p w:rsidR="007D0DAE" w:rsidRPr="004356D1" w:rsidRDefault="007D0DAE" w:rsidP="007D0DAE">
      <w:pPr>
        <w:spacing w:line="480" w:lineRule="auto"/>
        <w:rPr>
          <w:bCs/>
        </w:rPr>
      </w:pPr>
      <m:oMathPara>
        <m:oMath>
          <m:r>
            <m:rPr>
              <m:sty m:val="p"/>
            </m:rPr>
            <w:rPr>
              <w:rFonts w:ascii="Cambria Math" w:hAnsi="Cambria Math"/>
            </w:rPr>
            <m:t>A</m:t>
          </m:r>
          <m:sSup>
            <m:sSupPr>
              <m:ctrlPr>
                <w:rPr>
                  <w:rFonts w:ascii="Cambria Math" w:hAnsi="Cambria Math"/>
                  <w:bCs/>
                  <w:i/>
                </w:rPr>
              </m:ctrlPr>
            </m:sSupPr>
            <m:e>
              <m:r>
                <w:rPr>
                  <w:rFonts w:ascii="Cambria Math" w:hAnsi="Cambria Math"/>
                </w:rPr>
                <m:t>R</m:t>
              </m:r>
            </m:e>
            <m:sup>
              <m:r>
                <m:rPr>
                  <m:sty m:val="p"/>
                </m:rPr>
                <w:rPr>
                  <w:rFonts w:ascii="Cambria Math" w:hAnsi="Cambria Math" w:hint="eastAsia"/>
                </w:rPr>
                <m:t>'</m:t>
              </m:r>
            </m:sup>
          </m:sSup>
          <m:d>
            <m:dPr>
              <m:ctrlPr>
                <w:rPr>
                  <w:rFonts w:ascii="Cambria Math" w:hAnsi="Cambria Math"/>
                  <w:bCs/>
                </w:rPr>
              </m:ctrlPr>
            </m:dPr>
            <m:e>
              <m:r>
                <w:rPr>
                  <w:rFonts w:ascii="Cambria Math" w:hAnsi="Cambria Math"/>
                </w:rPr>
                <m:t>p</m:t>
              </m:r>
              <m:ctrlPr>
                <w:rPr>
                  <w:rFonts w:ascii="Cambria Math" w:hAnsi="Cambria Math"/>
                  <w:bCs/>
                  <w:i/>
                </w:rPr>
              </m:ctrlPr>
            </m:e>
          </m:d>
          <m:r>
            <w:rPr>
              <w:rFonts w:ascii="Cambria Math" w:hAnsi="Cambria Math"/>
            </w:rPr>
            <m:t>=</m:t>
          </m:r>
          <m:f>
            <m:fPr>
              <m:ctrlPr>
                <w:rPr>
                  <w:rFonts w:ascii="Cambria Math" w:hAnsi="Cambria Math"/>
                  <w:bCs/>
                </w:rPr>
              </m:ctrlPr>
            </m:fPr>
            <m:num>
              <m:r>
                <w:rPr>
                  <w:rFonts w:ascii="Cambria Math" w:hAnsi="Cambria Math"/>
                </w:rPr>
                <m:t>1</m:t>
              </m:r>
            </m:num>
            <m:den>
              <m:sSup>
                <m:sSupPr>
                  <m:ctrlPr>
                    <w:rPr>
                      <w:rFonts w:ascii="Cambria Math" w:hAnsi="Cambria Math"/>
                      <w:bCs/>
                      <w:i/>
                    </w:rPr>
                  </m:ctrlPr>
                </m:sSupPr>
                <m:e>
                  <m:d>
                    <m:dPr>
                      <m:ctrlPr>
                        <w:rPr>
                          <w:rFonts w:ascii="Cambria Math" w:hAnsi="Cambria Math"/>
                          <w:bCs/>
                        </w:rPr>
                      </m:ctrlPr>
                    </m:dPr>
                    <m:e>
                      <m:r>
                        <w:rPr>
                          <w:rFonts w:ascii="Cambria Math" w:hAnsi="Cambria Math"/>
                        </w:rPr>
                        <m:t>p-1</m:t>
                      </m:r>
                      <m:ctrlPr>
                        <w:rPr>
                          <w:rFonts w:ascii="Cambria Math" w:hAnsi="Cambria Math"/>
                          <w:bCs/>
                          <w:i/>
                        </w:rPr>
                      </m:ctrlPr>
                    </m:e>
                  </m:d>
                  <m:ctrlPr>
                    <w:rPr>
                      <w:rFonts w:ascii="Cambria Math" w:hAnsi="Cambria Math"/>
                      <w:bCs/>
                    </w:rPr>
                  </m:ctrlPr>
                </m:e>
                <m:sup>
                  <m:r>
                    <w:rPr>
                      <w:rFonts w:ascii="Cambria Math" w:hAnsi="Cambria Math"/>
                    </w:rPr>
                    <m:t>2</m:t>
                  </m:r>
                </m:sup>
              </m:sSup>
            </m:den>
          </m:f>
          <m:r>
            <m:rPr>
              <m:sty m:val="p"/>
            </m:rPr>
            <w:rPr>
              <w:rFonts w:ascii="Cambria Math" w:hAnsi="Cambria Math"/>
            </w:rPr>
            <m:t>.</m:t>
          </m:r>
        </m:oMath>
      </m:oMathPara>
    </w:p>
    <w:p w:rsidR="007D0DAE" w:rsidRPr="004356D1" w:rsidRDefault="007D0DAE" w:rsidP="007D0DAE">
      <w:pPr>
        <w:spacing w:line="480" w:lineRule="auto"/>
        <w:rPr>
          <w:bCs/>
        </w:rPr>
      </w:pPr>
    </w:p>
    <w:p w:rsidR="007D0DAE" w:rsidRPr="004356D1" w:rsidRDefault="007D0DAE" w:rsidP="007D0DAE">
      <w:pPr>
        <w:spacing w:line="480" w:lineRule="auto"/>
        <w:rPr>
          <w:bCs/>
        </w:rPr>
      </w:pPr>
    </w:p>
    <w:p w:rsidR="007D0DAE" w:rsidRPr="004356D1" w:rsidRDefault="007D0DAE" w:rsidP="007D0DAE">
      <w:pPr>
        <w:spacing w:line="480" w:lineRule="auto"/>
        <w:rPr>
          <w:b/>
        </w:rPr>
      </w:pPr>
      <w:r w:rsidRPr="004356D1">
        <w:rPr>
          <w:b/>
        </w:rPr>
        <w:t>Two-Stage Carriage Compartmental Model Analysis</w:t>
      </w:r>
    </w:p>
    <w:p w:rsidR="007D0DAE" w:rsidRPr="004356D1" w:rsidRDefault="007D0DAE" w:rsidP="007D0DAE">
      <w:pPr>
        <w:spacing w:line="480" w:lineRule="auto"/>
        <w:rPr>
          <w:bCs/>
        </w:rPr>
      </w:pPr>
      <w:r w:rsidRPr="004356D1">
        <w:rPr>
          <w:bCs/>
        </w:rPr>
        <w:t xml:space="preserve">Model design and parameter definitions are the same as described in the main text except the carriage compartment is split into two stages </w:t>
      </w:r>
      <w:r w:rsidRPr="004356D1">
        <w:rPr>
          <w:bCs/>
          <w:i/>
          <w:iCs/>
        </w:rPr>
        <w:t>C1</w:t>
      </w:r>
      <w:r w:rsidRPr="004356D1">
        <w:rPr>
          <w:bCs/>
        </w:rPr>
        <w:t xml:space="preserve"> and </w:t>
      </w:r>
      <w:r w:rsidRPr="004356D1">
        <w:rPr>
          <w:bCs/>
          <w:i/>
          <w:iCs/>
        </w:rPr>
        <w:t>C2</w:t>
      </w:r>
      <w:r w:rsidRPr="004356D1">
        <w:rPr>
          <w:bCs/>
        </w:rPr>
        <w:t xml:space="preserve"> (Figure </w:t>
      </w:r>
      <w:r w:rsidRPr="004356D1">
        <w:rPr>
          <w:bCs/>
          <w:i/>
          <w:iCs/>
        </w:rPr>
        <w:t>S2</w:t>
      </w:r>
      <w:r w:rsidRPr="004356D1">
        <w:rPr>
          <w:bCs/>
        </w:rPr>
        <w:t xml:space="preserve">). Reconfiguring the Carriage state in this way changes the clearance rate to a sum of 2 independent exponentially distributed </w:t>
      </w:r>
      <w:r w:rsidRPr="004356D1">
        <w:rPr>
          <w:bCs/>
        </w:rPr>
        <w:lastRenderedPageBreak/>
        <w:t>random variables with mean 2/</w:t>
      </w:r>
      <m:oMath>
        <m:r>
          <w:rPr>
            <w:rFonts w:ascii="Cambria Math" w:hAnsi="Cambria Math"/>
          </w:rPr>
          <m:t>τ</m:t>
        </m:r>
      </m:oMath>
      <w:r w:rsidRPr="004356D1">
        <w:rPr>
          <w:bCs/>
        </w:rPr>
        <w:t xml:space="preserve"> each, resulting in the same average total carriage duration </w:t>
      </w:r>
      <m:oMath>
        <m:r>
          <w:rPr>
            <w:rFonts w:ascii="Cambria Math" w:hAnsi="Cambria Math"/>
          </w:rPr>
          <m:t>τ</m:t>
        </m:r>
      </m:oMath>
      <w:r w:rsidRPr="004356D1">
        <w:rPr>
          <w:bCs/>
        </w:rPr>
        <w:t>. By introducing a two-step process for the carriage state, we can move away from an exponential distribution of carriage wait times (with modal duration of zero) to an Erlang distribution allowing for a modal duration greater than zero.</w:t>
      </w:r>
    </w:p>
    <w:p w:rsidR="007D0DAE" w:rsidRPr="004356D1" w:rsidRDefault="007D0DAE" w:rsidP="007D0DAE">
      <w:pPr>
        <w:spacing w:line="480" w:lineRule="auto"/>
        <w:rPr>
          <w:bCs/>
        </w:rPr>
      </w:pPr>
    </w:p>
    <w:p w:rsidR="007D0DAE" w:rsidRPr="004356D1" w:rsidRDefault="007D0DAE" w:rsidP="007D0DAE">
      <w:pPr>
        <w:spacing w:line="480" w:lineRule="auto"/>
        <w:rPr>
          <w:bCs/>
        </w:rPr>
      </w:pPr>
      <w:r w:rsidRPr="004356D1">
        <w:rPr>
          <w:bCs/>
        </w:rPr>
        <w:t>The system of ordinary differential equations describing this system is as follows:</w:t>
      </w:r>
    </w:p>
    <w:p w:rsidR="007D0DAE" w:rsidRPr="004356D1" w:rsidRDefault="007D0DAE" w:rsidP="007D0DAE">
      <w:pPr>
        <w:spacing w:line="480" w:lineRule="auto"/>
        <w:rPr>
          <w:bCs/>
        </w:rPr>
      </w:pPr>
    </w:p>
    <w:p w:rsidR="007D0DAE" w:rsidRPr="004356D1" w:rsidRDefault="007D0DAE" w:rsidP="007D0DAE">
      <w:pPr>
        <w:spacing w:line="480" w:lineRule="auto"/>
        <w:rPr>
          <w:bCs/>
          <w:i/>
          <w:iCs/>
        </w:rPr>
      </w:pPr>
      <m:oMathPara>
        <m:oMath>
          <m:f>
            <m:fPr>
              <m:ctrlPr>
                <w:rPr>
                  <w:rFonts w:ascii="Cambria Math" w:hAnsi="Cambria Math"/>
                  <w:bCs/>
                  <w:i/>
                  <w:iCs/>
                </w:rPr>
              </m:ctrlPr>
            </m:fPr>
            <m:num>
              <m:r>
                <w:rPr>
                  <w:rFonts w:ascii="Cambria Math" w:hAnsi="Cambria Math"/>
                </w:rPr>
                <m:t>dC1</m:t>
              </m:r>
            </m:num>
            <m:den>
              <m:r>
                <w:rPr>
                  <w:rFonts w:ascii="Cambria Math" w:hAnsi="Cambria Math"/>
                </w:rPr>
                <m:t>dt</m:t>
              </m:r>
            </m:den>
          </m:f>
          <m:r>
            <w:rPr>
              <w:rFonts w:ascii="Cambria Math" w:hAnsi="Cambria Math"/>
            </w:rPr>
            <m:t>=</m:t>
          </m:r>
          <m:d>
            <m:dPr>
              <m:ctrlPr>
                <w:rPr>
                  <w:rFonts w:ascii="Cambria Math" w:hAnsi="Cambria Math"/>
                  <w:bCs/>
                  <w:i/>
                  <w:iCs/>
                </w:rPr>
              </m:ctrlPr>
            </m:dPr>
            <m:e>
              <m:r>
                <w:rPr>
                  <w:rFonts w:ascii="Cambria Math" w:hAnsi="Cambria Math"/>
                </w:rPr>
                <m:t>1-p</m:t>
              </m:r>
            </m:e>
          </m:d>
          <m:r>
            <w:rPr>
              <w:rFonts w:ascii="Cambria Math" w:hAnsi="Cambria Math"/>
            </w:rPr>
            <m:t>β</m:t>
          </m:r>
          <m:d>
            <m:dPr>
              <m:ctrlPr>
                <w:rPr>
                  <w:rFonts w:ascii="Cambria Math" w:hAnsi="Cambria Math"/>
                  <w:bCs/>
                  <w:i/>
                  <w:iCs/>
                </w:rPr>
              </m:ctrlPr>
            </m:dPr>
            <m:e>
              <m:r>
                <w:rPr>
                  <w:rFonts w:ascii="Cambria Math" w:hAnsi="Cambria Math"/>
                </w:rPr>
                <m:t>C1+C2</m:t>
              </m:r>
            </m:e>
          </m:d>
          <m:r>
            <w:rPr>
              <w:rFonts w:ascii="Cambria Math" w:hAnsi="Cambria Math"/>
            </w:rPr>
            <m:t>S-</m:t>
          </m:r>
          <m:d>
            <m:dPr>
              <m:ctrlPr>
                <w:rPr>
                  <w:rFonts w:ascii="Cambria Math" w:hAnsi="Cambria Math"/>
                  <w:bCs/>
                  <w:i/>
                  <w:iCs/>
                </w:rPr>
              </m:ctrlPr>
            </m:dPr>
            <m:e>
              <m:f>
                <m:fPr>
                  <m:ctrlPr>
                    <w:rPr>
                      <w:rFonts w:ascii="Cambria Math" w:hAnsi="Cambria Math"/>
                      <w:bCs/>
                      <w:i/>
                      <w:iCs/>
                    </w:rPr>
                  </m:ctrlPr>
                </m:fPr>
                <m:num>
                  <m:r>
                    <w:rPr>
                      <w:rFonts w:ascii="Cambria Math" w:hAnsi="Cambria Math"/>
                    </w:rPr>
                    <m:t>2</m:t>
                  </m:r>
                </m:num>
                <m:den>
                  <m:r>
                    <w:rPr>
                      <w:rFonts w:ascii="Cambria Math" w:hAnsi="Cambria Math"/>
                    </w:rPr>
                    <m:t>τ</m:t>
                  </m:r>
                </m:den>
              </m:f>
              <m:r>
                <w:rPr>
                  <w:rFonts w:ascii="Cambria Math" w:hAnsi="Cambria Math"/>
                </w:rPr>
                <m:t>+d</m:t>
              </m:r>
            </m:e>
          </m:d>
          <m:r>
            <w:rPr>
              <w:rFonts w:ascii="Cambria Math" w:hAnsi="Cambria Math"/>
            </w:rPr>
            <m:t>C1</m:t>
          </m:r>
        </m:oMath>
      </m:oMathPara>
    </w:p>
    <w:p w:rsidR="007D0DAE" w:rsidRPr="004356D1" w:rsidRDefault="007D0DAE" w:rsidP="007D0DAE">
      <w:pPr>
        <w:spacing w:line="480" w:lineRule="auto"/>
        <w:rPr>
          <w:bCs/>
          <w:i/>
          <w:iCs/>
        </w:rPr>
      </w:pPr>
      <m:oMathPara>
        <m:oMath>
          <m:f>
            <m:fPr>
              <m:ctrlPr>
                <w:rPr>
                  <w:rFonts w:ascii="Cambria Math" w:hAnsi="Cambria Math"/>
                  <w:bCs/>
                  <w:i/>
                  <w:iCs/>
                </w:rPr>
              </m:ctrlPr>
            </m:fPr>
            <m:num>
              <m:r>
                <w:rPr>
                  <w:rFonts w:ascii="Cambria Math" w:hAnsi="Cambria Math"/>
                </w:rPr>
                <m:t>dC2</m:t>
              </m:r>
            </m:num>
            <m:den>
              <m:r>
                <w:rPr>
                  <w:rFonts w:ascii="Cambria Math" w:hAnsi="Cambria Math"/>
                </w:rPr>
                <m:t>dt</m:t>
              </m:r>
            </m:den>
          </m:f>
          <m:r>
            <w:rPr>
              <w:rFonts w:ascii="Cambria Math" w:hAnsi="Cambria Math"/>
            </w:rPr>
            <m:t>=</m:t>
          </m:r>
          <m:f>
            <m:fPr>
              <m:ctrlPr>
                <w:rPr>
                  <w:rFonts w:ascii="Cambria Math" w:hAnsi="Cambria Math"/>
                  <w:bCs/>
                  <w:i/>
                  <w:iCs/>
                </w:rPr>
              </m:ctrlPr>
            </m:fPr>
            <m:num>
              <m:r>
                <w:rPr>
                  <w:rFonts w:ascii="Cambria Math" w:hAnsi="Cambria Math"/>
                </w:rPr>
                <m:t>2</m:t>
              </m:r>
            </m:num>
            <m:den>
              <m:r>
                <w:rPr>
                  <w:rFonts w:ascii="Cambria Math" w:hAnsi="Cambria Math"/>
                </w:rPr>
                <m:t>τ</m:t>
              </m:r>
            </m:den>
          </m:f>
          <m:r>
            <w:rPr>
              <w:rFonts w:ascii="Cambria Math" w:hAnsi="Cambria Math"/>
            </w:rPr>
            <m:t>C1-</m:t>
          </m:r>
          <m:d>
            <m:dPr>
              <m:ctrlPr>
                <w:rPr>
                  <w:rFonts w:ascii="Cambria Math" w:hAnsi="Cambria Math"/>
                  <w:bCs/>
                  <w:i/>
                  <w:iCs/>
                </w:rPr>
              </m:ctrlPr>
            </m:dPr>
            <m:e>
              <m:r>
                <w:rPr>
                  <w:rFonts w:ascii="Cambria Math" w:hAnsi="Cambria Math"/>
                </w:rPr>
                <m:t>d+</m:t>
              </m:r>
              <m:f>
                <m:fPr>
                  <m:ctrlPr>
                    <w:rPr>
                      <w:rFonts w:ascii="Cambria Math" w:hAnsi="Cambria Math"/>
                      <w:bCs/>
                      <w:i/>
                      <w:iCs/>
                    </w:rPr>
                  </m:ctrlPr>
                </m:fPr>
                <m:num>
                  <m:r>
                    <w:rPr>
                      <w:rFonts w:ascii="Cambria Math" w:hAnsi="Cambria Math"/>
                    </w:rPr>
                    <m:t>2</m:t>
                  </m:r>
                </m:num>
                <m:den>
                  <m:r>
                    <w:rPr>
                      <w:rFonts w:ascii="Cambria Math" w:hAnsi="Cambria Math"/>
                    </w:rPr>
                    <m:t>τ</m:t>
                  </m:r>
                </m:den>
              </m:f>
            </m:e>
          </m:d>
          <m:r>
            <w:rPr>
              <w:rFonts w:ascii="Cambria Math" w:hAnsi="Cambria Math"/>
            </w:rPr>
            <m:t>C2</m:t>
          </m:r>
        </m:oMath>
      </m:oMathPara>
    </w:p>
    <w:p w:rsidR="007D0DAE" w:rsidRPr="004356D1" w:rsidRDefault="007D0DAE" w:rsidP="007D0DAE">
      <w:pPr>
        <w:spacing w:line="480" w:lineRule="auto"/>
        <w:rPr>
          <w:bCs/>
          <w:i/>
        </w:rPr>
      </w:pPr>
      <m:oMathPara>
        <m:oMath>
          <m:f>
            <m:fPr>
              <m:ctrlPr>
                <w:rPr>
                  <w:rFonts w:ascii="Cambria Math" w:hAnsi="Cambria Math"/>
                  <w:bCs/>
                  <w:i/>
                </w:rPr>
              </m:ctrlPr>
            </m:fPr>
            <m:num>
              <m:r>
                <w:rPr>
                  <w:rFonts w:ascii="Cambria Math" w:hAnsi="Cambria Math"/>
                </w:rPr>
                <m:t>dI</m:t>
              </m:r>
            </m:num>
            <m:den>
              <m:r>
                <w:rPr>
                  <w:rFonts w:ascii="Cambria Math" w:hAnsi="Cambria Math"/>
                </w:rPr>
                <m:t>dt</m:t>
              </m:r>
            </m:den>
          </m:f>
          <m:r>
            <w:rPr>
              <w:rFonts w:ascii="Cambria Math" w:hAnsi="Cambria Math"/>
            </w:rPr>
            <m:t>=pβ</m:t>
          </m:r>
          <m:d>
            <m:dPr>
              <m:ctrlPr>
                <w:rPr>
                  <w:rFonts w:ascii="Cambria Math" w:hAnsi="Cambria Math"/>
                  <w:bCs/>
                  <w:i/>
                </w:rPr>
              </m:ctrlPr>
            </m:dPr>
            <m:e>
              <m:r>
                <w:rPr>
                  <w:rFonts w:ascii="Cambria Math" w:hAnsi="Cambria Math"/>
                </w:rPr>
                <m:t>C1+C2</m:t>
              </m:r>
            </m:e>
          </m:d>
          <m:r>
            <w:rPr>
              <w:rFonts w:ascii="Cambria Math" w:hAnsi="Cambria Math"/>
            </w:rPr>
            <m:t>S+d</m:t>
          </m:r>
          <m:d>
            <m:dPr>
              <m:ctrlPr>
                <w:rPr>
                  <w:rFonts w:ascii="Cambria Math" w:hAnsi="Cambria Math"/>
                  <w:bCs/>
                  <w:i/>
                </w:rPr>
              </m:ctrlPr>
            </m:dPr>
            <m:e>
              <m:r>
                <w:rPr>
                  <w:rFonts w:ascii="Cambria Math" w:hAnsi="Cambria Math"/>
                </w:rPr>
                <m:t>C1+C2</m:t>
              </m:r>
            </m:e>
          </m:d>
          <m:r>
            <w:rPr>
              <w:rFonts w:ascii="Cambria Math" w:hAnsi="Cambria Math"/>
            </w:rPr>
            <m:t>-hI</m:t>
          </m:r>
        </m:oMath>
      </m:oMathPara>
    </w:p>
    <w:p w:rsidR="007D0DAE" w:rsidRPr="004356D1" w:rsidRDefault="007D0DAE" w:rsidP="007D0DAE">
      <w:pPr>
        <w:spacing w:line="480" w:lineRule="auto"/>
        <w:rPr>
          <w:bCs/>
          <w:i/>
        </w:rPr>
      </w:pPr>
      <m:oMathPara>
        <m:oMath>
          <m:f>
            <m:fPr>
              <m:ctrlPr>
                <w:rPr>
                  <w:rFonts w:ascii="Cambria Math" w:hAnsi="Cambria Math"/>
                  <w:bCs/>
                  <w:i/>
                </w:rPr>
              </m:ctrlPr>
            </m:fPr>
            <m:num>
              <m:r>
                <w:rPr>
                  <w:rFonts w:ascii="Cambria Math" w:hAnsi="Cambria Math"/>
                </w:rPr>
                <m:t>dR</m:t>
              </m:r>
            </m:num>
            <m:den>
              <m:r>
                <w:rPr>
                  <w:rFonts w:ascii="Cambria Math" w:hAnsi="Cambria Math"/>
                </w:rPr>
                <m:t>dt</m:t>
              </m:r>
            </m:den>
          </m:f>
          <m:r>
            <w:rPr>
              <w:rFonts w:ascii="Cambria Math" w:hAnsi="Cambria Math"/>
            </w:rPr>
            <m:t>=</m:t>
          </m:r>
          <m:f>
            <m:fPr>
              <m:ctrlPr>
                <w:rPr>
                  <w:rFonts w:ascii="Cambria Math" w:hAnsi="Cambria Math"/>
                  <w:bCs/>
                  <w:i/>
                </w:rPr>
              </m:ctrlPr>
            </m:fPr>
            <m:num>
              <m:r>
                <w:rPr>
                  <w:rFonts w:ascii="Cambria Math" w:hAnsi="Cambria Math"/>
                </w:rPr>
                <m:t>2</m:t>
              </m:r>
            </m:num>
            <m:den>
              <m:r>
                <w:rPr>
                  <w:rFonts w:ascii="Cambria Math" w:hAnsi="Cambria Math"/>
                </w:rPr>
                <m:t>τ</m:t>
              </m:r>
            </m:den>
          </m:f>
          <m:r>
            <w:rPr>
              <w:rFonts w:ascii="Cambria Math" w:hAnsi="Cambria Math"/>
            </w:rPr>
            <m:t>C2-fR+hI</m:t>
          </m:r>
        </m:oMath>
      </m:oMathPara>
    </w:p>
    <w:p w:rsidR="007D0DAE" w:rsidRPr="004356D1" w:rsidRDefault="007D0DAE" w:rsidP="007D0DAE">
      <w:pPr>
        <w:spacing w:line="480" w:lineRule="auto"/>
        <w:rPr>
          <w:bCs/>
        </w:rPr>
      </w:pPr>
      <m:oMathPara>
        <m:oMathParaPr>
          <m:jc m:val="center"/>
        </m:oMathParaPr>
        <m:oMath>
          <m:r>
            <w:rPr>
              <w:rFonts w:ascii="Cambria Math" w:hAnsi="Cambria Math"/>
            </w:rPr>
            <m:t>S=1-C1-C2-R-I</m:t>
          </m:r>
        </m:oMath>
      </m:oMathPara>
    </w:p>
    <w:p w:rsidR="007D0DAE" w:rsidRPr="004356D1" w:rsidRDefault="007D0DAE" w:rsidP="007D0DAE">
      <w:pPr>
        <w:spacing w:line="480" w:lineRule="auto"/>
        <w:rPr>
          <w:bCs/>
        </w:rPr>
      </w:pPr>
    </w:p>
    <w:p w:rsidR="007D0DAE" w:rsidRDefault="007D0DAE" w:rsidP="007D0DAE">
      <w:pPr>
        <w:spacing w:line="480" w:lineRule="auto"/>
        <w:rPr>
          <w:bCs/>
        </w:rPr>
      </w:pPr>
      <w:r w:rsidRPr="004356D1">
        <w:rPr>
          <w:bCs/>
        </w:rPr>
        <w:t xml:space="preserve">Fitting this model to the longitudinal and cross-sectional dataset described in the main text converges to the same solution of parameter estimates as the single carriage stage compartmental model: </w:t>
      </w:r>
      <w:r w:rsidRPr="004356D1">
        <w:rPr>
          <w:bCs/>
          <w:i/>
          <w:iCs/>
        </w:rPr>
        <w:t xml:space="preserve">p = </w:t>
      </w:r>
      <w:r w:rsidRPr="004356D1">
        <w:rPr>
          <w:bCs/>
        </w:rPr>
        <w:t>2.9 x10</w:t>
      </w:r>
      <w:r w:rsidRPr="004356D1">
        <w:rPr>
          <w:bCs/>
          <w:vertAlign w:val="superscript"/>
        </w:rPr>
        <w:t>-4</w:t>
      </w:r>
      <w:r w:rsidRPr="004356D1">
        <w:rPr>
          <w:bCs/>
          <w:i/>
          <w:iCs/>
        </w:rPr>
        <w:t xml:space="preserve"> </w:t>
      </w:r>
      <w:r w:rsidRPr="004356D1">
        <w:rPr>
          <w:bCs/>
        </w:rPr>
        <w:t>(95%CI: 1.4 to 4.6 x 10</w:t>
      </w:r>
      <w:r w:rsidRPr="004356D1">
        <w:rPr>
          <w:bCs/>
          <w:vertAlign w:val="superscript"/>
        </w:rPr>
        <w:t>-4</w:t>
      </w:r>
      <w:r w:rsidRPr="004356D1">
        <w:rPr>
          <w:bCs/>
        </w:rPr>
        <w:t xml:space="preserve">), </w:t>
      </w:r>
      <w:r w:rsidRPr="004356D1">
        <w:rPr>
          <w:bCs/>
          <w:i/>
          <w:iCs/>
        </w:rPr>
        <w:t xml:space="preserve">d = </w:t>
      </w:r>
      <w:r w:rsidRPr="004356D1">
        <w:rPr>
          <w:bCs/>
        </w:rPr>
        <w:t>0.0 (CI: 0 to 1.4 x 10</w:t>
      </w:r>
      <w:r w:rsidRPr="004356D1">
        <w:rPr>
          <w:bCs/>
          <w:vertAlign w:val="superscript"/>
        </w:rPr>
        <w:t>-5</w:t>
      </w:r>
      <w:r w:rsidRPr="004356D1">
        <w:rPr>
          <w:bCs/>
        </w:rPr>
        <w:t xml:space="preserve">, </w:t>
      </w:r>
      <w:r w:rsidRPr="004356D1">
        <w:rPr>
          <w:bCs/>
          <w:i/>
          <w:iCs/>
        </w:rPr>
        <w:t>β</w:t>
      </w:r>
      <w:r w:rsidRPr="004356D1">
        <w:rPr>
          <w:bCs/>
        </w:rPr>
        <w:t xml:space="preserve"> = 0.23 (CI: 0.06 to 0.41), f</w:t>
      </w:r>
      <w:r w:rsidRPr="004356D1">
        <w:rPr>
          <w:bCs/>
          <w:i/>
          <w:iCs/>
        </w:rPr>
        <w:t xml:space="preserve"> = </w:t>
      </w:r>
      <w:r w:rsidRPr="004356D1">
        <w:rPr>
          <w:bCs/>
        </w:rPr>
        <w:t>3.1 x 10</w:t>
      </w:r>
      <w:r w:rsidRPr="004356D1">
        <w:rPr>
          <w:bCs/>
          <w:vertAlign w:val="superscript"/>
        </w:rPr>
        <w:t>-3</w:t>
      </w:r>
      <w:r w:rsidRPr="004356D1">
        <w:rPr>
          <w:bCs/>
        </w:rPr>
        <w:t xml:space="preserve"> (CI: 2.6 x 10</w:t>
      </w:r>
      <w:r w:rsidRPr="004356D1">
        <w:rPr>
          <w:bCs/>
          <w:vertAlign w:val="superscript"/>
        </w:rPr>
        <w:t>-3</w:t>
      </w:r>
      <w:r w:rsidRPr="004356D1">
        <w:rPr>
          <w:bCs/>
        </w:rPr>
        <w:t xml:space="preserve"> to 6.0 x 10</w:t>
      </w:r>
      <w:r w:rsidRPr="004356D1">
        <w:rPr>
          <w:bCs/>
          <w:vertAlign w:val="superscript"/>
        </w:rPr>
        <w:t>-3</w:t>
      </w:r>
      <w:r w:rsidRPr="004356D1">
        <w:rPr>
          <w:bCs/>
        </w:rPr>
        <w:t xml:space="preserve">). Notably, assuming </w:t>
      </w:r>
      <w:r w:rsidRPr="004356D1">
        <w:rPr>
          <w:bCs/>
          <w:i/>
          <w:iCs/>
        </w:rPr>
        <w:t xml:space="preserve">d </w:t>
      </w:r>
      <w:r w:rsidRPr="004356D1">
        <w:rPr>
          <w:bCs/>
        </w:rPr>
        <w:t xml:space="preserve">= 0, the IOR and AR expressions simplify to </w:t>
      </w:r>
      <m:oMath>
        <m:sSub>
          <m:sSubPr>
            <m:ctrlPr>
              <w:rPr>
                <w:rFonts w:ascii="Cambria Math" w:hAnsi="Cambria Math"/>
                <w:bCs/>
              </w:rPr>
            </m:ctrlPr>
          </m:sSubPr>
          <m:e>
            <m:r>
              <m:rPr>
                <m:nor/>
              </m:rPr>
              <w:rPr>
                <w:bCs/>
                <w:i/>
                <w:iCs/>
              </w:rPr>
              <m:t>τ</m:t>
            </m:r>
          </m:e>
          <m:sub>
            <m:r>
              <m:rPr>
                <m:nor/>
              </m:rPr>
              <w:rPr>
                <w:bCs/>
              </w:rPr>
              <m:t>0</m:t>
            </m:r>
          </m:sub>
        </m:sSub>
        <m:r>
          <w:rPr>
            <w:rFonts w:ascii="Cambria Math" w:hAnsi="Cambria Math"/>
          </w:rPr>
          <m:t>/τ</m:t>
        </m:r>
      </m:oMath>
      <w:r w:rsidRPr="004356D1">
        <w:rPr>
          <w:bCs/>
        </w:rPr>
        <w:t xml:space="preserve">, and </w:t>
      </w:r>
      <w:r w:rsidRPr="004356D1">
        <w:rPr>
          <w:bCs/>
          <w:i/>
          <w:iCs/>
        </w:rPr>
        <w:t>p/</w:t>
      </w:r>
      <w:r w:rsidRPr="004356D1">
        <w:rPr>
          <w:bCs/>
        </w:rPr>
        <w:t>(1-</w:t>
      </w:r>
      <w:r w:rsidRPr="004356D1">
        <w:rPr>
          <w:bCs/>
          <w:i/>
          <w:iCs/>
        </w:rPr>
        <w:t>p</w:t>
      </w:r>
      <w:r w:rsidRPr="004356D1">
        <w:rPr>
          <w:bCs/>
        </w:rPr>
        <w:t>) respectively. Allowing the two carriage clearance rates to vary (</w:t>
      </w:r>
      <w:r w:rsidRPr="004356D1">
        <w:rPr>
          <w:bCs/>
          <w:i/>
          <w:iCs/>
        </w:rPr>
        <w:t>i.e</w:t>
      </w:r>
      <w:r w:rsidRPr="004356D1">
        <w:rPr>
          <w:bCs/>
        </w:rPr>
        <w:t xml:space="preserve">., setting the duration from </w:t>
      </w:r>
      <w:r w:rsidRPr="004356D1">
        <w:rPr>
          <w:bCs/>
          <w:i/>
          <w:iCs/>
        </w:rPr>
        <w:t>C1</w:t>
      </w:r>
      <w:r w:rsidRPr="004356D1">
        <w:rPr>
          <w:bCs/>
        </w:rPr>
        <w:t xml:space="preserve"> -&gt; </w:t>
      </w:r>
      <w:r w:rsidRPr="004356D1">
        <w:rPr>
          <w:bCs/>
          <w:i/>
          <w:iCs/>
        </w:rPr>
        <w:t>C2</w:t>
      </w:r>
      <w:r w:rsidRPr="004356D1">
        <w:rPr>
          <w:bCs/>
        </w:rPr>
        <w:t xml:space="preserve"> to two weeks and the duration from </w:t>
      </w:r>
      <w:r w:rsidRPr="004356D1">
        <w:rPr>
          <w:bCs/>
          <w:i/>
          <w:iCs/>
        </w:rPr>
        <w:t>C2</w:t>
      </w:r>
      <w:r w:rsidRPr="004356D1">
        <w:rPr>
          <w:bCs/>
        </w:rPr>
        <w:t xml:space="preserve"> -&gt; </w:t>
      </w:r>
      <w:r w:rsidRPr="004356D1">
        <w:rPr>
          <w:bCs/>
          <w:i/>
          <w:iCs/>
        </w:rPr>
        <w:t>R</w:t>
      </w:r>
      <w:r w:rsidRPr="004356D1">
        <w:rPr>
          <w:bCs/>
        </w:rPr>
        <w:t xml:space="preserve"> to </w:t>
      </w:r>
      <w:r w:rsidRPr="004356D1">
        <w:rPr>
          <w:bCs/>
          <w:i/>
          <w:iCs/>
        </w:rPr>
        <w:t>τ</w:t>
      </w:r>
      <w:r w:rsidRPr="004356D1">
        <w:rPr>
          <w:bCs/>
        </w:rPr>
        <w:t xml:space="preserve"> – 2 weeks) does not change the results of the model fit.</w:t>
      </w:r>
    </w:p>
    <w:p w:rsidR="007D0DAE" w:rsidRDefault="007D0DAE" w:rsidP="007D0DAE">
      <w:pPr>
        <w:spacing w:line="480" w:lineRule="auto"/>
        <w:rPr>
          <w:bCs/>
        </w:rPr>
      </w:pPr>
    </w:p>
    <w:p w:rsidR="007D0DAE" w:rsidRPr="004356D1" w:rsidRDefault="007D0DAE" w:rsidP="007D0DAE">
      <w:pPr>
        <w:spacing w:line="480" w:lineRule="auto"/>
        <w:rPr>
          <w:b/>
        </w:rPr>
      </w:pPr>
      <w:r w:rsidRPr="003C685F">
        <w:rPr>
          <w:b/>
          <w:bCs/>
        </w:rPr>
        <w:lastRenderedPageBreak/>
        <w:t>Most Common Metrics Used by Researchers to Measure Pneumococcal Invasiveness</w:t>
      </w:r>
    </w:p>
    <w:p w:rsidR="007D0DAE" w:rsidRPr="00DD4EF4" w:rsidRDefault="007D0DAE" w:rsidP="007D0DAE">
      <w:pPr>
        <w:spacing w:line="480" w:lineRule="auto"/>
        <w:rPr>
          <w:bCs/>
        </w:rPr>
      </w:pPr>
      <w:r w:rsidRPr="00DD4EF4">
        <w:rPr>
          <w:bCs/>
        </w:rPr>
        <w:t xml:space="preserve">Several methods can be used for measuring invasiveness across pneumococcal serotypes. They can be categorized into four main approaches: invasive attack rate (IAR), invasive odds ratio (IOR), invasive capacity (IC), and invasive case-to-carrier (Invasive C2C) measurements (see introductions and citations in the main text). The goal of this analysis is to perform a literature survey to estimate how much each metric is used in the field. This survey does present a challenge in that three of the methods (attack rate, odds ratios, and case-to-carrier ratios) are general epidemiological rate measurements and not specific to tracking pneumococcal invasiveness. </w:t>
      </w:r>
    </w:p>
    <w:p w:rsidR="007D0DAE" w:rsidRPr="00DD4EF4" w:rsidRDefault="007D0DAE" w:rsidP="007D0DAE">
      <w:pPr>
        <w:spacing w:line="480" w:lineRule="auto"/>
        <w:rPr>
          <w:bCs/>
        </w:rPr>
      </w:pPr>
    </w:p>
    <w:p w:rsidR="007D0DAE" w:rsidRPr="00DD4EF4" w:rsidRDefault="007D0DAE" w:rsidP="007D0DAE">
      <w:pPr>
        <w:spacing w:line="480" w:lineRule="auto"/>
        <w:rPr>
          <w:bCs/>
        </w:rPr>
      </w:pPr>
      <w:r w:rsidRPr="00DD4EF4">
        <w:rPr>
          <w:bCs/>
        </w:rPr>
        <w:t>Given this constraint, we used the Publish or Perish wrapper tool (</w:t>
      </w:r>
      <w:hyperlink r:id="rId6" w:history="1">
        <w:r w:rsidRPr="00DD4EF4">
          <w:rPr>
            <w:rStyle w:val="Hyperlink"/>
            <w:i/>
            <w:iCs/>
          </w:rPr>
          <w:t>https://harzing.com/resources/publish-or-perish</w:t>
        </w:r>
      </w:hyperlink>
      <w:r w:rsidRPr="00DD4EF4">
        <w:rPr>
          <w:bCs/>
        </w:rPr>
        <w:t>) to search for selected keywords associated with IAR, IC, IOR and invasive C2C in Google Scholar and sorted the matching papers by year. The search terms used for this analysis are provided below:</w:t>
      </w:r>
    </w:p>
    <w:p w:rsidR="007D0DAE" w:rsidRPr="00DD4EF4" w:rsidRDefault="007D0DAE" w:rsidP="007D0DAE">
      <w:pPr>
        <w:spacing w:line="480" w:lineRule="auto"/>
        <w:rPr>
          <w:bCs/>
        </w:rPr>
      </w:pPr>
    </w:p>
    <w:p w:rsidR="007D0DAE" w:rsidRPr="00121EB8" w:rsidRDefault="007D0DAE" w:rsidP="007D0DAE">
      <w:pPr>
        <w:spacing w:line="480" w:lineRule="auto"/>
        <w:rPr>
          <w:u w:val="single"/>
        </w:rPr>
      </w:pPr>
      <w:r w:rsidRPr="00121EB8">
        <w:rPr>
          <w:u w:val="single"/>
        </w:rPr>
        <w:t>Google Scholar Search Terms</w:t>
      </w:r>
    </w:p>
    <w:p w:rsidR="007D0DAE" w:rsidRPr="00DD4EF4" w:rsidRDefault="007D0DAE" w:rsidP="007D0DAE">
      <w:pPr>
        <w:spacing w:line="480" w:lineRule="auto"/>
        <w:rPr>
          <w:bCs/>
        </w:rPr>
      </w:pPr>
      <w:r w:rsidRPr="00DD4EF4">
        <w:rPr>
          <w:bCs/>
        </w:rPr>
        <w:t>Title: ("streptococcus pneumoniae" OR "pneumococcus" OR "pneumococcal")</w:t>
      </w:r>
    </w:p>
    <w:p w:rsidR="007D0DAE" w:rsidRPr="00DD4EF4" w:rsidRDefault="007D0DAE" w:rsidP="007D0DAE">
      <w:pPr>
        <w:spacing w:line="480" w:lineRule="auto"/>
        <w:rPr>
          <w:bCs/>
        </w:rPr>
      </w:pPr>
      <w:r w:rsidRPr="00DD4EF4">
        <w:rPr>
          <w:bCs/>
        </w:rPr>
        <w:t>Keywords: "streptococcus pneumoniae" "invasiveness" ("odds ratio" OR "attack rate" OR ("case-carrier" OR "case-to-carrier") OR "invasive capacity")</w:t>
      </w:r>
    </w:p>
    <w:p w:rsidR="007D0DAE" w:rsidRPr="00DD4EF4" w:rsidRDefault="007D0DAE" w:rsidP="007D0DAE">
      <w:pPr>
        <w:spacing w:line="480" w:lineRule="auto"/>
        <w:rPr>
          <w:bCs/>
        </w:rPr>
      </w:pPr>
    </w:p>
    <w:p w:rsidR="007D0DAE" w:rsidRPr="00DD4EF4" w:rsidRDefault="007D0DAE" w:rsidP="007D0DAE">
      <w:pPr>
        <w:spacing w:line="480" w:lineRule="auto"/>
        <w:rPr>
          <w:bCs/>
        </w:rPr>
      </w:pPr>
      <w:r w:rsidRPr="00DD4EF4">
        <w:rPr>
          <w:bCs/>
        </w:rPr>
        <w:t xml:space="preserve">When this search was run on 3-12-2023 it yielded 476 papers for review. As mentioned earlier, because attack rates, odds ratios, and case-to-carrier ratios are general epidemiological rates, we must verify the matching papers are referring to Spn invasiveness. Thus, we then read the </w:t>
      </w:r>
      <w:r w:rsidRPr="00DD4EF4">
        <w:rPr>
          <w:bCs/>
        </w:rPr>
        <w:lastRenderedPageBreak/>
        <w:t>Methods sections of 83 of the most recent studies (representing studies published since 1-1-2020) to ascertain if the article was using the measurement to track invasive Spn disease. We determined that 36 of the 83 papers made a total of 45 references to Spn invasiveness (some papers referred to more than one reference metric).</w:t>
      </w:r>
    </w:p>
    <w:p w:rsidR="007D0DAE" w:rsidRPr="00DD4EF4" w:rsidRDefault="007D0DAE" w:rsidP="007D0DAE">
      <w:pPr>
        <w:spacing w:line="480" w:lineRule="auto"/>
        <w:rPr>
          <w:bCs/>
        </w:rPr>
      </w:pPr>
    </w:p>
    <w:p w:rsidR="007D0DAE" w:rsidRPr="00DD4EF4" w:rsidRDefault="007D0DAE" w:rsidP="007D0DAE">
      <w:pPr>
        <w:spacing w:line="480" w:lineRule="auto"/>
        <w:rPr>
          <w:bCs/>
        </w:rPr>
      </w:pPr>
      <w:r w:rsidRPr="00DD4EF4">
        <w:rPr>
          <w:bCs/>
        </w:rPr>
        <w:t xml:space="preserve">The results indicate that invasive metrics derived from cross-sectional data (IOR, IC, and invasive C2C) are more likely to be used than invasive attack rate which is generated using longitudinal data (Table </w:t>
      </w:r>
      <w:r>
        <w:rPr>
          <w:bCs/>
        </w:rPr>
        <w:t>S3</w:t>
      </w:r>
      <w:r w:rsidRPr="00DD4EF4">
        <w:rPr>
          <w:bCs/>
        </w:rPr>
        <w:t xml:space="preserve">). Across metric types, invasive odds ratio was the most common measurement followed by invasive case-to-carrier ratio, invasive capacity, and lastly, invasive attack rate (Table </w:t>
      </w:r>
      <w:r>
        <w:rPr>
          <w:bCs/>
        </w:rPr>
        <w:t>S4</w:t>
      </w:r>
      <w:r w:rsidRPr="00DD4EF4">
        <w:rPr>
          <w:bCs/>
        </w:rPr>
        <w:t xml:space="preserve">).  </w:t>
      </w:r>
    </w:p>
    <w:p w:rsidR="007D0DAE" w:rsidRPr="00DD4EF4" w:rsidRDefault="007D0DAE" w:rsidP="007D0DAE">
      <w:pPr>
        <w:spacing w:line="480" w:lineRule="auto"/>
        <w:rPr>
          <w:bCs/>
        </w:rPr>
      </w:pPr>
    </w:p>
    <w:p w:rsidR="007D0DAE" w:rsidRPr="00DD4EF4" w:rsidRDefault="007D0DAE" w:rsidP="007D0DAE">
      <w:pPr>
        <w:spacing w:line="480" w:lineRule="auto"/>
        <w:rPr>
          <w:bCs/>
        </w:rPr>
      </w:pPr>
    </w:p>
    <w:p w:rsidR="007D0DAE" w:rsidRPr="00DD4EF4" w:rsidRDefault="007D0DAE" w:rsidP="007D0DAE">
      <w:pPr>
        <w:spacing w:line="480" w:lineRule="auto"/>
        <w:rPr>
          <w:bCs/>
        </w:rPr>
      </w:pPr>
      <w:r w:rsidRPr="00DD4EF4">
        <w:rPr>
          <w:bCs/>
        </w:rPr>
        <w:t xml:space="preserve">Table </w:t>
      </w:r>
      <w:r>
        <w:rPr>
          <w:bCs/>
        </w:rPr>
        <w:t>S3</w:t>
      </w:r>
    </w:p>
    <w:tbl>
      <w:tblPr>
        <w:tblStyle w:val="ListTable3-Accent4"/>
        <w:tblpPr w:leftFromText="180" w:rightFromText="180" w:vertAnchor="text" w:horzAnchor="margin" w:tblpY="3"/>
        <w:tblW w:w="0" w:type="auto"/>
        <w:tblLook w:val="00A0" w:firstRow="1" w:lastRow="0" w:firstColumn="1" w:lastColumn="0" w:noHBand="0" w:noVBand="0"/>
      </w:tblPr>
      <w:tblGrid>
        <w:gridCol w:w="2155"/>
        <w:gridCol w:w="1080"/>
      </w:tblGrid>
      <w:tr w:rsidR="007D0DAE" w:rsidRPr="00DD4EF4" w:rsidTr="00952FE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55" w:type="dxa"/>
          </w:tcPr>
          <w:p w:rsidR="007D0DAE" w:rsidRPr="00DD4EF4" w:rsidRDefault="007D0DAE" w:rsidP="00952FE8">
            <w:pPr>
              <w:spacing w:line="480" w:lineRule="auto"/>
            </w:pPr>
            <w:r w:rsidRPr="00DD4EF4">
              <w:t>Metric Data</w:t>
            </w:r>
          </w:p>
        </w:tc>
        <w:tc>
          <w:tcPr>
            <w:cnfStyle w:val="000010000000" w:firstRow="0" w:lastRow="0" w:firstColumn="0" w:lastColumn="0" w:oddVBand="1" w:evenVBand="0" w:oddHBand="0" w:evenHBand="0" w:firstRowFirstColumn="0" w:firstRowLastColumn="0" w:lastRowFirstColumn="0" w:lastRowLastColumn="0"/>
            <w:tcW w:w="1080" w:type="dxa"/>
          </w:tcPr>
          <w:p w:rsidR="007D0DAE" w:rsidRPr="00DD4EF4" w:rsidRDefault="007D0DAE" w:rsidP="00952FE8">
            <w:pPr>
              <w:spacing w:line="480" w:lineRule="auto"/>
            </w:pPr>
            <w:r w:rsidRPr="00DD4EF4">
              <w:t>Count</w:t>
            </w:r>
          </w:p>
        </w:tc>
      </w:tr>
      <w:tr w:rsidR="007D0DAE" w:rsidRPr="00DD4EF4" w:rsidTr="00952F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7D0DAE" w:rsidRPr="00DD4EF4" w:rsidRDefault="007D0DAE" w:rsidP="00952FE8">
            <w:pPr>
              <w:spacing w:line="480" w:lineRule="auto"/>
            </w:pPr>
            <w:r w:rsidRPr="00DD4EF4">
              <w:t>Cross-Sectional</w:t>
            </w:r>
          </w:p>
        </w:tc>
        <w:tc>
          <w:tcPr>
            <w:cnfStyle w:val="000010000000" w:firstRow="0" w:lastRow="0" w:firstColumn="0" w:lastColumn="0" w:oddVBand="1" w:evenVBand="0" w:oddHBand="0" w:evenHBand="0" w:firstRowFirstColumn="0" w:firstRowLastColumn="0" w:lastRowFirstColumn="0" w:lastRowLastColumn="0"/>
            <w:tcW w:w="1080" w:type="dxa"/>
          </w:tcPr>
          <w:p w:rsidR="007D0DAE" w:rsidRPr="00DD4EF4" w:rsidRDefault="007D0DAE" w:rsidP="00952FE8">
            <w:pPr>
              <w:spacing w:line="480" w:lineRule="auto"/>
              <w:rPr>
                <w:bCs/>
              </w:rPr>
            </w:pPr>
            <w:r w:rsidRPr="00DD4EF4">
              <w:rPr>
                <w:bCs/>
              </w:rPr>
              <w:t>37</w:t>
            </w:r>
          </w:p>
        </w:tc>
      </w:tr>
      <w:tr w:rsidR="007D0DAE" w:rsidRPr="00DD4EF4" w:rsidTr="00952FE8">
        <w:tc>
          <w:tcPr>
            <w:cnfStyle w:val="001000000000" w:firstRow="0" w:lastRow="0" w:firstColumn="1" w:lastColumn="0" w:oddVBand="0" w:evenVBand="0" w:oddHBand="0" w:evenHBand="0" w:firstRowFirstColumn="0" w:firstRowLastColumn="0" w:lastRowFirstColumn="0" w:lastRowLastColumn="0"/>
            <w:tcW w:w="2155" w:type="dxa"/>
          </w:tcPr>
          <w:p w:rsidR="007D0DAE" w:rsidRPr="00DD4EF4" w:rsidRDefault="007D0DAE" w:rsidP="00952FE8">
            <w:pPr>
              <w:spacing w:line="480" w:lineRule="auto"/>
            </w:pPr>
            <w:r w:rsidRPr="00DD4EF4">
              <w:t>Longitudinal</w:t>
            </w:r>
          </w:p>
        </w:tc>
        <w:tc>
          <w:tcPr>
            <w:cnfStyle w:val="000010000000" w:firstRow="0" w:lastRow="0" w:firstColumn="0" w:lastColumn="0" w:oddVBand="1" w:evenVBand="0" w:oddHBand="0" w:evenHBand="0" w:firstRowFirstColumn="0" w:firstRowLastColumn="0" w:lastRowFirstColumn="0" w:lastRowLastColumn="0"/>
            <w:tcW w:w="1080" w:type="dxa"/>
          </w:tcPr>
          <w:p w:rsidR="007D0DAE" w:rsidRPr="00DD4EF4" w:rsidRDefault="007D0DAE" w:rsidP="00952FE8">
            <w:pPr>
              <w:spacing w:line="480" w:lineRule="auto"/>
              <w:rPr>
                <w:bCs/>
              </w:rPr>
            </w:pPr>
            <w:r w:rsidRPr="00DD4EF4">
              <w:rPr>
                <w:bCs/>
              </w:rPr>
              <w:t>8</w:t>
            </w:r>
          </w:p>
        </w:tc>
      </w:tr>
    </w:tbl>
    <w:p w:rsidR="007D0DAE" w:rsidRPr="00DD4EF4" w:rsidRDefault="007D0DAE" w:rsidP="007D0DAE">
      <w:pPr>
        <w:spacing w:line="480" w:lineRule="auto"/>
        <w:rPr>
          <w:bCs/>
        </w:rPr>
      </w:pPr>
    </w:p>
    <w:p w:rsidR="007D0DAE" w:rsidRPr="00DD4EF4" w:rsidRDefault="007D0DAE" w:rsidP="007D0DAE">
      <w:pPr>
        <w:spacing w:line="480" w:lineRule="auto"/>
        <w:rPr>
          <w:bCs/>
        </w:rPr>
      </w:pPr>
    </w:p>
    <w:p w:rsidR="007D0DAE" w:rsidRPr="00DD4EF4" w:rsidRDefault="007D0DAE" w:rsidP="007D0DAE">
      <w:pPr>
        <w:spacing w:line="480" w:lineRule="auto"/>
        <w:rPr>
          <w:bCs/>
        </w:rPr>
      </w:pPr>
    </w:p>
    <w:p w:rsidR="007D0DAE" w:rsidRPr="00DD4EF4" w:rsidRDefault="007D0DAE" w:rsidP="007D0DAE">
      <w:pPr>
        <w:spacing w:line="480" w:lineRule="auto"/>
        <w:rPr>
          <w:bCs/>
        </w:rPr>
      </w:pPr>
    </w:p>
    <w:p w:rsidR="007D0DAE" w:rsidRPr="00DD4EF4" w:rsidRDefault="007D0DAE" w:rsidP="007D0DAE">
      <w:pPr>
        <w:spacing w:line="480" w:lineRule="auto"/>
        <w:rPr>
          <w:bCs/>
        </w:rPr>
      </w:pPr>
    </w:p>
    <w:p w:rsidR="007D0DAE" w:rsidRPr="00DD4EF4" w:rsidRDefault="007D0DAE" w:rsidP="007D0DAE">
      <w:pPr>
        <w:spacing w:line="480" w:lineRule="auto"/>
        <w:rPr>
          <w:bCs/>
        </w:rPr>
      </w:pPr>
      <w:r w:rsidRPr="00DD4EF4">
        <w:rPr>
          <w:bCs/>
        </w:rPr>
        <w:t xml:space="preserve">Table </w:t>
      </w:r>
      <w:r>
        <w:rPr>
          <w:bCs/>
        </w:rPr>
        <w:t>S4</w:t>
      </w:r>
    </w:p>
    <w:tbl>
      <w:tblPr>
        <w:tblStyle w:val="ListTable3-Accent1"/>
        <w:tblW w:w="0" w:type="auto"/>
        <w:tblLook w:val="00A0" w:firstRow="1" w:lastRow="0" w:firstColumn="1" w:lastColumn="0" w:noHBand="0" w:noVBand="0"/>
      </w:tblPr>
      <w:tblGrid>
        <w:gridCol w:w="2155"/>
        <w:gridCol w:w="1080"/>
      </w:tblGrid>
      <w:tr w:rsidR="007D0DAE" w:rsidRPr="00DD4EF4" w:rsidTr="00952FE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55" w:type="dxa"/>
          </w:tcPr>
          <w:p w:rsidR="007D0DAE" w:rsidRPr="00DD4EF4" w:rsidRDefault="007D0DAE" w:rsidP="00952FE8">
            <w:pPr>
              <w:spacing w:line="480" w:lineRule="auto"/>
            </w:pPr>
            <w:r w:rsidRPr="00DD4EF4">
              <w:t>Metric Type</w:t>
            </w:r>
          </w:p>
        </w:tc>
        <w:tc>
          <w:tcPr>
            <w:cnfStyle w:val="000010000000" w:firstRow="0" w:lastRow="0" w:firstColumn="0" w:lastColumn="0" w:oddVBand="1" w:evenVBand="0" w:oddHBand="0" w:evenHBand="0" w:firstRowFirstColumn="0" w:firstRowLastColumn="0" w:lastRowFirstColumn="0" w:lastRowLastColumn="0"/>
            <w:tcW w:w="1080" w:type="dxa"/>
          </w:tcPr>
          <w:p w:rsidR="007D0DAE" w:rsidRPr="00DD4EF4" w:rsidRDefault="007D0DAE" w:rsidP="00952FE8">
            <w:pPr>
              <w:spacing w:line="480" w:lineRule="auto"/>
            </w:pPr>
            <w:r w:rsidRPr="00DD4EF4">
              <w:t>Count</w:t>
            </w:r>
          </w:p>
        </w:tc>
      </w:tr>
      <w:tr w:rsidR="007D0DAE" w:rsidRPr="00DD4EF4" w:rsidTr="00952F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7D0DAE" w:rsidRPr="00DD4EF4" w:rsidRDefault="007D0DAE" w:rsidP="00952FE8">
            <w:pPr>
              <w:spacing w:line="480" w:lineRule="auto"/>
            </w:pPr>
            <w:r w:rsidRPr="00DD4EF4">
              <w:t>IOR</w:t>
            </w:r>
          </w:p>
        </w:tc>
        <w:tc>
          <w:tcPr>
            <w:cnfStyle w:val="000010000000" w:firstRow="0" w:lastRow="0" w:firstColumn="0" w:lastColumn="0" w:oddVBand="1" w:evenVBand="0" w:oddHBand="0" w:evenHBand="0" w:firstRowFirstColumn="0" w:firstRowLastColumn="0" w:lastRowFirstColumn="0" w:lastRowLastColumn="0"/>
            <w:tcW w:w="1080" w:type="dxa"/>
          </w:tcPr>
          <w:p w:rsidR="007D0DAE" w:rsidRPr="00DD4EF4" w:rsidRDefault="007D0DAE" w:rsidP="00952FE8">
            <w:pPr>
              <w:spacing w:line="480" w:lineRule="auto"/>
              <w:rPr>
                <w:bCs/>
              </w:rPr>
            </w:pPr>
            <w:r w:rsidRPr="00DD4EF4">
              <w:rPr>
                <w:bCs/>
              </w:rPr>
              <w:t>18</w:t>
            </w:r>
          </w:p>
        </w:tc>
      </w:tr>
      <w:tr w:rsidR="007D0DAE" w:rsidRPr="00DD4EF4" w:rsidTr="00952FE8">
        <w:tc>
          <w:tcPr>
            <w:cnfStyle w:val="001000000000" w:firstRow="0" w:lastRow="0" w:firstColumn="1" w:lastColumn="0" w:oddVBand="0" w:evenVBand="0" w:oddHBand="0" w:evenHBand="0" w:firstRowFirstColumn="0" w:firstRowLastColumn="0" w:lastRowFirstColumn="0" w:lastRowLastColumn="0"/>
            <w:tcW w:w="2155" w:type="dxa"/>
          </w:tcPr>
          <w:p w:rsidR="007D0DAE" w:rsidRPr="00DD4EF4" w:rsidRDefault="007D0DAE" w:rsidP="00952FE8">
            <w:pPr>
              <w:spacing w:line="480" w:lineRule="auto"/>
            </w:pPr>
            <w:r w:rsidRPr="00DD4EF4">
              <w:t>Invasive C2C</w:t>
            </w:r>
          </w:p>
        </w:tc>
        <w:tc>
          <w:tcPr>
            <w:cnfStyle w:val="000010000000" w:firstRow="0" w:lastRow="0" w:firstColumn="0" w:lastColumn="0" w:oddVBand="1" w:evenVBand="0" w:oddHBand="0" w:evenHBand="0" w:firstRowFirstColumn="0" w:firstRowLastColumn="0" w:lastRowFirstColumn="0" w:lastRowLastColumn="0"/>
            <w:tcW w:w="1080" w:type="dxa"/>
          </w:tcPr>
          <w:p w:rsidR="007D0DAE" w:rsidRPr="00DD4EF4" w:rsidRDefault="007D0DAE" w:rsidP="00952FE8">
            <w:pPr>
              <w:spacing w:line="480" w:lineRule="auto"/>
              <w:rPr>
                <w:bCs/>
              </w:rPr>
            </w:pPr>
            <w:r w:rsidRPr="00DD4EF4">
              <w:rPr>
                <w:bCs/>
              </w:rPr>
              <w:t>10</w:t>
            </w:r>
          </w:p>
        </w:tc>
      </w:tr>
      <w:tr w:rsidR="007D0DAE" w:rsidRPr="00DD4EF4" w:rsidTr="00952F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7D0DAE" w:rsidRPr="00DD4EF4" w:rsidRDefault="007D0DAE" w:rsidP="00952FE8">
            <w:pPr>
              <w:spacing w:line="480" w:lineRule="auto"/>
            </w:pPr>
            <w:r w:rsidRPr="00DD4EF4">
              <w:t>IC</w:t>
            </w:r>
          </w:p>
        </w:tc>
        <w:tc>
          <w:tcPr>
            <w:cnfStyle w:val="000010000000" w:firstRow="0" w:lastRow="0" w:firstColumn="0" w:lastColumn="0" w:oddVBand="1" w:evenVBand="0" w:oddHBand="0" w:evenHBand="0" w:firstRowFirstColumn="0" w:firstRowLastColumn="0" w:lastRowFirstColumn="0" w:lastRowLastColumn="0"/>
            <w:tcW w:w="1080" w:type="dxa"/>
          </w:tcPr>
          <w:p w:rsidR="007D0DAE" w:rsidRPr="00DD4EF4" w:rsidRDefault="007D0DAE" w:rsidP="00952FE8">
            <w:pPr>
              <w:spacing w:line="480" w:lineRule="auto"/>
              <w:rPr>
                <w:bCs/>
              </w:rPr>
            </w:pPr>
            <w:r w:rsidRPr="00DD4EF4">
              <w:rPr>
                <w:bCs/>
              </w:rPr>
              <w:t>9</w:t>
            </w:r>
          </w:p>
        </w:tc>
      </w:tr>
      <w:tr w:rsidR="007D0DAE" w:rsidRPr="00DD4EF4" w:rsidTr="00952FE8">
        <w:tc>
          <w:tcPr>
            <w:cnfStyle w:val="001000000000" w:firstRow="0" w:lastRow="0" w:firstColumn="1" w:lastColumn="0" w:oddVBand="0" w:evenVBand="0" w:oddHBand="0" w:evenHBand="0" w:firstRowFirstColumn="0" w:firstRowLastColumn="0" w:lastRowFirstColumn="0" w:lastRowLastColumn="0"/>
            <w:tcW w:w="2155" w:type="dxa"/>
          </w:tcPr>
          <w:p w:rsidR="007D0DAE" w:rsidRPr="00DD4EF4" w:rsidRDefault="007D0DAE" w:rsidP="00952FE8">
            <w:pPr>
              <w:spacing w:line="480" w:lineRule="auto"/>
            </w:pPr>
            <w:r w:rsidRPr="00DD4EF4">
              <w:lastRenderedPageBreak/>
              <w:t>IAR</w:t>
            </w:r>
          </w:p>
        </w:tc>
        <w:tc>
          <w:tcPr>
            <w:cnfStyle w:val="000010000000" w:firstRow="0" w:lastRow="0" w:firstColumn="0" w:lastColumn="0" w:oddVBand="1" w:evenVBand="0" w:oddHBand="0" w:evenHBand="0" w:firstRowFirstColumn="0" w:firstRowLastColumn="0" w:lastRowFirstColumn="0" w:lastRowLastColumn="0"/>
            <w:tcW w:w="1080" w:type="dxa"/>
          </w:tcPr>
          <w:p w:rsidR="007D0DAE" w:rsidRPr="00DD4EF4" w:rsidRDefault="007D0DAE" w:rsidP="00952FE8">
            <w:pPr>
              <w:spacing w:line="480" w:lineRule="auto"/>
              <w:rPr>
                <w:bCs/>
              </w:rPr>
            </w:pPr>
            <w:r w:rsidRPr="00DD4EF4">
              <w:rPr>
                <w:bCs/>
              </w:rPr>
              <w:t>8</w:t>
            </w:r>
          </w:p>
        </w:tc>
      </w:tr>
    </w:tbl>
    <w:p w:rsidR="007D0DAE" w:rsidRPr="004356D1" w:rsidRDefault="007D0DAE" w:rsidP="007D0DAE">
      <w:pPr>
        <w:spacing w:line="480" w:lineRule="auto"/>
        <w:rPr>
          <w:bCs/>
        </w:rPr>
      </w:pPr>
    </w:p>
    <w:p w:rsidR="007D0DAE" w:rsidRPr="004356D1" w:rsidRDefault="007D0DAE" w:rsidP="007D0DAE">
      <w:pPr>
        <w:spacing w:line="480" w:lineRule="auto"/>
        <w:rPr>
          <w:bCs/>
        </w:rPr>
      </w:pPr>
    </w:p>
    <w:p w:rsidR="007D0DAE" w:rsidRPr="004356D1" w:rsidRDefault="007D0DAE" w:rsidP="007D0DAE">
      <w:pPr>
        <w:spacing w:line="480" w:lineRule="auto"/>
        <w:rPr>
          <w:bCs/>
        </w:rPr>
      </w:pPr>
      <w:r w:rsidRPr="004356D1">
        <w:rPr>
          <w:b/>
          <w:bCs/>
        </w:rPr>
        <w:t>Fig. S1.</w:t>
      </w:r>
    </w:p>
    <w:p w:rsidR="007D0DAE" w:rsidRPr="004356D1" w:rsidRDefault="007D0DAE" w:rsidP="007D0DAE">
      <w:pPr>
        <w:spacing w:line="480" w:lineRule="auto"/>
        <w:rPr>
          <w:b/>
          <w:bCs/>
        </w:rPr>
      </w:pPr>
      <w:r w:rsidRPr="004356D1">
        <w:rPr>
          <w:b/>
          <w:bCs/>
          <w:noProof/>
        </w:rPr>
        <w:drawing>
          <wp:inline distT="0" distB="0" distL="0" distR="0" wp14:anchorId="62A2503C" wp14:editId="07ECEA56">
            <wp:extent cx="5943600" cy="3864610"/>
            <wp:effectExtent l="0" t="0" r="0" b="0"/>
            <wp:docPr id="7" name="Picture 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10;&#10;Description automatically generated"/>
                    <pic:cNvPicPr/>
                  </pic:nvPicPr>
                  <pic:blipFill>
                    <a:blip r:embed="rId7"/>
                    <a:stretch>
                      <a:fillRect/>
                    </a:stretch>
                  </pic:blipFill>
                  <pic:spPr>
                    <a:xfrm>
                      <a:off x="0" y="0"/>
                      <a:ext cx="5943600" cy="3864610"/>
                    </a:xfrm>
                    <a:prstGeom prst="rect">
                      <a:avLst/>
                    </a:prstGeom>
                  </pic:spPr>
                </pic:pic>
              </a:graphicData>
            </a:graphic>
          </wp:inline>
        </w:drawing>
      </w:r>
    </w:p>
    <w:p w:rsidR="007D0DAE" w:rsidRDefault="007D0DAE" w:rsidP="007D0DAE">
      <w:r w:rsidRPr="004356D1">
        <w:rPr>
          <w:i/>
          <w:iCs/>
          <w:lang w:val="it-IT"/>
        </w:rPr>
        <w:t>Figure S1</w:t>
      </w:r>
      <w:r w:rsidRPr="004356D1">
        <w:t xml:space="preserve">. Plot of the fitted model of carriage prevalence against invasive OR showing an inverse correlation that matches the negative correlation observed in the cross-sectional data described in Brueggemann </w:t>
      </w:r>
      <w:r w:rsidRPr="004356D1">
        <w:rPr>
          <w:i/>
          <w:iCs/>
        </w:rPr>
        <w:t>et al.</w:t>
      </w:r>
      <w:r w:rsidRPr="004356D1">
        <w:t xml:space="preserve"> The parameter </w:t>
      </w:r>
      <m:oMath>
        <m:sSub>
          <m:sSubPr>
            <m:ctrlPr>
              <w:rPr>
                <w:rFonts w:ascii="Cambria Math" w:hAnsi="Cambria Math"/>
              </w:rPr>
            </m:ctrlPr>
          </m:sSubPr>
          <m:e>
            <m:r>
              <m:rPr>
                <m:sty m:val="b"/>
              </m:rPr>
              <w:rPr>
                <w:rFonts w:ascii="Cambria Math" w:hAnsi="Cambria Math"/>
              </w:rPr>
              <m:t>τ</m:t>
            </m:r>
          </m:e>
          <m:sub>
            <m:r>
              <m:rPr>
                <m:sty m:val="bi"/>
              </m:rPr>
              <w:rPr>
                <w:rFonts w:ascii="Cambria Math" w:hAnsi="Cambria Math"/>
              </w:rPr>
              <m:t>0</m:t>
            </m:r>
          </m:sub>
        </m:sSub>
      </m:oMath>
      <w:r w:rsidRPr="004356D1">
        <w:t xml:space="preserve"> is set to 14 weeks.</w:t>
      </w:r>
    </w:p>
    <w:p w:rsidR="007D0DAE" w:rsidRPr="004356D1" w:rsidRDefault="007D0DAE" w:rsidP="007D0DAE">
      <w:pPr>
        <w:spacing w:line="480" w:lineRule="auto"/>
      </w:pPr>
    </w:p>
    <w:p w:rsidR="007D0DAE" w:rsidRPr="004356D1" w:rsidRDefault="007D0DAE" w:rsidP="007D0DAE">
      <w:pPr>
        <w:spacing w:line="480" w:lineRule="auto"/>
        <w:rPr>
          <w:bCs/>
        </w:rPr>
      </w:pPr>
      <w:r w:rsidRPr="004356D1">
        <w:rPr>
          <w:b/>
          <w:bCs/>
        </w:rPr>
        <w:t>Fig. S2.</w:t>
      </w:r>
    </w:p>
    <w:p w:rsidR="007D0DAE" w:rsidRPr="004356D1" w:rsidRDefault="007D0DAE" w:rsidP="007D0DAE">
      <w:pPr>
        <w:spacing w:line="480" w:lineRule="auto"/>
        <w:rPr>
          <w:b/>
          <w:bCs/>
        </w:rPr>
      </w:pPr>
      <w:r w:rsidRPr="004356D1">
        <w:rPr>
          <w:b/>
          <w:bCs/>
          <w:noProof/>
        </w:rPr>
        <w:lastRenderedPageBreak/>
        <w:drawing>
          <wp:inline distT="0" distB="0" distL="0" distR="0" wp14:anchorId="26E6A53C" wp14:editId="795DA6EA">
            <wp:extent cx="5993130" cy="3372523"/>
            <wp:effectExtent l="0" t="0" r="1270" b="5715"/>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26212" cy="3391139"/>
                    </a:xfrm>
                    <a:prstGeom prst="rect">
                      <a:avLst/>
                    </a:prstGeom>
                  </pic:spPr>
                </pic:pic>
              </a:graphicData>
            </a:graphic>
          </wp:inline>
        </w:drawing>
      </w:r>
    </w:p>
    <w:p w:rsidR="007D0DAE" w:rsidRPr="004356D1" w:rsidRDefault="007D0DAE" w:rsidP="007D0DAE">
      <w:r w:rsidRPr="004356D1">
        <w:rPr>
          <w:i/>
          <w:iCs/>
        </w:rPr>
        <w:t>Figure S2</w:t>
      </w:r>
      <w:r w:rsidRPr="004356D1">
        <w:t>. Schematic diagram of the 2-stage carriage epidemiological model. Boxes represent proportions of hosts in mutually exclusive states: susceptible (</w:t>
      </w:r>
      <w:r w:rsidRPr="004356D1">
        <w:rPr>
          <w:i/>
          <w:iCs/>
        </w:rPr>
        <w:t>S</w:t>
      </w:r>
      <w:r w:rsidRPr="004356D1">
        <w:t>), infected asymptomatic carriers (</w:t>
      </w:r>
      <w:r w:rsidRPr="004356D1">
        <w:rPr>
          <w:i/>
          <w:iCs/>
        </w:rPr>
        <w:t>C1</w:t>
      </w:r>
      <w:r w:rsidRPr="004356D1">
        <w:t xml:space="preserve"> and </w:t>
      </w:r>
      <w:r w:rsidRPr="004356D1">
        <w:rPr>
          <w:i/>
          <w:iCs/>
        </w:rPr>
        <w:t>C2</w:t>
      </w:r>
      <w:r w:rsidRPr="004356D1">
        <w:t>), invasive (</w:t>
      </w:r>
      <w:r w:rsidRPr="004356D1">
        <w:rPr>
          <w:i/>
          <w:iCs/>
        </w:rPr>
        <w:t>I</w:t>
      </w:r>
      <w:r w:rsidRPr="004356D1">
        <w:t>) or recovered and immune (</w:t>
      </w:r>
      <w:r w:rsidRPr="004356D1">
        <w:rPr>
          <w:i/>
          <w:iCs/>
        </w:rPr>
        <w:t>R</w:t>
      </w:r>
      <w:r w:rsidRPr="004356D1">
        <w:t xml:space="preserve">).  Solid arrows represent flows of individuals between states, and dashed arrows represent factors influencing those flows. Note there are two paths from </w:t>
      </w:r>
      <w:r w:rsidRPr="004356D1">
        <w:rPr>
          <w:i/>
          <w:iCs/>
        </w:rPr>
        <w:t>S</w:t>
      </w:r>
      <w:r w:rsidRPr="004356D1">
        <w:t xml:space="preserve"> to </w:t>
      </w:r>
      <w:r w:rsidRPr="004356D1">
        <w:rPr>
          <w:i/>
          <w:iCs/>
        </w:rPr>
        <w:t>I</w:t>
      </w:r>
      <w:r w:rsidRPr="004356D1">
        <w:t xml:space="preserve">, a direct path governed by the probability of initial invasion </w:t>
      </w:r>
      <w:r w:rsidRPr="004356D1">
        <w:rPr>
          <w:i/>
          <w:iCs/>
        </w:rPr>
        <w:t>p</w:t>
      </w:r>
      <w:r w:rsidRPr="004356D1">
        <w:t xml:space="preserve">, and an indirect path governed by </w:t>
      </w:r>
      <w:r w:rsidRPr="004356D1">
        <w:rPr>
          <w:i/>
          <w:iCs/>
        </w:rPr>
        <w:t>p</w:t>
      </w:r>
      <w:r w:rsidRPr="004356D1">
        <w:t xml:space="preserve"> and by the rate </w:t>
      </w:r>
      <w:r w:rsidRPr="004356D1">
        <w:rPr>
          <w:i/>
          <w:iCs/>
        </w:rPr>
        <w:t>d</w:t>
      </w:r>
      <w:r w:rsidRPr="004356D1">
        <w:t xml:space="preserve"> of invasive disease progression from either of the 2 carriage states.</w:t>
      </w:r>
    </w:p>
    <w:p w:rsidR="007D0DAE" w:rsidRPr="004356D1" w:rsidRDefault="007D0DAE" w:rsidP="007D0DAE">
      <w:pPr>
        <w:spacing w:line="480" w:lineRule="auto"/>
        <w:rPr>
          <w:b/>
          <w:bCs/>
        </w:rPr>
      </w:pPr>
    </w:p>
    <w:p w:rsidR="007D0DAE" w:rsidRPr="004356D1" w:rsidRDefault="007D0DAE" w:rsidP="007D0DAE">
      <w:pPr>
        <w:spacing w:line="480" w:lineRule="auto"/>
      </w:pPr>
    </w:p>
    <w:p w:rsidR="007D0DAE" w:rsidRPr="004356D1" w:rsidRDefault="007D0DAE" w:rsidP="007D0DAE">
      <w:pPr>
        <w:spacing w:line="480" w:lineRule="auto"/>
      </w:pPr>
    </w:p>
    <w:p w:rsidR="007D0DAE" w:rsidRDefault="007D0DAE" w:rsidP="007D0DAE">
      <w:pPr>
        <w:spacing w:line="480" w:lineRule="auto"/>
      </w:pPr>
    </w:p>
    <w:p w:rsidR="007D0DAE" w:rsidRDefault="007D0DAE" w:rsidP="007D0DAE">
      <w:pPr>
        <w:spacing w:line="480" w:lineRule="auto"/>
      </w:pPr>
    </w:p>
    <w:p w:rsidR="007D0DAE" w:rsidRDefault="007D0DAE" w:rsidP="007D0DAE">
      <w:pPr>
        <w:spacing w:line="480" w:lineRule="auto"/>
      </w:pPr>
    </w:p>
    <w:p w:rsidR="007D0DAE" w:rsidRDefault="007D0DAE" w:rsidP="007D0DAE">
      <w:pPr>
        <w:spacing w:line="480" w:lineRule="auto"/>
      </w:pPr>
    </w:p>
    <w:p w:rsidR="007D0DAE" w:rsidRDefault="007D0DAE" w:rsidP="007D0DAE">
      <w:pPr>
        <w:spacing w:line="480" w:lineRule="auto"/>
      </w:pPr>
    </w:p>
    <w:p w:rsidR="007D0DAE" w:rsidRPr="004356D1" w:rsidRDefault="007D0DAE" w:rsidP="007D0DAE">
      <w:pPr>
        <w:spacing w:line="480" w:lineRule="auto"/>
      </w:pPr>
    </w:p>
    <w:p w:rsidR="007D0DAE" w:rsidRPr="004356D1" w:rsidRDefault="007D0DAE" w:rsidP="007D0DAE">
      <w:pPr>
        <w:spacing w:line="480" w:lineRule="auto"/>
        <w:rPr>
          <w:bCs/>
        </w:rPr>
      </w:pPr>
      <w:r w:rsidRPr="004356D1">
        <w:rPr>
          <w:b/>
          <w:bCs/>
        </w:rPr>
        <w:t xml:space="preserve">Table S1. </w:t>
      </w:r>
      <w:r w:rsidRPr="004356D1">
        <w:t>Dataset used to fit the epidemiological compartmental model</w:t>
      </w:r>
    </w:p>
    <w:tbl>
      <w:tblPr>
        <w:tblStyle w:val="TableGrid"/>
        <w:tblW w:w="10108" w:type="dxa"/>
        <w:tblLook w:val="04A0" w:firstRow="1" w:lastRow="0" w:firstColumn="1" w:lastColumn="0" w:noHBand="0" w:noVBand="1"/>
      </w:tblPr>
      <w:tblGrid>
        <w:gridCol w:w="1391"/>
        <w:gridCol w:w="1614"/>
        <w:gridCol w:w="1476"/>
        <w:gridCol w:w="1401"/>
        <w:gridCol w:w="1422"/>
        <w:gridCol w:w="1407"/>
        <w:gridCol w:w="1397"/>
      </w:tblGrid>
      <w:tr w:rsidR="007D0DAE" w:rsidRPr="004356D1" w:rsidTr="00952FE8">
        <w:trPr>
          <w:trHeight w:val="969"/>
        </w:trPr>
        <w:tc>
          <w:tcPr>
            <w:tcW w:w="1405" w:type="dxa"/>
            <w:shd w:val="clear" w:color="auto" w:fill="auto"/>
            <w:vAlign w:val="center"/>
          </w:tcPr>
          <w:p w:rsidR="007D0DAE" w:rsidRPr="004356D1" w:rsidRDefault="007D0DAE" w:rsidP="00952FE8">
            <w:pPr>
              <w:spacing w:line="480" w:lineRule="auto"/>
              <w:rPr>
                <w:b/>
                <w:bCs/>
              </w:rPr>
            </w:pPr>
          </w:p>
        </w:tc>
        <w:tc>
          <w:tcPr>
            <w:tcW w:w="3023" w:type="dxa"/>
            <w:gridSpan w:val="2"/>
            <w:shd w:val="clear" w:color="auto" w:fill="auto"/>
            <w:vAlign w:val="center"/>
          </w:tcPr>
          <w:p w:rsidR="007D0DAE" w:rsidRPr="004356D1" w:rsidRDefault="007D0DAE" w:rsidP="00952FE8">
            <w:pPr>
              <w:spacing w:line="480" w:lineRule="auto"/>
              <w:rPr>
                <w:b/>
                <w:bCs/>
              </w:rPr>
            </w:pPr>
            <w:r w:rsidRPr="004356D1">
              <w:rPr>
                <w:b/>
                <w:bCs/>
              </w:rPr>
              <w:t xml:space="preserve">CROSS SECTIONAL DATA </w:t>
            </w:r>
          </w:p>
        </w:tc>
        <w:tc>
          <w:tcPr>
            <w:tcW w:w="5680" w:type="dxa"/>
            <w:gridSpan w:val="4"/>
            <w:vAlign w:val="center"/>
          </w:tcPr>
          <w:p w:rsidR="007D0DAE" w:rsidRPr="004356D1" w:rsidRDefault="007D0DAE" w:rsidP="00952FE8">
            <w:pPr>
              <w:spacing w:line="480" w:lineRule="auto"/>
              <w:rPr>
                <w:b/>
                <w:bCs/>
              </w:rPr>
            </w:pPr>
            <w:r w:rsidRPr="004356D1">
              <w:rPr>
                <w:b/>
                <w:bCs/>
              </w:rPr>
              <w:t>LONGITUDINAL</w:t>
            </w:r>
          </w:p>
          <w:p w:rsidR="007D0DAE" w:rsidRPr="004356D1" w:rsidRDefault="007D0DAE" w:rsidP="00952FE8">
            <w:pPr>
              <w:spacing w:line="480" w:lineRule="auto"/>
              <w:rPr>
                <w:b/>
                <w:bCs/>
              </w:rPr>
            </w:pPr>
            <w:r w:rsidRPr="004356D1">
              <w:rPr>
                <w:b/>
                <w:bCs/>
              </w:rPr>
              <w:t>DATA</w:t>
            </w:r>
          </w:p>
        </w:tc>
      </w:tr>
      <w:tr w:rsidR="007D0DAE" w:rsidRPr="004356D1" w:rsidTr="00952FE8">
        <w:trPr>
          <w:trHeight w:val="969"/>
        </w:trPr>
        <w:tc>
          <w:tcPr>
            <w:tcW w:w="1405" w:type="dxa"/>
            <w:shd w:val="clear" w:color="auto" w:fill="auto"/>
            <w:vAlign w:val="center"/>
          </w:tcPr>
          <w:p w:rsidR="007D0DAE" w:rsidRPr="004356D1" w:rsidRDefault="007D0DAE" w:rsidP="00952FE8">
            <w:pPr>
              <w:spacing w:line="480" w:lineRule="auto"/>
              <w:rPr>
                <w:b/>
                <w:bCs/>
              </w:rPr>
            </w:pPr>
            <w:r w:rsidRPr="004356D1">
              <w:rPr>
                <w:b/>
                <w:bCs/>
              </w:rPr>
              <w:t>Serotype</w:t>
            </w:r>
          </w:p>
        </w:tc>
        <w:tc>
          <w:tcPr>
            <w:tcW w:w="1621" w:type="dxa"/>
            <w:shd w:val="clear" w:color="auto" w:fill="auto"/>
            <w:vAlign w:val="center"/>
          </w:tcPr>
          <w:p w:rsidR="007D0DAE" w:rsidRPr="004356D1" w:rsidRDefault="007D0DAE" w:rsidP="00952FE8">
            <w:pPr>
              <w:spacing w:line="480" w:lineRule="auto"/>
              <w:rPr>
                <w:b/>
                <w:bCs/>
              </w:rPr>
            </w:pPr>
            <w:r w:rsidRPr="004356D1">
              <w:rPr>
                <w:b/>
                <w:bCs/>
              </w:rPr>
              <w:t>Carriage Prevalence (%)</w:t>
            </w:r>
          </w:p>
        </w:tc>
        <w:tc>
          <w:tcPr>
            <w:tcW w:w="1402" w:type="dxa"/>
            <w:vAlign w:val="center"/>
          </w:tcPr>
          <w:p w:rsidR="007D0DAE" w:rsidRPr="004356D1" w:rsidRDefault="007D0DAE" w:rsidP="00952FE8">
            <w:pPr>
              <w:spacing w:line="480" w:lineRule="auto"/>
              <w:rPr>
                <w:b/>
                <w:bCs/>
              </w:rPr>
            </w:pPr>
            <w:r w:rsidRPr="004356D1">
              <w:rPr>
                <w:b/>
                <w:bCs/>
              </w:rPr>
              <w:t>Invasive Odds Ratio</w:t>
            </w:r>
          </w:p>
        </w:tc>
        <w:tc>
          <w:tcPr>
            <w:tcW w:w="1402" w:type="dxa"/>
            <w:shd w:val="clear" w:color="auto" w:fill="auto"/>
            <w:vAlign w:val="center"/>
          </w:tcPr>
          <w:p w:rsidR="007D0DAE" w:rsidRPr="004356D1" w:rsidRDefault="007D0DAE" w:rsidP="00952FE8">
            <w:pPr>
              <w:spacing w:line="480" w:lineRule="auto"/>
              <w:rPr>
                <w:b/>
                <w:bCs/>
              </w:rPr>
            </w:pPr>
            <w:r w:rsidRPr="004356D1">
              <w:rPr>
                <w:b/>
                <w:bCs/>
              </w:rPr>
              <w:t>Carriage Acquisition Incidence</w:t>
            </w:r>
          </w:p>
        </w:tc>
        <w:tc>
          <w:tcPr>
            <w:tcW w:w="1434" w:type="dxa"/>
            <w:vAlign w:val="center"/>
          </w:tcPr>
          <w:p w:rsidR="007D0DAE" w:rsidRPr="004356D1" w:rsidRDefault="007D0DAE" w:rsidP="00952FE8">
            <w:pPr>
              <w:spacing w:line="480" w:lineRule="auto"/>
              <w:rPr>
                <w:b/>
                <w:bCs/>
              </w:rPr>
            </w:pPr>
            <w:r w:rsidRPr="004356D1">
              <w:rPr>
                <w:b/>
                <w:bCs/>
              </w:rPr>
              <w:t>Invasive Incidence</w:t>
            </w:r>
          </w:p>
        </w:tc>
        <w:tc>
          <w:tcPr>
            <w:tcW w:w="1434" w:type="dxa"/>
            <w:shd w:val="clear" w:color="auto" w:fill="auto"/>
            <w:vAlign w:val="center"/>
          </w:tcPr>
          <w:p w:rsidR="007D0DAE" w:rsidRPr="004356D1" w:rsidRDefault="007D0DAE" w:rsidP="00952FE8">
            <w:pPr>
              <w:spacing w:line="480" w:lineRule="auto"/>
              <w:rPr>
                <w:b/>
                <w:bCs/>
              </w:rPr>
            </w:pPr>
            <w:r w:rsidRPr="004356D1">
              <w:rPr>
                <w:b/>
                <w:bCs/>
              </w:rPr>
              <w:t>Attack Rate</w:t>
            </w:r>
          </w:p>
        </w:tc>
        <w:tc>
          <w:tcPr>
            <w:tcW w:w="1409" w:type="dxa"/>
            <w:shd w:val="clear" w:color="auto" w:fill="auto"/>
            <w:vAlign w:val="center"/>
          </w:tcPr>
          <w:p w:rsidR="007D0DAE" w:rsidRDefault="007D0DAE" w:rsidP="00952FE8">
            <w:pPr>
              <w:spacing w:line="480" w:lineRule="auto"/>
              <w:rPr>
                <w:b/>
                <w:bCs/>
              </w:rPr>
            </w:pPr>
            <w:r w:rsidRPr="004356D1">
              <w:rPr>
                <w:b/>
                <w:bCs/>
              </w:rPr>
              <w:t>Carriage Duration</w:t>
            </w:r>
          </w:p>
          <w:p w:rsidR="007D0DAE" w:rsidRPr="004356D1" w:rsidRDefault="007D0DAE" w:rsidP="00952FE8">
            <w:pPr>
              <w:spacing w:line="480" w:lineRule="auto"/>
              <w:rPr>
                <w:b/>
                <w:bCs/>
              </w:rPr>
            </w:pPr>
            <w:r>
              <w:rPr>
                <w:b/>
                <w:bCs/>
              </w:rPr>
              <w:t>(Weeks)</w:t>
            </w:r>
          </w:p>
        </w:tc>
      </w:tr>
      <w:tr w:rsidR="007D0DAE" w:rsidRPr="004356D1" w:rsidTr="00952FE8">
        <w:trPr>
          <w:trHeight w:val="484"/>
        </w:trPr>
        <w:tc>
          <w:tcPr>
            <w:tcW w:w="1405" w:type="dxa"/>
            <w:shd w:val="clear" w:color="auto" w:fill="auto"/>
            <w:vAlign w:val="center"/>
          </w:tcPr>
          <w:p w:rsidR="007D0DAE" w:rsidRPr="004579C0" w:rsidRDefault="007D0DAE" w:rsidP="00952FE8">
            <w:pPr>
              <w:spacing w:line="480" w:lineRule="auto"/>
            </w:pPr>
            <w:r w:rsidRPr="004579C0">
              <w:t>5</w:t>
            </w:r>
          </w:p>
        </w:tc>
        <w:tc>
          <w:tcPr>
            <w:tcW w:w="1621" w:type="dxa"/>
            <w:shd w:val="clear" w:color="auto" w:fill="auto"/>
            <w:vAlign w:val="center"/>
          </w:tcPr>
          <w:p w:rsidR="007D0DAE" w:rsidRPr="004579C0" w:rsidRDefault="007D0DAE" w:rsidP="00952FE8">
            <w:pPr>
              <w:spacing w:line="480" w:lineRule="auto"/>
            </w:pPr>
            <w:r w:rsidRPr="004579C0">
              <w:t>0.11342155</w:t>
            </w:r>
          </w:p>
        </w:tc>
        <w:tc>
          <w:tcPr>
            <w:tcW w:w="1402" w:type="dxa"/>
            <w:vAlign w:val="center"/>
          </w:tcPr>
          <w:p w:rsidR="007D0DAE" w:rsidRPr="004579C0" w:rsidRDefault="007D0DAE" w:rsidP="00952FE8">
            <w:pPr>
              <w:spacing w:line="480" w:lineRule="auto"/>
            </w:pPr>
            <w:r w:rsidRPr="004579C0">
              <w:t>6.191531792</w:t>
            </w:r>
          </w:p>
        </w:tc>
        <w:tc>
          <w:tcPr>
            <w:tcW w:w="1402" w:type="dxa"/>
            <w:shd w:val="clear" w:color="auto" w:fill="auto"/>
            <w:vAlign w:val="center"/>
          </w:tcPr>
          <w:p w:rsidR="007D0DAE" w:rsidRPr="004579C0" w:rsidRDefault="007D0DAE" w:rsidP="00952FE8">
            <w:pPr>
              <w:spacing w:line="480" w:lineRule="auto"/>
            </w:pPr>
            <w:r w:rsidRPr="004579C0">
              <w:t>0</w:t>
            </w:r>
          </w:p>
        </w:tc>
        <w:tc>
          <w:tcPr>
            <w:tcW w:w="1434" w:type="dxa"/>
            <w:vAlign w:val="center"/>
          </w:tcPr>
          <w:p w:rsidR="007D0DAE" w:rsidRPr="004579C0" w:rsidRDefault="007D0DAE" w:rsidP="00952FE8">
            <w:pPr>
              <w:spacing w:line="480" w:lineRule="auto"/>
            </w:pPr>
            <w:r w:rsidRPr="004579C0">
              <w:t>0.16</w:t>
            </w:r>
          </w:p>
        </w:tc>
        <w:tc>
          <w:tcPr>
            <w:tcW w:w="1434" w:type="dxa"/>
            <w:shd w:val="clear" w:color="auto" w:fill="FCF2CC"/>
            <w:vAlign w:val="center"/>
          </w:tcPr>
          <w:p w:rsidR="007D0DAE" w:rsidRPr="004579C0" w:rsidRDefault="007D0DAE" w:rsidP="00952FE8">
            <w:pPr>
              <w:spacing w:line="480" w:lineRule="auto"/>
            </w:pPr>
            <w:r w:rsidRPr="004579C0">
              <w:t>75</w:t>
            </w:r>
          </w:p>
        </w:tc>
        <w:tc>
          <w:tcPr>
            <w:tcW w:w="1409" w:type="dxa"/>
            <w:shd w:val="clear" w:color="auto" w:fill="FCF2CC"/>
            <w:vAlign w:val="center"/>
          </w:tcPr>
          <w:p w:rsidR="007D0DAE" w:rsidRPr="004579C0" w:rsidRDefault="007D0DAE" w:rsidP="00952FE8">
            <w:pPr>
              <w:spacing w:line="480" w:lineRule="auto"/>
            </w:pPr>
            <w:r w:rsidRPr="004579C0">
              <w:t>4</w:t>
            </w:r>
          </w:p>
        </w:tc>
      </w:tr>
      <w:tr w:rsidR="007D0DAE" w:rsidRPr="004356D1" w:rsidTr="00952FE8">
        <w:trPr>
          <w:trHeight w:val="484"/>
        </w:trPr>
        <w:tc>
          <w:tcPr>
            <w:tcW w:w="1405" w:type="dxa"/>
            <w:shd w:val="clear" w:color="auto" w:fill="auto"/>
            <w:vAlign w:val="center"/>
          </w:tcPr>
          <w:p w:rsidR="007D0DAE" w:rsidRPr="004579C0" w:rsidRDefault="007D0DAE" w:rsidP="00952FE8">
            <w:pPr>
              <w:spacing w:line="480" w:lineRule="auto"/>
            </w:pPr>
            <w:r w:rsidRPr="004579C0">
              <w:t>1</w:t>
            </w:r>
          </w:p>
        </w:tc>
        <w:tc>
          <w:tcPr>
            <w:tcW w:w="1621" w:type="dxa"/>
            <w:shd w:val="clear" w:color="auto" w:fill="auto"/>
            <w:vAlign w:val="center"/>
          </w:tcPr>
          <w:p w:rsidR="007D0DAE" w:rsidRPr="004579C0" w:rsidRDefault="007D0DAE" w:rsidP="00952FE8">
            <w:pPr>
              <w:spacing w:line="480" w:lineRule="auto"/>
            </w:pPr>
            <w:r w:rsidRPr="004579C0">
              <w:t>0.11342155</w:t>
            </w:r>
          </w:p>
        </w:tc>
        <w:tc>
          <w:tcPr>
            <w:tcW w:w="1402" w:type="dxa"/>
            <w:vAlign w:val="center"/>
          </w:tcPr>
          <w:p w:rsidR="007D0DAE" w:rsidRPr="004579C0" w:rsidRDefault="007D0DAE" w:rsidP="00952FE8">
            <w:pPr>
              <w:spacing w:line="480" w:lineRule="auto"/>
            </w:pPr>
            <w:r w:rsidRPr="004579C0">
              <w:t>4.613577866</w:t>
            </w:r>
          </w:p>
        </w:tc>
        <w:tc>
          <w:tcPr>
            <w:tcW w:w="1402" w:type="dxa"/>
            <w:shd w:val="clear" w:color="auto" w:fill="auto"/>
            <w:vAlign w:val="center"/>
          </w:tcPr>
          <w:p w:rsidR="007D0DAE" w:rsidRPr="004579C0" w:rsidRDefault="007D0DAE" w:rsidP="00952FE8">
            <w:pPr>
              <w:spacing w:line="480" w:lineRule="auto"/>
            </w:pPr>
            <w:r w:rsidRPr="004579C0">
              <w:t>0</w:t>
            </w:r>
          </w:p>
        </w:tc>
        <w:tc>
          <w:tcPr>
            <w:tcW w:w="1434" w:type="dxa"/>
            <w:vAlign w:val="center"/>
          </w:tcPr>
          <w:p w:rsidR="007D0DAE" w:rsidRPr="004579C0" w:rsidRDefault="007D0DAE" w:rsidP="00952FE8">
            <w:pPr>
              <w:spacing w:line="480" w:lineRule="auto"/>
            </w:pPr>
            <w:r w:rsidRPr="004579C0">
              <w:t>0.74</w:t>
            </w:r>
          </w:p>
        </w:tc>
        <w:tc>
          <w:tcPr>
            <w:tcW w:w="1434" w:type="dxa"/>
            <w:shd w:val="clear" w:color="auto" w:fill="FCF2CC"/>
            <w:vAlign w:val="center"/>
          </w:tcPr>
          <w:p w:rsidR="007D0DAE" w:rsidRPr="004579C0" w:rsidRDefault="007D0DAE" w:rsidP="00952FE8">
            <w:pPr>
              <w:spacing w:line="480" w:lineRule="auto"/>
            </w:pPr>
            <w:r w:rsidRPr="004579C0">
              <w:t>75</w:t>
            </w:r>
          </w:p>
        </w:tc>
        <w:tc>
          <w:tcPr>
            <w:tcW w:w="1409" w:type="dxa"/>
            <w:shd w:val="clear" w:color="auto" w:fill="FCF2CC"/>
            <w:vAlign w:val="center"/>
          </w:tcPr>
          <w:p w:rsidR="007D0DAE" w:rsidRPr="004579C0" w:rsidRDefault="007D0DAE" w:rsidP="00952FE8">
            <w:pPr>
              <w:spacing w:line="480" w:lineRule="auto"/>
            </w:pPr>
            <w:r w:rsidRPr="004579C0">
              <w:t>4</w:t>
            </w:r>
          </w:p>
        </w:tc>
      </w:tr>
      <w:tr w:rsidR="007D0DAE" w:rsidRPr="004356D1" w:rsidTr="00952FE8">
        <w:trPr>
          <w:trHeight w:val="484"/>
        </w:trPr>
        <w:tc>
          <w:tcPr>
            <w:tcW w:w="1405" w:type="dxa"/>
            <w:shd w:val="clear" w:color="auto" w:fill="auto"/>
            <w:vAlign w:val="center"/>
          </w:tcPr>
          <w:p w:rsidR="007D0DAE" w:rsidRPr="004579C0" w:rsidRDefault="007D0DAE" w:rsidP="00952FE8">
            <w:pPr>
              <w:spacing w:line="480" w:lineRule="auto"/>
            </w:pPr>
            <w:r w:rsidRPr="004579C0">
              <w:t>8</w:t>
            </w:r>
          </w:p>
        </w:tc>
        <w:tc>
          <w:tcPr>
            <w:tcW w:w="1621" w:type="dxa"/>
            <w:shd w:val="clear" w:color="auto" w:fill="auto"/>
            <w:vAlign w:val="center"/>
          </w:tcPr>
          <w:p w:rsidR="007D0DAE" w:rsidRPr="004579C0" w:rsidRDefault="007D0DAE" w:rsidP="00952FE8">
            <w:pPr>
              <w:spacing w:line="480" w:lineRule="auto"/>
            </w:pPr>
            <w:r w:rsidRPr="004579C0">
              <w:t>0.378071834</w:t>
            </w:r>
          </w:p>
        </w:tc>
        <w:tc>
          <w:tcPr>
            <w:tcW w:w="1402" w:type="dxa"/>
            <w:vAlign w:val="center"/>
          </w:tcPr>
          <w:p w:rsidR="007D0DAE" w:rsidRPr="004579C0" w:rsidRDefault="007D0DAE" w:rsidP="00952FE8">
            <w:pPr>
              <w:spacing w:line="480" w:lineRule="auto"/>
            </w:pPr>
            <w:r w:rsidRPr="004579C0">
              <w:t>0.211310528</w:t>
            </w:r>
          </w:p>
        </w:tc>
        <w:tc>
          <w:tcPr>
            <w:tcW w:w="1402" w:type="dxa"/>
            <w:shd w:val="clear" w:color="auto" w:fill="auto"/>
            <w:vAlign w:val="center"/>
          </w:tcPr>
          <w:p w:rsidR="007D0DAE" w:rsidRPr="004579C0" w:rsidRDefault="007D0DAE" w:rsidP="00952FE8">
            <w:pPr>
              <w:spacing w:line="480" w:lineRule="auto"/>
            </w:pPr>
            <w:r w:rsidRPr="004579C0">
              <w:t>1.78</w:t>
            </w:r>
          </w:p>
        </w:tc>
        <w:tc>
          <w:tcPr>
            <w:tcW w:w="1434" w:type="dxa"/>
            <w:vAlign w:val="center"/>
          </w:tcPr>
          <w:p w:rsidR="007D0DAE" w:rsidRPr="004579C0" w:rsidRDefault="007D0DAE" w:rsidP="00952FE8">
            <w:pPr>
              <w:spacing w:line="480" w:lineRule="auto"/>
            </w:pPr>
            <w:r w:rsidRPr="004579C0">
              <w:t>0.43</w:t>
            </w:r>
          </w:p>
        </w:tc>
        <w:tc>
          <w:tcPr>
            <w:tcW w:w="1434" w:type="dxa"/>
            <w:shd w:val="clear" w:color="auto" w:fill="auto"/>
            <w:vAlign w:val="center"/>
          </w:tcPr>
          <w:p w:rsidR="007D0DAE" w:rsidRPr="004579C0" w:rsidRDefault="007D0DAE" w:rsidP="00952FE8">
            <w:pPr>
              <w:spacing w:line="480" w:lineRule="auto"/>
            </w:pPr>
            <w:r w:rsidRPr="004579C0">
              <w:t>30</w:t>
            </w:r>
          </w:p>
        </w:tc>
        <w:tc>
          <w:tcPr>
            <w:tcW w:w="1409" w:type="dxa"/>
            <w:shd w:val="clear" w:color="auto" w:fill="auto"/>
            <w:vAlign w:val="center"/>
          </w:tcPr>
          <w:p w:rsidR="007D0DAE" w:rsidRPr="004579C0" w:rsidRDefault="007D0DAE" w:rsidP="00952FE8">
            <w:pPr>
              <w:spacing w:line="480" w:lineRule="auto"/>
            </w:pPr>
            <w:r w:rsidRPr="004579C0">
              <w:t>12.2</w:t>
            </w:r>
          </w:p>
        </w:tc>
      </w:tr>
      <w:tr w:rsidR="007D0DAE" w:rsidRPr="004356D1" w:rsidTr="00952FE8">
        <w:trPr>
          <w:trHeight w:val="458"/>
        </w:trPr>
        <w:tc>
          <w:tcPr>
            <w:tcW w:w="1405" w:type="dxa"/>
            <w:shd w:val="clear" w:color="auto" w:fill="auto"/>
            <w:vAlign w:val="center"/>
          </w:tcPr>
          <w:p w:rsidR="007D0DAE" w:rsidRPr="004579C0" w:rsidRDefault="007D0DAE" w:rsidP="00952FE8">
            <w:pPr>
              <w:spacing w:line="480" w:lineRule="auto"/>
            </w:pPr>
            <w:r w:rsidRPr="004579C0">
              <w:t>7F</w:t>
            </w:r>
          </w:p>
        </w:tc>
        <w:tc>
          <w:tcPr>
            <w:tcW w:w="1621" w:type="dxa"/>
            <w:shd w:val="clear" w:color="auto" w:fill="auto"/>
            <w:vAlign w:val="center"/>
          </w:tcPr>
          <w:p w:rsidR="007D0DAE" w:rsidRPr="004579C0" w:rsidRDefault="007D0DAE" w:rsidP="00952FE8">
            <w:pPr>
              <w:spacing w:line="480" w:lineRule="auto"/>
            </w:pPr>
            <w:r w:rsidRPr="004579C0">
              <w:t>0.888468809</w:t>
            </w:r>
          </w:p>
        </w:tc>
        <w:tc>
          <w:tcPr>
            <w:tcW w:w="1402" w:type="dxa"/>
            <w:vAlign w:val="center"/>
          </w:tcPr>
          <w:p w:rsidR="007D0DAE" w:rsidRPr="004579C0" w:rsidRDefault="007D0DAE" w:rsidP="00952FE8">
            <w:pPr>
              <w:spacing w:line="480" w:lineRule="auto"/>
            </w:pPr>
            <w:r w:rsidRPr="004579C0">
              <w:t>1.674845549</w:t>
            </w:r>
          </w:p>
        </w:tc>
        <w:tc>
          <w:tcPr>
            <w:tcW w:w="1402" w:type="dxa"/>
            <w:shd w:val="clear" w:color="auto" w:fill="auto"/>
            <w:vAlign w:val="center"/>
          </w:tcPr>
          <w:p w:rsidR="007D0DAE" w:rsidRPr="004579C0" w:rsidRDefault="007D0DAE" w:rsidP="00952FE8">
            <w:pPr>
              <w:spacing w:line="480" w:lineRule="auto"/>
            </w:pPr>
            <w:r w:rsidRPr="004579C0">
              <w:t>1.07</w:t>
            </w:r>
          </w:p>
        </w:tc>
        <w:tc>
          <w:tcPr>
            <w:tcW w:w="1434" w:type="dxa"/>
            <w:vAlign w:val="center"/>
          </w:tcPr>
          <w:p w:rsidR="007D0DAE" w:rsidRPr="004579C0" w:rsidRDefault="007D0DAE" w:rsidP="00952FE8">
            <w:pPr>
              <w:spacing w:line="480" w:lineRule="auto"/>
            </w:pPr>
            <w:r w:rsidRPr="004579C0">
              <w:t>0.51</w:t>
            </w:r>
          </w:p>
        </w:tc>
        <w:tc>
          <w:tcPr>
            <w:tcW w:w="1434" w:type="dxa"/>
            <w:shd w:val="clear" w:color="auto" w:fill="auto"/>
            <w:vAlign w:val="center"/>
          </w:tcPr>
          <w:p w:rsidR="007D0DAE" w:rsidRPr="004579C0" w:rsidRDefault="007D0DAE" w:rsidP="00952FE8">
            <w:pPr>
              <w:spacing w:line="480" w:lineRule="auto"/>
            </w:pPr>
            <w:r w:rsidRPr="004579C0">
              <w:t>36</w:t>
            </w:r>
          </w:p>
        </w:tc>
        <w:tc>
          <w:tcPr>
            <w:tcW w:w="1409" w:type="dxa"/>
            <w:shd w:val="clear" w:color="auto" w:fill="auto"/>
            <w:vAlign w:val="center"/>
          </w:tcPr>
          <w:p w:rsidR="007D0DAE" w:rsidRPr="004579C0" w:rsidRDefault="007D0DAE" w:rsidP="00952FE8">
            <w:pPr>
              <w:spacing w:line="480" w:lineRule="auto"/>
            </w:pPr>
            <w:r w:rsidRPr="004579C0">
              <w:t>5.5</w:t>
            </w:r>
          </w:p>
        </w:tc>
      </w:tr>
      <w:tr w:rsidR="007D0DAE" w:rsidRPr="004356D1" w:rsidTr="00952FE8">
        <w:trPr>
          <w:trHeight w:val="484"/>
        </w:trPr>
        <w:tc>
          <w:tcPr>
            <w:tcW w:w="1405" w:type="dxa"/>
            <w:shd w:val="clear" w:color="auto" w:fill="auto"/>
            <w:vAlign w:val="center"/>
          </w:tcPr>
          <w:p w:rsidR="007D0DAE" w:rsidRPr="004579C0" w:rsidRDefault="007D0DAE" w:rsidP="00952FE8">
            <w:pPr>
              <w:spacing w:line="480" w:lineRule="auto"/>
            </w:pPr>
            <w:r w:rsidRPr="004579C0">
              <w:t>4</w:t>
            </w:r>
          </w:p>
        </w:tc>
        <w:tc>
          <w:tcPr>
            <w:tcW w:w="1621" w:type="dxa"/>
            <w:shd w:val="clear" w:color="auto" w:fill="auto"/>
            <w:vAlign w:val="center"/>
          </w:tcPr>
          <w:p w:rsidR="007D0DAE" w:rsidRPr="004579C0" w:rsidRDefault="007D0DAE" w:rsidP="00952FE8">
            <w:pPr>
              <w:spacing w:line="480" w:lineRule="auto"/>
            </w:pPr>
            <w:r w:rsidRPr="004579C0">
              <w:t>0.964083176</w:t>
            </w:r>
          </w:p>
        </w:tc>
        <w:tc>
          <w:tcPr>
            <w:tcW w:w="1402" w:type="dxa"/>
            <w:vAlign w:val="center"/>
          </w:tcPr>
          <w:p w:rsidR="007D0DAE" w:rsidRPr="004579C0" w:rsidRDefault="007D0DAE" w:rsidP="00952FE8">
            <w:pPr>
              <w:spacing w:line="480" w:lineRule="auto"/>
            </w:pPr>
            <w:r w:rsidRPr="004579C0">
              <w:t>1.036985946</w:t>
            </w:r>
          </w:p>
        </w:tc>
        <w:tc>
          <w:tcPr>
            <w:tcW w:w="1402" w:type="dxa"/>
            <w:shd w:val="clear" w:color="auto" w:fill="auto"/>
            <w:vAlign w:val="center"/>
          </w:tcPr>
          <w:p w:rsidR="007D0DAE" w:rsidRPr="004579C0" w:rsidRDefault="007D0DAE" w:rsidP="00952FE8">
            <w:pPr>
              <w:spacing w:line="480" w:lineRule="auto"/>
            </w:pPr>
            <w:r w:rsidRPr="004579C0">
              <w:t>0.71</w:t>
            </w:r>
          </w:p>
        </w:tc>
        <w:tc>
          <w:tcPr>
            <w:tcW w:w="1434" w:type="dxa"/>
            <w:vAlign w:val="center"/>
          </w:tcPr>
          <w:p w:rsidR="007D0DAE" w:rsidRPr="004579C0" w:rsidRDefault="007D0DAE" w:rsidP="00952FE8">
            <w:pPr>
              <w:spacing w:line="480" w:lineRule="auto"/>
            </w:pPr>
            <w:r w:rsidRPr="004579C0">
              <w:t>0.54</w:t>
            </w:r>
          </w:p>
        </w:tc>
        <w:tc>
          <w:tcPr>
            <w:tcW w:w="1434" w:type="dxa"/>
            <w:shd w:val="clear" w:color="auto" w:fill="auto"/>
            <w:vAlign w:val="center"/>
          </w:tcPr>
          <w:p w:rsidR="007D0DAE" w:rsidRPr="004579C0" w:rsidRDefault="007D0DAE" w:rsidP="00952FE8">
            <w:pPr>
              <w:spacing w:line="480" w:lineRule="auto"/>
            </w:pPr>
            <w:r w:rsidRPr="004579C0">
              <w:t>75</w:t>
            </w:r>
          </w:p>
        </w:tc>
        <w:tc>
          <w:tcPr>
            <w:tcW w:w="1409" w:type="dxa"/>
            <w:shd w:val="clear" w:color="auto" w:fill="FCF2CC"/>
            <w:vAlign w:val="center"/>
          </w:tcPr>
          <w:p w:rsidR="007D0DAE" w:rsidRPr="004579C0" w:rsidRDefault="007D0DAE" w:rsidP="00952FE8">
            <w:pPr>
              <w:spacing w:line="480" w:lineRule="auto"/>
            </w:pPr>
            <w:r w:rsidRPr="004579C0">
              <w:t>4</w:t>
            </w:r>
          </w:p>
        </w:tc>
      </w:tr>
      <w:tr w:rsidR="007D0DAE" w:rsidRPr="004356D1" w:rsidTr="00952FE8">
        <w:trPr>
          <w:trHeight w:val="484"/>
        </w:trPr>
        <w:tc>
          <w:tcPr>
            <w:tcW w:w="1405" w:type="dxa"/>
            <w:shd w:val="clear" w:color="auto" w:fill="auto"/>
            <w:vAlign w:val="center"/>
          </w:tcPr>
          <w:p w:rsidR="007D0DAE" w:rsidRPr="004579C0" w:rsidRDefault="007D0DAE" w:rsidP="00952FE8">
            <w:pPr>
              <w:spacing w:line="480" w:lineRule="auto"/>
            </w:pPr>
            <w:r w:rsidRPr="004579C0">
              <w:t>38</w:t>
            </w:r>
          </w:p>
        </w:tc>
        <w:tc>
          <w:tcPr>
            <w:tcW w:w="1621" w:type="dxa"/>
            <w:shd w:val="clear" w:color="auto" w:fill="auto"/>
            <w:vAlign w:val="center"/>
          </w:tcPr>
          <w:p w:rsidR="007D0DAE" w:rsidRPr="004579C0" w:rsidRDefault="007D0DAE" w:rsidP="00952FE8">
            <w:pPr>
              <w:spacing w:line="480" w:lineRule="auto"/>
            </w:pPr>
            <w:r w:rsidRPr="004579C0">
              <w:t>0.699432892</w:t>
            </w:r>
          </w:p>
        </w:tc>
        <w:tc>
          <w:tcPr>
            <w:tcW w:w="1402" w:type="dxa"/>
            <w:vAlign w:val="center"/>
          </w:tcPr>
          <w:p w:rsidR="007D0DAE" w:rsidRPr="004579C0" w:rsidRDefault="007D0DAE" w:rsidP="00952FE8">
            <w:pPr>
              <w:spacing w:line="480" w:lineRule="auto"/>
            </w:pPr>
            <w:r w:rsidRPr="004579C0">
              <w:t>0.141202463</w:t>
            </w:r>
          </w:p>
        </w:tc>
        <w:tc>
          <w:tcPr>
            <w:tcW w:w="1402" w:type="dxa"/>
            <w:shd w:val="clear" w:color="auto" w:fill="auto"/>
            <w:vAlign w:val="center"/>
          </w:tcPr>
          <w:p w:rsidR="007D0DAE" w:rsidRPr="004579C0" w:rsidRDefault="007D0DAE" w:rsidP="00952FE8">
            <w:pPr>
              <w:spacing w:line="480" w:lineRule="auto"/>
            </w:pPr>
            <w:r w:rsidRPr="004579C0">
              <w:t>1.07</w:t>
            </w:r>
          </w:p>
        </w:tc>
        <w:tc>
          <w:tcPr>
            <w:tcW w:w="1434" w:type="dxa"/>
            <w:vAlign w:val="center"/>
          </w:tcPr>
          <w:p w:rsidR="007D0DAE" w:rsidRPr="004579C0" w:rsidRDefault="007D0DAE" w:rsidP="00952FE8">
            <w:pPr>
              <w:spacing w:line="480" w:lineRule="auto"/>
            </w:pPr>
            <w:r w:rsidRPr="004579C0">
              <w:t>0.11</w:t>
            </w:r>
          </w:p>
        </w:tc>
        <w:tc>
          <w:tcPr>
            <w:tcW w:w="1434" w:type="dxa"/>
            <w:shd w:val="clear" w:color="auto" w:fill="auto"/>
            <w:vAlign w:val="center"/>
          </w:tcPr>
          <w:p w:rsidR="007D0DAE" w:rsidRPr="004579C0" w:rsidRDefault="007D0DAE" w:rsidP="00952FE8">
            <w:pPr>
              <w:spacing w:line="480" w:lineRule="auto"/>
            </w:pPr>
            <w:r w:rsidRPr="004579C0">
              <w:t>10</w:t>
            </w:r>
          </w:p>
        </w:tc>
        <w:tc>
          <w:tcPr>
            <w:tcW w:w="1409" w:type="dxa"/>
            <w:shd w:val="clear" w:color="auto" w:fill="auto"/>
            <w:vAlign w:val="center"/>
          </w:tcPr>
          <w:p w:rsidR="007D0DAE" w:rsidRPr="004579C0" w:rsidRDefault="007D0DAE" w:rsidP="00952FE8">
            <w:pPr>
              <w:spacing w:line="480" w:lineRule="auto"/>
            </w:pPr>
            <w:r w:rsidRPr="004579C0">
              <w:t>12</w:t>
            </w:r>
          </w:p>
        </w:tc>
      </w:tr>
      <w:tr w:rsidR="007D0DAE" w:rsidRPr="004356D1" w:rsidTr="00952FE8">
        <w:trPr>
          <w:trHeight w:val="484"/>
        </w:trPr>
        <w:tc>
          <w:tcPr>
            <w:tcW w:w="1405" w:type="dxa"/>
            <w:shd w:val="clear" w:color="auto" w:fill="auto"/>
            <w:vAlign w:val="center"/>
          </w:tcPr>
          <w:p w:rsidR="007D0DAE" w:rsidRPr="004579C0" w:rsidRDefault="007D0DAE" w:rsidP="00952FE8">
            <w:pPr>
              <w:spacing w:line="480" w:lineRule="auto"/>
            </w:pPr>
            <w:r w:rsidRPr="004579C0">
              <w:t>18C</w:t>
            </w:r>
          </w:p>
        </w:tc>
        <w:tc>
          <w:tcPr>
            <w:tcW w:w="1621" w:type="dxa"/>
            <w:shd w:val="clear" w:color="auto" w:fill="auto"/>
            <w:vAlign w:val="center"/>
          </w:tcPr>
          <w:p w:rsidR="007D0DAE" w:rsidRPr="004579C0" w:rsidRDefault="007D0DAE" w:rsidP="00952FE8">
            <w:pPr>
              <w:spacing w:line="480" w:lineRule="auto"/>
            </w:pPr>
            <w:r w:rsidRPr="004579C0">
              <w:t>1.890359168</w:t>
            </w:r>
          </w:p>
        </w:tc>
        <w:tc>
          <w:tcPr>
            <w:tcW w:w="1402" w:type="dxa"/>
            <w:vAlign w:val="center"/>
          </w:tcPr>
          <w:p w:rsidR="007D0DAE" w:rsidRPr="004579C0" w:rsidRDefault="007D0DAE" w:rsidP="00952FE8">
            <w:pPr>
              <w:spacing w:line="480" w:lineRule="auto"/>
            </w:pPr>
            <w:r w:rsidRPr="004579C0">
              <w:t>0.60801133</w:t>
            </w:r>
          </w:p>
        </w:tc>
        <w:tc>
          <w:tcPr>
            <w:tcW w:w="1402" w:type="dxa"/>
            <w:shd w:val="clear" w:color="auto" w:fill="auto"/>
            <w:vAlign w:val="center"/>
          </w:tcPr>
          <w:p w:rsidR="007D0DAE" w:rsidRPr="004579C0" w:rsidRDefault="007D0DAE" w:rsidP="00952FE8">
            <w:pPr>
              <w:spacing w:line="480" w:lineRule="auto"/>
            </w:pPr>
            <w:r w:rsidRPr="004579C0">
              <w:t>4.99</w:t>
            </w:r>
          </w:p>
        </w:tc>
        <w:tc>
          <w:tcPr>
            <w:tcW w:w="1434" w:type="dxa"/>
            <w:vAlign w:val="center"/>
          </w:tcPr>
          <w:p w:rsidR="007D0DAE" w:rsidRPr="004579C0" w:rsidRDefault="007D0DAE" w:rsidP="00952FE8">
            <w:pPr>
              <w:spacing w:line="480" w:lineRule="auto"/>
            </w:pPr>
            <w:r w:rsidRPr="004579C0">
              <w:t>1.1</w:t>
            </w:r>
          </w:p>
        </w:tc>
        <w:tc>
          <w:tcPr>
            <w:tcW w:w="1434" w:type="dxa"/>
            <w:shd w:val="clear" w:color="auto" w:fill="auto"/>
            <w:vAlign w:val="center"/>
          </w:tcPr>
          <w:p w:rsidR="007D0DAE" w:rsidRPr="004579C0" w:rsidRDefault="007D0DAE" w:rsidP="00952FE8">
            <w:pPr>
              <w:spacing w:line="480" w:lineRule="auto"/>
            </w:pPr>
            <w:r w:rsidRPr="004579C0">
              <w:t>24</w:t>
            </w:r>
          </w:p>
        </w:tc>
        <w:tc>
          <w:tcPr>
            <w:tcW w:w="1409" w:type="dxa"/>
            <w:shd w:val="clear" w:color="auto" w:fill="auto"/>
            <w:vAlign w:val="center"/>
          </w:tcPr>
          <w:p w:rsidR="007D0DAE" w:rsidRPr="004579C0" w:rsidRDefault="007D0DAE" w:rsidP="00952FE8">
            <w:pPr>
              <w:spacing w:line="480" w:lineRule="auto"/>
            </w:pPr>
            <w:r w:rsidRPr="004579C0">
              <w:t>13.5</w:t>
            </w:r>
          </w:p>
        </w:tc>
      </w:tr>
      <w:tr w:rsidR="007D0DAE" w:rsidRPr="004356D1" w:rsidTr="00952FE8">
        <w:trPr>
          <w:trHeight w:val="484"/>
        </w:trPr>
        <w:tc>
          <w:tcPr>
            <w:tcW w:w="1405" w:type="dxa"/>
            <w:shd w:val="clear" w:color="auto" w:fill="auto"/>
            <w:vAlign w:val="center"/>
          </w:tcPr>
          <w:p w:rsidR="007D0DAE" w:rsidRPr="004579C0" w:rsidRDefault="007D0DAE" w:rsidP="00952FE8">
            <w:pPr>
              <w:spacing w:line="480" w:lineRule="auto"/>
            </w:pPr>
            <w:r w:rsidRPr="004579C0">
              <w:t>3</w:t>
            </w:r>
          </w:p>
        </w:tc>
        <w:tc>
          <w:tcPr>
            <w:tcW w:w="1621" w:type="dxa"/>
            <w:shd w:val="clear" w:color="auto" w:fill="auto"/>
            <w:vAlign w:val="center"/>
          </w:tcPr>
          <w:p w:rsidR="007D0DAE" w:rsidRPr="004579C0" w:rsidRDefault="007D0DAE" w:rsidP="00952FE8">
            <w:pPr>
              <w:spacing w:line="480" w:lineRule="auto"/>
            </w:pPr>
            <w:r w:rsidRPr="004579C0">
              <w:t>2.192816635</w:t>
            </w:r>
          </w:p>
        </w:tc>
        <w:tc>
          <w:tcPr>
            <w:tcW w:w="1402" w:type="dxa"/>
            <w:vAlign w:val="center"/>
          </w:tcPr>
          <w:p w:rsidR="007D0DAE" w:rsidRPr="004579C0" w:rsidRDefault="007D0DAE" w:rsidP="00952FE8">
            <w:pPr>
              <w:spacing w:line="480" w:lineRule="auto"/>
            </w:pPr>
            <w:r w:rsidRPr="004579C0">
              <w:t>0.121226123</w:t>
            </w:r>
          </w:p>
        </w:tc>
        <w:tc>
          <w:tcPr>
            <w:tcW w:w="1402" w:type="dxa"/>
            <w:shd w:val="clear" w:color="auto" w:fill="auto"/>
            <w:vAlign w:val="center"/>
          </w:tcPr>
          <w:p w:rsidR="007D0DAE" w:rsidRPr="004579C0" w:rsidRDefault="007D0DAE" w:rsidP="00952FE8">
            <w:pPr>
              <w:spacing w:line="480" w:lineRule="auto"/>
            </w:pPr>
            <w:r w:rsidRPr="004579C0">
              <w:t>5.35</w:t>
            </w:r>
          </w:p>
        </w:tc>
        <w:tc>
          <w:tcPr>
            <w:tcW w:w="1434" w:type="dxa"/>
            <w:vAlign w:val="center"/>
          </w:tcPr>
          <w:p w:rsidR="007D0DAE" w:rsidRPr="004579C0" w:rsidRDefault="007D0DAE" w:rsidP="00952FE8">
            <w:pPr>
              <w:spacing w:line="480" w:lineRule="auto"/>
            </w:pPr>
            <w:r w:rsidRPr="004579C0">
              <w:t>0.4</w:t>
            </w:r>
          </w:p>
        </w:tc>
        <w:tc>
          <w:tcPr>
            <w:tcW w:w="1434" w:type="dxa"/>
            <w:shd w:val="clear" w:color="auto" w:fill="auto"/>
            <w:vAlign w:val="center"/>
          </w:tcPr>
          <w:p w:rsidR="007D0DAE" w:rsidRPr="004579C0" w:rsidRDefault="007D0DAE" w:rsidP="00952FE8">
            <w:pPr>
              <w:spacing w:line="480" w:lineRule="auto"/>
            </w:pPr>
            <w:r w:rsidRPr="004579C0">
              <w:t>9</w:t>
            </w:r>
          </w:p>
        </w:tc>
        <w:tc>
          <w:tcPr>
            <w:tcW w:w="1409" w:type="dxa"/>
            <w:shd w:val="clear" w:color="auto" w:fill="auto"/>
            <w:vAlign w:val="center"/>
          </w:tcPr>
          <w:p w:rsidR="007D0DAE" w:rsidRPr="004579C0" w:rsidRDefault="007D0DAE" w:rsidP="00952FE8">
            <w:pPr>
              <w:spacing w:line="480" w:lineRule="auto"/>
            </w:pPr>
            <w:r w:rsidRPr="004579C0">
              <w:t>6.2</w:t>
            </w:r>
          </w:p>
        </w:tc>
      </w:tr>
      <w:tr w:rsidR="007D0DAE" w:rsidRPr="004356D1" w:rsidTr="00952FE8">
        <w:trPr>
          <w:trHeight w:val="484"/>
        </w:trPr>
        <w:tc>
          <w:tcPr>
            <w:tcW w:w="1405" w:type="dxa"/>
            <w:shd w:val="clear" w:color="auto" w:fill="auto"/>
            <w:vAlign w:val="center"/>
          </w:tcPr>
          <w:p w:rsidR="007D0DAE" w:rsidRPr="004579C0" w:rsidRDefault="007D0DAE" w:rsidP="00952FE8">
            <w:pPr>
              <w:spacing w:line="480" w:lineRule="auto"/>
            </w:pPr>
            <w:r w:rsidRPr="004579C0">
              <w:t>33F</w:t>
            </w:r>
          </w:p>
        </w:tc>
        <w:tc>
          <w:tcPr>
            <w:tcW w:w="1621" w:type="dxa"/>
            <w:shd w:val="clear" w:color="auto" w:fill="auto"/>
            <w:vAlign w:val="center"/>
          </w:tcPr>
          <w:p w:rsidR="007D0DAE" w:rsidRPr="004579C0" w:rsidRDefault="007D0DAE" w:rsidP="00952FE8">
            <w:pPr>
              <w:spacing w:line="480" w:lineRule="auto"/>
            </w:pPr>
            <w:r w:rsidRPr="004579C0">
              <w:t>2.400756144</w:t>
            </w:r>
          </w:p>
        </w:tc>
        <w:tc>
          <w:tcPr>
            <w:tcW w:w="1402" w:type="dxa"/>
            <w:vAlign w:val="center"/>
          </w:tcPr>
          <w:p w:rsidR="007D0DAE" w:rsidRPr="004579C0" w:rsidRDefault="007D0DAE" w:rsidP="00952FE8">
            <w:pPr>
              <w:spacing w:line="480" w:lineRule="auto"/>
            </w:pPr>
            <w:r w:rsidRPr="004579C0">
              <w:t>0.220723503</w:t>
            </w:r>
          </w:p>
        </w:tc>
        <w:tc>
          <w:tcPr>
            <w:tcW w:w="1402" w:type="dxa"/>
            <w:shd w:val="clear" w:color="auto" w:fill="auto"/>
            <w:vAlign w:val="center"/>
          </w:tcPr>
          <w:p w:rsidR="007D0DAE" w:rsidRPr="004579C0" w:rsidRDefault="007D0DAE" w:rsidP="00952FE8">
            <w:pPr>
              <w:spacing w:line="480" w:lineRule="auto"/>
            </w:pPr>
            <w:r w:rsidRPr="004579C0">
              <w:t>2.5</w:t>
            </w:r>
          </w:p>
        </w:tc>
        <w:tc>
          <w:tcPr>
            <w:tcW w:w="1434" w:type="dxa"/>
            <w:vAlign w:val="center"/>
          </w:tcPr>
          <w:p w:rsidR="007D0DAE" w:rsidRPr="004579C0" w:rsidRDefault="007D0DAE" w:rsidP="00952FE8">
            <w:pPr>
              <w:spacing w:line="480" w:lineRule="auto"/>
            </w:pPr>
            <w:r w:rsidRPr="004579C0">
              <w:t>0</w:t>
            </w:r>
          </w:p>
        </w:tc>
        <w:tc>
          <w:tcPr>
            <w:tcW w:w="1434" w:type="dxa"/>
            <w:shd w:val="clear" w:color="auto" w:fill="auto"/>
            <w:vAlign w:val="center"/>
          </w:tcPr>
          <w:p w:rsidR="007D0DAE" w:rsidRPr="004579C0" w:rsidRDefault="007D0DAE" w:rsidP="00952FE8">
            <w:pPr>
              <w:spacing w:line="480" w:lineRule="auto"/>
            </w:pPr>
            <w:r w:rsidRPr="004579C0">
              <w:t>0</w:t>
            </w:r>
          </w:p>
        </w:tc>
        <w:tc>
          <w:tcPr>
            <w:tcW w:w="1409" w:type="dxa"/>
            <w:shd w:val="clear" w:color="auto" w:fill="auto"/>
            <w:vAlign w:val="center"/>
          </w:tcPr>
          <w:p w:rsidR="007D0DAE" w:rsidRPr="004579C0" w:rsidRDefault="007D0DAE" w:rsidP="00952FE8">
            <w:pPr>
              <w:spacing w:line="480" w:lineRule="auto"/>
            </w:pPr>
            <w:r w:rsidRPr="004579C0">
              <w:t>16.3</w:t>
            </w:r>
          </w:p>
        </w:tc>
      </w:tr>
      <w:tr w:rsidR="007D0DAE" w:rsidRPr="004356D1" w:rsidTr="00952FE8">
        <w:trPr>
          <w:trHeight w:val="484"/>
        </w:trPr>
        <w:tc>
          <w:tcPr>
            <w:tcW w:w="1405" w:type="dxa"/>
            <w:shd w:val="clear" w:color="auto" w:fill="auto"/>
            <w:vAlign w:val="center"/>
          </w:tcPr>
          <w:p w:rsidR="007D0DAE" w:rsidRPr="004579C0" w:rsidRDefault="007D0DAE" w:rsidP="00952FE8">
            <w:pPr>
              <w:spacing w:line="480" w:lineRule="auto"/>
            </w:pPr>
            <w:r w:rsidRPr="004579C0">
              <w:t>14</w:t>
            </w:r>
          </w:p>
        </w:tc>
        <w:tc>
          <w:tcPr>
            <w:tcW w:w="1621" w:type="dxa"/>
            <w:shd w:val="clear" w:color="auto" w:fill="auto"/>
            <w:vAlign w:val="center"/>
          </w:tcPr>
          <w:p w:rsidR="007D0DAE" w:rsidRPr="004579C0" w:rsidRDefault="007D0DAE" w:rsidP="00952FE8">
            <w:pPr>
              <w:spacing w:line="480" w:lineRule="auto"/>
            </w:pPr>
            <w:r w:rsidRPr="004579C0">
              <w:t>5.633270321</w:t>
            </w:r>
          </w:p>
        </w:tc>
        <w:tc>
          <w:tcPr>
            <w:tcW w:w="1402" w:type="dxa"/>
            <w:vAlign w:val="center"/>
          </w:tcPr>
          <w:p w:rsidR="007D0DAE" w:rsidRPr="004579C0" w:rsidRDefault="007D0DAE" w:rsidP="00952FE8">
            <w:pPr>
              <w:spacing w:line="480" w:lineRule="auto"/>
            </w:pPr>
            <w:r w:rsidRPr="004579C0">
              <w:t>1.003638441</w:t>
            </w:r>
          </w:p>
        </w:tc>
        <w:tc>
          <w:tcPr>
            <w:tcW w:w="1402" w:type="dxa"/>
            <w:shd w:val="clear" w:color="auto" w:fill="auto"/>
            <w:vAlign w:val="center"/>
          </w:tcPr>
          <w:p w:rsidR="007D0DAE" w:rsidRPr="004579C0" w:rsidRDefault="007D0DAE" w:rsidP="00952FE8">
            <w:pPr>
              <w:spacing w:line="480" w:lineRule="auto"/>
            </w:pPr>
            <w:r w:rsidRPr="004579C0">
              <w:t>9.99</w:t>
            </w:r>
          </w:p>
        </w:tc>
        <w:tc>
          <w:tcPr>
            <w:tcW w:w="1434" w:type="dxa"/>
            <w:vAlign w:val="center"/>
          </w:tcPr>
          <w:p w:rsidR="007D0DAE" w:rsidRPr="004579C0" w:rsidRDefault="007D0DAE" w:rsidP="00952FE8">
            <w:pPr>
              <w:spacing w:line="480" w:lineRule="auto"/>
            </w:pPr>
            <w:r w:rsidRPr="004579C0">
              <w:t>5.27</w:t>
            </w:r>
          </w:p>
        </w:tc>
        <w:tc>
          <w:tcPr>
            <w:tcW w:w="1434" w:type="dxa"/>
            <w:shd w:val="clear" w:color="auto" w:fill="auto"/>
            <w:vAlign w:val="center"/>
          </w:tcPr>
          <w:p w:rsidR="007D0DAE" w:rsidRPr="004579C0" w:rsidRDefault="007D0DAE" w:rsidP="00952FE8">
            <w:pPr>
              <w:spacing w:line="480" w:lineRule="auto"/>
            </w:pPr>
            <w:r w:rsidRPr="004579C0">
              <w:t>53</w:t>
            </w:r>
          </w:p>
        </w:tc>
        <w:tc>
          <w:tcPr>
            <w:tcW w:w="1409" w:type="dxa"/>
            <w:shd w:val="clear" w:color="auto" w:fill="auto"/>
            <w:vAlign w:val="center"/>
          </w:tcPr>
          <w:p w:rsidR="007D0DAE" w:rsidRPr="004579C0" w:rsidRDefault="007D0DAE" w:rsidP="00952FE8">
            <w:pPr>
              <w:spacing w:line="480" w:lineRule="auto"/>
            </w:pPr>
            <w:r w:rsidRPr="004579C0">
              <w:t>14</w:t>
            </w:r>
          </w:p>
        </w:tc>
      </w:tr>
      <w:tr w:rsidR="007D0DAE" w:rsidRPr="004356D1" w:rsidTr="00952FE8">
        <w:trPr>
          <w:trHeight w:val="458"/>
        </w:trPr>
        <w:tc>
          <w:tcPr>
            <w:tcW w:w="1405" w:type="dxa"/>
            <w:shd w:val="clear" w:color="auto" w:fill="auto"/>
            <w:vAlign w:val="center"/>
          </w:tcPr>
          <w:p w:rsidR="007D0DAE" w:rsidRPr="004579C0" w:rsidRDefault="007D0DAE" w:rsidP="00952FE8">
            <w:pPr>
              <w:spacing w:line="480" w:lineRule="auto"/>
            </w:pPr>
            <w:r w:rsidRPr="004579C0">
              <w:t>15B/C</w:t>
            </w:r>
          </w:p>
        </w:tc>
        <w:tc>
          <w:tcPr>
            <w:tcW w:w="1621" w:type="dxa"/>
            <w:shd w:val="clear" w:color="auto" w:fill="auto"/>
            <w:vAlign w:val="center"/>
          </w:tcPr>
          <w:p w:rsidR="007D0DAE" w:rsidRPr="004579C0" w:rsidRDefault="007D0DAE" w:rsidP="00952FE8">
            <w:pPr>
              <w:spacing w:line="480" w:lineRule="auto"/>
            </w:pPr>
            <w:r w:rsidRPr="004579C0">
              <w:t>5.633270321</w:t>
            </w:r>
          </w:p>
        </w:tc>
        <w:tc>
          <w:tcPr>
            <w:tcW w:w="1402" w:type="dxa"/>
            <w:vAlign w:val="center"/>
          </w:tcPr>
          <w:p w:rsidR="007D0DAE" w:rsidRPr="004579C0" w:rsidRDefault="007D0DAE" w:rsidP="00952FE8">
            <w:pPr>
              <w:spacing w:line="480" w:lineRule="auto"/>
            </w:pPr>
            <w:r w:rsidRPr="004579C0">
              <w:t>0.100729012</w:t>
            </w:r>
          </w:p>
        </w:tc>
        <w:tc>
          <w:tcPr>
            <w:tcW w:w="1402" w:type="dxa"/>
            <w:shd w:val="clear" w:color="auto" w:fill="auto"/>
            <w:vAlign w:val="center"/>
          </w:tcPr>
          <w:p w:rsidR="007D0DAE" w:rsidRPr="004579C0" w:rsidRDefault="007D0DAE" w:rsidP="00952FE8">
            <w:pPr>
              <w:spacing w:line="480" w:lineRule="auto"/>
            </w:pPr>
            <w:r w:rsidRPr="004579C0">
              <w:t>5.35</w:t>
            </w:r>
          </w:p>
        </w:tc>
        <w:tc>
          <w:tcPr>
            <w:tcW w:w="1434" w:type="dxa"/>
            <w:vAlign w:val="center"/>
          </w:tcPr>
          <w:p w:rsidR="007D0DAE" w:rsidRPr="004579C0" w:rsidRDefault="007D0DAE" w:rsidP="00952FE8">
            <w:pPr>
              <w:spacing w:line="480" w:lineRule="auto"/>
            </w:pPr>
            <w:r w:rsidRPr="004579C0">
              <w:t>0.04</w:t>
            </w:r>
          </w:p>
        </w:tc>
        <w:tc>
          <w:tcPr>
            <w:tcW w:w="1434" w:type="dxa"/>
            <w:shd w:val="clear" w:color="auto" w:fill="auto"/>
            <w:vAlign w:val="center"/>
          </w:tcPr>
          <w:p w:rsidR="007D0DAE" w:rsidRPr="004579C0" w:rsidRDefault="007D0DAE" w:rsidP="00952FE8">
            <w:pPr>
              <w:spacing w:line="480" w:lineRule="auto"/>
            </w:pPr>
            <w:r w:rsidRPr="004579C0">
              <w:t>1</w:t>
            </w:r>
          </w:p>
        </w:tc>
        <w:tc>
          <w:tcPr>
            <w:tcW w:w="1409" w:type="dxa"/>
            <w:shd w:val="clear" w:color="auto" w:fill="auto"/>
            <w:vAlign w:val="center"/>
          </w:tcPr>
          <w:p w:rsidR="007D0DAE" w:rsidRPr="004579C0" w:rsidRDefault="007D0DAE" w:rsidP="00952FE8">
            <w:pPr>
              <w:spacing w:line="480" w:lineRule="auto"/>
            </w:pPr>
            <w:r w:rsidRPr="004579C0">
              <w:t>6.8</w:t>
            </w:r>
          </w:p>
        </w:tc>
      </w:tr>
      <w:tr w:rsidR="007D0DAE" w:rsidRPr="004356D1" w:rsidTr="00952FE8">
        <w:trPr>
          <w:trHeight w:val="484"/>
        </w:trPr>
        <w:tc>
          <w:tcPr>
            <w:tcW w:w="1405" w:type="dxa"/>
            <w:shd w:val="clear" w:color="auto" w:fill="auto"/>
            <w:vAlign w:val="center"/>
          </w:tcPr>
          <w:p w:rsidR="007D0DAE" w:rsidRPr="004579C0" w:rsidRDefault="007D0DAE" w:rsidP="00952FE8">
            <w:pPr>
              <w:spacing w:line="480" w:lineRule="auto"/>
            </w:pPr>
            <w:r w:rsidRPr="004579C0">
              <w:t>6A</w:t>
            </w:r>
          </w:p>
        </w:tc>
        <w:tc>
          <w:tcPr>
            <w:tcW w:w="1621" w:type="dxa"/>
            <w:shd w:val="clear" w:color="auto" w:fill="auto"/>
            <w:vAlign w:val="center"/>
          </w:tcPr>
          <w:p w:rsidR="007D0DAE" w:rsidRPr="004579C0" w:rsidRDefault="007D0DAE" w:rsidP="00952FE8">
            <w:pPr>
              <w:spacing w:line="480" w:lineRule="auto"/>
            </w:pPr>
            <w:r w:rsidRPr="004579C0">
              <w:t>12.17391304</w:t>
            </w:r>
          </w:p>
        </w:tc>
        <w:tc>
          <w:tcPr>
            <w:tcW w:w="1402" w:type="dxa"/>
            <w:vAlign w:val="center"/>
          </w:tcPr>
          <w:p w:rsidR="007D0DAE" w:rsidRPr="004579C0" w:rsidRDefault="007D0DAE" w:rsidP="00952FE8">
            <w:pPr>
              <w:spacing w:line="480" w:lineRule="auto"/>
            </w:pPr>
            <w:r w:rsidRPr="004579C0">
              <w:t>0.08100603</w:t>
            </w:r>
          </w:p>
        </w:tc>
        <w:tc>
          <w:tcPr>
            <w:tcW w:w="1402" w:type="dxa"/>
            <w:shd w:val="clear" w:color="auto" w:fill="auto"/>
            <w:vAlign w:val="center"/>
          </w:tcPr>
          <w:p w:rsidR="007D0DAE" w:rsidRPr="004579C0" w:rsidRDefault="007D0DAE" w:rsidP="00952FE8">
            <w:pPr>
              <w:spacing w:line="480" w:lineRule="auto"/>
            </w:pPr>
            <w:r w:rsidRPr="004579C0">
              <w:t>8.93</w:t>
            </w:r>
          </w:p>
        </w:tc>
        <w:tc>
          <w:tcPr>
            <w:tcW w:w="1434" w:type="dxa"/>
            <w:vAlign w:val="center"/>
          </w:tcPr>
          <w:p w:rsidR="007D0DAE" w:rsidRPr="004579C0" w:rsidRDefault="007D0DAE" w:rsidP="00952FE8">
            <w:pPr>
              <w:spacing w:line="480" w:lineRule="auto"/>
            </w:pPr>
            <w:r w:rsidRPr="004579C0">
              <w:t>0.76</w:t>
            </w:r>
          </w:p>
        </w:tc>
        <w:tc>
          <w:tcPr>
            <w:tcW w:w="1434" w:type="dxa"/>
            <w:shd w:val="clear" w:color="auto" w:fill="auto"/>
            <w:vAlign w:val="center"/>
          </w:tcPr>
          <w:p w:rsidR="007D0DAE" w:rsidRPr="004579C0" w:rsidRDefault="007D0DAE" w:rsidP="00952FE8">
            <w:pPr>
              <w:spacing w:line="480" w:lineRule="auto"/>
            </w:pPr>
            <w:r w:rsidRPr="004579C0">
              <w:t>8</w:t>
            </w:r>
          </w:p>
        </w:tc>
        <w:tc>
          <w:tcPr>
            <w:tcW w:w="1409" w:type="dxa"/>
            <w:shd w:val="clear" w:color="auto" w:fill="auto"/>
            <w:vAlign w:val="center"/>
          </w:tcPr>
          <w:p w:rsidR="007D0DAE" w:rsidRPr="004579C0" w:rsidRDefault="007D0DAE" w:rsidP="00952FE8">
            <w:pPr>
              <w:spacing w:line="480" w:lineRule="auto"/>
            </w:pPr>
            <w:r w:rsidRPr="004579C0">
              <w:t>9.3</w:t>
            </w:r>
          </w:p>
        </w:tc>
      </w:tr>
      <w:tr w:rsidR="007D0DAE" w:rsidRPr="004356D1" w:rsidTr="00952FE8">
        <w:trPr>
          <w:trHeight w:val="484"/>
        </w:trPr>
        <w:tc>
          <w:tcPr>
            <w:tcW w:w="1405" w:type="dxa"/>
            <w:shd w:val="clear" w:color="auto" w:fill="auto"/>
            <w:vAlign w:val="center"/>
          </w:tcPr>
          <w:p w:rsidR="007D0DAE" w:rsidRPr="004579C0" w:rsidRDefault="007D0DAE" w:rsidP="00952FE8">
            <w:pPr>
              <w:spacing w:line="480" w:lineRule="auto"/>
            </w:pPr>
            <w:r w:rsidRPr="004579C0">
              <w:t>23F</w:t>
            </w:r>
          </w:p>
        </w:tc>
        <w:tc>
          <w:tcPr>
            <w:tcW w:w="1621" w:type="dxa"/>
            <w:shd w:val="clear" w:color="auto" w:fill="auto"/>
            <w:vAlign w:val="center"/>
          </w:tcPr>
          <w:p w:rsidR="007D0DAE" w:rsidRPr="004579C0" w:rsidRDefault="007D0DAE" w:rsidP="00952FE8">
            <w:pPr>
              <w:spacing w:line="480" w:lineRule="auto"/>
            </w:pPr>
            <w:r w:rsidRPr="004579C0">
              <w:t>12.68431002</w:t>
            </w:r>
          </w:p>
        </w:tc>
        <w:tc>
          <w:tcPr>
            <w:tcW w:w="1402" w:type="dxa"/>
            <w:vAlign w:val="center"/>
          </w:tcPr>
          <w:p w:rsidR="007D0DAE" w:rsidRPr="004579C0" w:rsidRDefault="007D0DAE" w:rsidP="00952FE8">
            <w:pPr>
              <w:spacing w:line="480" w:lineRule="auto"/>
            </w:pPr>
            <w:r w:rsidRPr="004579C0">
              <w:t>0.130833585</w:t>
            </w:r>
          </w:p>
        </w:tc>
        <w:tc>
          <w:tcPr>
            <w:tcW w:w="1402" w:type="dxa"/>
            <w:shd w:val="clear" w:color="auto" w:fill="auto"/>
            <w:vAlign w:val="center"/>
          </w:tcPr>
          <w:p w:rsidR="007D0DAE" w:rsidRPr="004579C0" w:rsidRDefault="007D0DAE" w:rsidP="00952FE8">
            <w:pPr>
              <w:spacing w:line="480" w:lineRule="auto"/>
            </w:pPr>
            <w:r w:rsidRPr="004579C0">
              <w:t>16.05</w:t>
            </w:r>
          </w:p>
        </w:tc>
        <w:tc>
          <w:tcPr>
            <w:tcW w:w="1434" w:type="dxa"/>
            <w:vAlign w:val="center"/>
          </w:tcPr>
          <w:p w:rsidR="007D0DAE" w:rsidRPr="004579C0" w:rsidRDefault="007D0DAE" w:rsidP="00952FE8">
            <w:pPr>
              <w:spacing w:line="480" w:lineRule="auto"/>
            </w:pPr>
            <w:r w:rsidRPr="004579C0">
              <w:t>1.21</w:t>
            </w:r>
          </w:p>
        </w:tc>
        <w:tc>
          <w:tcPr>
            <w:tcW w:w="1434" w:type="dxa"/>
            <w:shd w:val="clear" w:color="auto" w:fill="auto"/>
            <w:vAlign w:val="center"/>
          </w:tcPr>
          <w:p w:rsidR="007D0DAE" w:rsidRPr="004579C0" w:rsidRDefault="007D0DAE" w:rsidP="00952FE8">
            <w:pPr>
              <w:spacing w:line="480" w:lineRule="auto"/>
            </w:pPr>
            <w:r w:rsidRPr="004579C0">
              <w:t>8</w:t>
            </w:r>
          </w:p>
        </w:tc>
        <w:tc>
          <w:tcPr>
            <w:tcW w:w="1409" w:type="dxa"/>
            <w:shd w:val="clear" w:color="auto" w:fill="auto"/>
            <w:vAlign w:val="center"/>
          </w:tcPr>
          <w:p w:rsidR="007D0DAE" w:rsidRPr="004579C0" w:rsidRDefault="007D0DAE" w:rsidP="00952FE8">
            <w:pPr>
              <w:spacing w:line="480" w:lineRule="auto"/>
            </w:pPr>
            <w:r w:rsidRPr="004579C0">
              <w:t>16.7</w:t>
            </w:r>
          </w:p>
        </w:tc>
      </w:tr>
      <w:tr w:rsidR="007D0DAE" w:rsidRPr="004356D1" w:rsidTr="00952FE8">
        <w:trPr>
          <w:trHeight w:val="484"/>
        </w:trPr>
        <w:tc>
          <w:tcPr>
            <w:tcW w:w="1405" w:type="dxa"/>
            <w:shd w:val="clear" w:color="auto" w:fill="auto"/>
            <w:vAlign w:val="center"/>
          </w:tcPr>
          <w:p w:rsidR="007D0DAE" w:rsidRPr="004579C0" w:rsidRDefault="007D0DAE" w:rsidP="00952FE8">
            <w:pPr>
              <w:spacing w:line="480" w:lineRule="auto"/>
            </w:pPr>
            <w:r w:rsidRPr="004579C0">
              <w:t>6B</w:t>
            </w:r>
          </w:p>
        </w:tc>
        <w:tc>
          <w:tcPr>
            <w:tcW w:w="1621" w:type="dxa"/>
            <w:shd w:val="clear" w:color="auto" w:fill="auto"/>
            <w:vAlign w:val="center"/>
          </w:tcPr>
          <w:p w:rsidR="007D0DAE" w:rsidRPr="004579C0" w:rsidRDefault="007D0DAE" w:rsidP="00952FE8">
            <w:pPr>
              <w:spacing w:line="480" w:lineRule="auto"/>
            </w:pPr>
            <w:r w:rsidRPr="004579C0">
              <w:t>15.29300567</w:t>
            </w:r>
          </w:p>
        </w:tc>
        <w:tc>
          <w:tcPr>
            <w:tcW w:w="1402" w:type="dxa"/>
            <w:vAlign w:val="center"/>
          </w:tcPr>
          <w:p w:rsidR="007D0DAE" w:rsidRPr="004579C0" w:rsidRDefault="007D0DAE" w:rsidP="00952FE8">
            <w:pPr>
              <w:spacing w:line="480" w:lineRule="auto"/>
            </w:pPr>
            <w:r w:rsidRPr="004579C0">
              <w:t>0.15074171</w:t>
            </w:r>
          </w:p>
        </w:tc>
        <w:tc>
          <w:tcPr>
            <w:tcW w:w="1402" w:type="dxa"/>
            <w:shd w:val="clear" w:color="auto" w:fill="auto"/>
            <w:vAlign w:val="center"/>
          </w:tcPr>
          <w:p w:rsidR="007D0DAE" w:rsidRPr="004579C0" w:rsidRDefault="007D0DAE" w:rsidP="00952FE8">
            <w:pPr>
              <w:spacing w:line="480" w:lineRule="auto"/>
            </w:pPr>
            <w:r w:rsidRPr="004579C0">
              <w:t>32.1</w:t>
            </w:r>
          </w:p>
        </w:tc>
        <w:tc>
          <w:tcPr>
            <w:tcW w:w="1434" w:type="dxa"/>
            <w:vAlign w:val="center"/>
          </w:tcPr>
          <w:p w:rsidR="007D0DAE" w:rsidRPr="004579C0" w:rsidRDefault="007D0DAE" w:rsidP="00952FE8">
            <w:pPr>
              <w:spacing w:line="480" w:lineRule="auto"/>
            </w:pPr>
            <w:r w:rsidRPr="004579C0">
              <w:t>1.39</w:t>
            </w:r>
          </w:p>
        </w:tc>
        <w:tc>
          <w:tcPr>
            <w:tcW w:w="1434" w:type="dxa"/>
            <w:shd w:val="clear" w:color="auto" w:fill="auto"/>
            <w:vAlign w:val="center"/>
          </w:tcPr>
          <w:p w:rsidR="007D0DAE" w:rsidRPr="004579C0" w:rsidRDefault="007D0DAE" w:rsidP="00952FE8">
            <w:pPr>
              <w:spacing w:line="480" w:lineRule="auto"/>
            </w:pPr>
            <w:r w:rsidRPr="004579C0">
              <w:t>5</w:t>
            </w:r>
          </w:p>
        </w:tc>
        <w:tc>
          <w:tcPr>
            <w:tcW w:w="1409" w:type="dxa"/>
            <w:shd w:val="clear" w:color="auto" w:fill="auto"/>
            <w:vAlign w:val="center"/>
          </w:tcPr>
          <w:p w:rsidR="007D0DAE" w:rsidRPr="004579C0" w:rsidRDefault="007D0DAE" w:rsidP="00952FE8">
            <w:pPr>
              <w:spacing w:line="480" w:lineRule="auto"/>
            </w:pPr>
            <w:r w:rsidRPr="004579C0">
              <w:t>19.9</w:t>
            </w:r>
          </w:p>
        </w:tc>
      </w:tr>
    </w:tbl>
    <w:p w:rsidR="007D0DAE" w:rsidRPr="004356D1" w:rsidRDefault="007D0DAE" w:rsidP="007D0DAE">
      <w:r w:rsidRPr="004356D1">
        <w:rPr>
          <w:i/>
          <w:iCs/>
          <w:lang w:val="fr-FR"/>
        </w:rPr>
        <w:t>Table S1</w:t>
      </w:r>
      <w:r w:rsidRPr="004356D1">
        <w:t xml:space="preserve">. Dataset used to fit the epidemiological compartmental model.  This set of observations was created by combining the longitudinal data from Sleeman </w:t>
      </w:r>
      <w:r w:rsidRPr="004356D1">
        <w:rPr>
          <w:i/>
          <w:iCs/>
        </w:rPr>
        <w:t>et al.</w:t>
      </w:r>
      <w:r w:rsidRPr="004356D1">
        <w:t xml:space="preserve"> </w:t>
      </w:r>
      <w:r>
        <w:fldChar w:fldCharType="begin"/>
      </w:r>
      <w:r>
        <w:instrText xml:space="preserve"> ADDIN EN.CITE &lt;EndNote&gt;&lt;Cite&gt;&lt;Author&gt;Sleeman&lt;/Author&gt;&lt;Year&gt;2006&lt;/Year&gt;&lt;RecNum&gt;83&lt;/RecNum&gt;&lt;DisplayText&gt;(Sleeman et al., 2006)&lt;/DisplayText&gt;&lt;record&gt;&lt;rec-number&gt;83&lt;/rec-number&gt;&lt;foreign-keys&gt;&lt;key app="EN" db-id="arwsepdx905dwferawv5zt2ow09fwwt0ttfa" timestamp="1600111040" guid="a784d482-83cd-4592-9867-f7ca4d64f2ec"&gt;83&lt;/key&gt;&lt;/foreign-keys&gt;&lt;ref-type name="Journal Article"&gt;17&lt;/ref-type&gt;&lt;contributors&gt;&lt;authors&gt;&lt;author&gt;Sleeman, K. L.&lt;/author&gt;&lt;author&gt;Griffiths, D.&lt;/author&gt;&lt;author&gt;Shackley, F.&lt;/author&gt;&lt;author&gt;Diggle, L.&lt;/author&gt;&lt;author&gt;Gupta, S.&lt;/author&gt;&lt;author&gt;Maiden, M. C.&lt;/author&gt;&lt;author&gt;Moxon, E. R.&lt;/author&gt;&lt;author&gt;Crook, D. W.&lt;/author&gt;&lt;author&gt;Peto, T. E.&lt;/author&gt;&lt;/authors&gt;&lt;/contributors&gt;&lt;titles&gt;&lt;title&gt;Capsular serotype-specific attack rates and duration of carriage of Streptococcus pneumoniae in a population of children&lt;/title&gt;&lt;secondary-title&gt;J Infect Dis&lt;/secondary-title&gt;&lt;/titles&gt;&lt;periodical&gt;&lt;full-title&gt;J Infect Dis&lt;/full-title&gt;&lt;/periodical&gt;&lt;pages&gt;682-8&lt;/pages&gt;&lt;volume&gt;194&lt;/volume&gt;&lt;number&gt;5&lt;/number&gt;&lt;edition&gt;2006/07/25&lt;/edition&gt;&lt;keywords&gt;&lt;keyword&gt;Child&lt;/keyword&gt;&lt;keyword&gt;Humans&lt;/keyword&gt;&lt;keyword&gt;Longitudinal Studies&lt;/keyword&gt;&lt;keyword&gt;Pneumococcal Infections&lt;/keyword&gt;&lt;keyword&gt;Serotyping&lt;/keyword&gt;&lt;keyword&gt;Streptococcus pneumoniae&lt;/keyword&gt;&lt;keyword&gt;United Kingdom&lt;/keyword&gt;&lt;/keywords&gt;&lt;dates&gt;&lt;year&gt;2006&lt;/year&gt;&lt;pub-dates&gt;&lt;date&gt;Sep&lt;/date&gt;&lt;/pub-dates&gt;&lt;/dates&gt;&lt;isbn&gt;0022-1899&lt;/isbn&gt;&lt;accession-num&gt;16897668&lt;/accession-num&gt;&lt;urls&gt;&lt;related-urls&gt;&lt;url&gt;https://www.ncbi.nlm.nih.gov/pubmed/16897668&lt;/url&gt;&lt;/related-urls&gt;&lt;/urls&gt;&lt;electronic-resource-num&gt;10.1086/505710&lt;/electronic-resource-num&gt;&lt;language&gt;eng&lt;/language&gt;&lt;/record&gt;&lt;/Cite&gt;&lt;/EndNote&gt;</w:instrText>
      </w:r>
      <w:r>
        <w:fldChar w:fldCharType="separate"/>
      </w:r>
      <w:r>
        <w:rPr>
          <w:noProof/>
        </w:rPr>
        <w:t>(Sleeman et al., 2006)</w:t>
      </w:r>
      <w:r>
        <w:fldChar w:fldCharType="end"/>
      </w:r>
      <w:r w:rsidRPr="004356D1">
        <w:t xml:space="preserve"> with the cross-sectional study of Brueggemann </w:t>
      </w:r>
      <w:r w:rsidRPr="004356D1">
        <w:rPr>
          <w:i/>
          <w:iCs/>
        </w:rPr>
        <w:t>et al.</w:t>
      </w:r>
      <w:r w:rsidRPr="004356D1">
        <w:t xml:space="preserve"> </w:t>
      </w:r>
      <w:r>
        <w:fldChar w:fldCharType="begin"/>
      </w:r>
      <w:r>
        <w:instrText xml:space="preserve"> ADDIN EN.CITE &lt;EndNote&gt;&lt;Cite&gt;&lt;Author&gt;Brueggemann&lt;/Author&gt;&lt;Year&gt;2004&lt;/Year&gt;&lt;RecNum&gt;84&lt;/RecNum&gt;&lt;DisplayText&gt;(Brueggemann et al., 2004)&lt;/DisplayText&gt;&lt;record&gt;&lt;rec-number&gt;84&lt;/rec-number&gt;&lt;foreign-keys&gt;&lt;key app="EN" db-id="arwsepdx905dwferawv5zt2ow09fwwt0ttfa" timestamp="1600111040" guid="67b9d3ae-07b7-44c8-8ae1-0af83345c6dc"&gt;84&lt;/key&gt;&lt;/foreign-keys&gt;&lt;ref-type name="Journal Article"&gt;17&lt;/ref-type&gt;&lt;contributors&gt;&lt;authors&gt;&lt;author&gt;Brueggemann, A. B.&lt;/author&gt;&lt;author&gt;Peto, T. E.&lt;/author&gt;&lt;author&gt;Crook, D. W.&lt;/author&gt;&lt;author&gt;Butler, J. C.&lt;/author&gt;&lt;author&gt;Kristinsson, K. G.&lt;/author&gt;&lt;author&gt;Spratt, B. G.&lt;/author&gt;&lt;/authors&gt;&lt;/contributors&gt;&lt;titles&gt;&lt;title&gt;Temporal and geographic stability of the serogroup-specific invasive disease potential of Streptococcus pneumoniae in children&lt;/title&gt;&lt;secondary-title&gt;J Infect Dis&lt;/secondary-title&gt;&lt;/titles&gt;&lt;periodical&gt;&lt;full-title&gt;J Infect Dis&lt;/full-title&gt;&lt;/periodical&gt;&lt;pages&gt;1203-11&lt;/pages&gt;&lt;volume&gt;190&lt;/volume&gt;&lt;number&gt;7&lt;/number&gt;&lt;edition&gt;2004/08/25&lt;/edition&gt;&lt;keywords&gt;&lt;keyword&gt;Child&lt;/keyword&gt;&lt;keyword&gt;Humans&lt;/keyword&gt;&lt;keyword&gt;Odds Ratio&lt;/keyword&gt;&lt;keyword&gt;Pneumococcal Infections&lt;/keyword&gt;&lt;keyword&gt;Pneumococcal Vaccines&lt;/keyword&gt;&lt;keyword&gt;Serotyping&lt;/keyword&gt;&lt;keyword&gt;Streptococcus pneumoniae&lt;/keyword&gt;&lt;/keywords&gt;&lt;dates&gt;&lt;year&gt;2004&lt;/year&gt;&lt;pub-dates&gt;&lt;date&gt;Oct&lt;/date&gt;&lt;/pub-dates&gt;&lt;/dates&gt;&lt;isbn&gt;0022-1899&lt;/isbn&gt;&lt;accession-num&gt;15346329&lt;/accession-num&gt;&lt;urls&gt;&lt;related-urls&gt;&lt;url&gt;https://www.ncbi.nlm.nih.gov/pubmed/15346329&lt;/url&gt;&lt;/related-urls&gt;&lt;/urls&gt;&lt;electronic-resource-num&gt;10.1086/423820&lt;/electronic-resource-num&gt;&lt;language&gt;eng&lt;/language&gt;&lt;/record&gt;&lt;/Cite&gt;&lt;/EndNote&gt;</w:instrText>
      </w:r>
      <w:r>
        <w:fldChar w:fldCharType="separate"/>
      </w:r>
      <w:r>
        <w:rPr>
          <w:noProof/>
        </w:rPr>
        <w:t>(Brueggemann et al., 2004)</w:t>
      </w:r>
      <w:r>
        <w:fldChar w:fldCharType="end"/>
      </w:r>
      <w:r w:rsidRPr="004356D1">
        <w:t xml:space="preserve">.  The data were merged using a similar method as that used by Sleeman </w:t>
      </w:r>
      <w:r w:rsidRPr="004356D1">
        <w:rPr>
          <w:i/>
          <w:iCs/>
        </w:rPr>
        <w:t>et al.</w:t>
      </w:r>
      <w:r w:rsidRPr="004356D1">
        <w:t xml:space="preserve"> except we included the imputed data points highlighted in yellow. Because the data are derived from separate studies, the column attributes will not perfectly align with one another. For example, serotype 33F registered 0 invasive cases, yet has a non-zero invasive odds ratio. This is because the invasive cases attribute came from the Sleeman study while the IOR data were from Brueggemann </w:t>
      </w:r>
      <w:r w:rsidRPr="004356D1">
        <w:rPr>
          <w:i/>
          <w:iCs/>
        </w:rPr>
        <w:t>et al.</w:t>
      </w:r>
    </w:p>
    <w:p w:rsidR="007D0DAE" w:rsidRPr="004356D1" w:rsidRDefault="007D0DAE" w:rsidP="007D0DAE">
      <w:pPr>
        <w:spacing w:line="480" w:lineRule="auto"/>
      </w:pPr>
    </w:p>
    <w:p w:rsidR="007D0DAE" w:rsidRPr="004356D1" w:rsidRDefault="007D0DAE" w:rsidP="007D0DAE">
      <w:pPr>
        <w:spacing w:line="480" w:lineRule="auto"/>
        <w:rPr>
          <w:bCs/>
        </w:rPr>
      </w:pPr>
      <w:r w:rsidRPr="004356D1">
        <w:rPr>
          <w:b/>
          <w:bCs/>
        </w:rPr>
        <w:t xml:space="preserve">Table S2. </w:t>
      </w:r>
      <w:r w:rsidRPr="004356D1">
        <w:t>Model comparison of epidemiological models with different invasion timing</w:t>
      </w:r>
    </w:p>
    <w:tbl>
      <w:tblPr>
        <w:tblW w:w="9360" w:type="dxa"/>
        <w:tblInd w:w="36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340"/>
        <w:gridCol w:w="2340"/>
        <w:gridCol w:w="2340"/>
        <w:gridCol w:w="2340"/>
      </w:tblGrid>
      <w:tr w:rsidR="007D0DAE" w:rsidRPr="004356D1" w:rsidTr="00952FE8">
        <w:trPr>
          <w:trHeight w:val="635"/>
        </w:trPr>
        <w:tc>
          <w:tcPr>
            <w:tcW w:w="2340" w:type="dxa"/>
            <w:tcBorders>
              <w:top w:val="single" w:sz="6" w:space="0" w:color="CCCCCC"/>
              <w:left w:val="single" w:sz="6" w:space="0" w:color="CCCCCC"/>
              <w:bottom w:val="single" w:sz="6" w:space="0" w:color="CCCCCC"/>
              <w:right w:val="single" w:sz="6" w:space="0" w:color="CCCCCC"/>
            </w:tcBorders>
            <w:shd w:val="clear" w:color="auto" w:fill="auto"/>
            <w:tcMar>
              <w:top w:w="80" w:type="dxa"/>
              <w:left w:w="80" w:type="dxa"/>
              <w:bottom w:w="80" w:type="dxa"/>
              <w:right w:w="80" w:type="dxa"/>
            </w:tcMar>
            <w:vAlign w:val="bottom"/>
          </w:tcPr>
          <w:p w:rsidR="007D0DAE" w:rsidRPr="004356D1" w:rsidRDefault="007D0DAE" w:rsidP="00952FE8">
            <w:pPr>
              <w:spacing w:line="480" w:lineRule="auto"/>
            </w:pPr>
            <w:r w:rsidRPr="004356D1">
              <w:t>Criterion</w:t>
            </w:r>
          </w:p>
        </w:tc>
        <w:tc>
          <w:tcPr>
            <w:tcW w:w="2340" w:type="dxa"/>
            <w:tcBorders>
              <w:top w:val="single" w:sz="6" w:space="0" w:color="CCCCCC"/>
              <w:left w:val="single" w:sz="6" w:space="0" w:color="CCCCCC"/>
              <w:bottom w:val="single" w:sz="6" w:space="0" w:color="CCCCCC"/>
              <w:right w:val="single" w:sz="6" w:space="0" w:color="CCCCCC"/>
            </w:tcBorders>
            <w:shd w:val="clear" w:color="auto" w:fill="auto"/>
            <w:tcMar>
              <w:top w:w="80" w:type="dxa"/>
              <w:left w:w="80" w:type="dxa"/>
              <w:bottom w:w="80" w:type="dxa"/>
              <w:right w:w="80" w:type="dxa"/>
            </w:tcMar>
            <w:vAlign w:val="bottom"/>
          </w:tcPr>
          <w:p w:rsidR="007D0DAE" w:rsidRPr="004356D1" w:rsidRDefault="007D0DAE" w:rsidP="00952FE8">
            <w:pPr>
              <w:spacing w:line="480" w:lineRule="auto"/>
            </w:pPr>
            <w:r w:rsidRPr="004356D1">
              <w:t>Early Progression Model</w:t>
            </w:r>
          </w:p>
        </w:tc>
        <w:tc>
          <w:tcPr>
            <w:tcW w:w="2340" w:type="dxa"/>
            <w:tcBorders>
              <w:top w:val="single" w:sz="6" w:space="0" w:color="CCCCCC"/>
              <w:left w:val="single" w:sz="6" w:space="0" w:color="CCCCCC"/>
              <w:bottom w:val="single" w:sz="6" w:space="0" w:color="CCCCCC"/>
              <w:right w:val="single" w:sz="6" w:space="0" w:color="CCCCCC"/>
            </w:tcBorders>
            <w:shd w:val="clear" w:color="auto" w:fill="auto"/>
            <w:tcMar>
              <w:top w:w="80" w:type="dxa"/>
              <w:left w:w="80" w:type="dxa"/>
              <w:bottom w:w="80" w:type="dxa"/>
              <w:right w:w="80" w:type="dxa"/>
            </w:tcMar>
            <w:vAlign w:val="bottom"/>
          </w:tcPr>
          <w:p w:rsidR="007D0DAE" w:rsidRPr="004356D1" w:rsidRDefault="007D0DAE" w:rsidP="00952FE8">
            <w:pPr>
              <w:spacing w:line="480" w:lineRule="auto"/>
            </w:pPr>
            <w:r w:rsidRPr="004356D1">
              <w:t>Cons. Progression Model</w:t>
            </w:r>
          </w:p>
        </w:tc>
        <w:tc>
          <w:tcPr>
            <w:tcW w:w="2340" w:type="dxa"/>
            <w:tcBorders>
              <w:top w:val="single" w:sz="6" w:space="0" w:color="CCCCCC"/>
              <w:left w:val="single" w:sz="6" w:space="0" w:color="CCCCCC"/>
              <w:bottom w:val="single" w:sz="6" w:space="0" w:color="CCCCCC"/>
              <w:right w:val="single" w:sz="6" w:space="0" w:color="CCCCCC"/>
            </w:tcBorders>
            <w:shd w:val="clear" w:color="auto" w:fill="auto"/>
            <w:tcMar>
              <w:top w:w="80" w:type="dxa"/>
              <w:left w:w="80" w:type="dxa"/>
              <w:bottom w:w="80" w:type="dxa"/>
              <w:right w:w="80" w:type="dxa"/>
            </w:tcMar>
            <w:vAlign w:val="bottom"/>
          </w:tcPr>
          <w:p w:rsidR="007D0DAE" w:rsidRPr="004356D1" w:rsidRDefault="007D0DAE" w:rsidP="00952FE8">
            <w:pPr>
              <w:spacing w:line="480" w:lineRule="auto"/>
            </w:pPr>
            <w:r w:rsidRPr="004356D1">
              <w:t>Comparison Probability</w:t>
            </w:r>
          </w:p>
        </w:tc>
      </w:tr>
      <w:tr w:rsidR="007D0DAE" w:rsidRPr="004356D1" w:rsidTr="00952FE8">
        <w:trPr>
          <w:trHeight w:val="335"/>
        </w:trPr>
        <w:tc>
          <w:tcPr>
            <w:tcW w:w="2340" w:type="dxa"/>
            <w:tcBorders>
              <w:top w:val="single" w:sz="6" w:space="0" w:color="CCCCCC"/>
              <w:left w:val="single" w:sz="6" w:space="0" w:color="CCCCCC"/>
              <w:bottom w:val="single" w:sz="6" w:space="0" w:color="CCCCCC"/>
              <w:right w:val="single" w:sz="6" w:space="0" w:color="CCCCCC"/>
            </w:tcBorders>
            <w:shd w:val="clear" w:color="auto" w:fill="auto"/>
            <w:tcMar>
              <w:top w:w="80" w:type="dxa"/>
              <w:left w:w="80" w:type="dxa"/>
              <w:bottom w:w="80" w:type="dxa"/>
              <w:right w:w="80" w:type="dxa"/>
            </w:tcMar>
            <w:vAlign w:val="bottom"/>
          </w:tcPr>
          <w:p w:rsidR="007D0DAE" w:rsidRPr="004356D1" w:rsidRDefault="007D0DAE" w:rsidP="00952FE8">
            <w:pPr>
              <w:spacing w:line="480" w:lineRule="auto"/>
            </w:pPr>
            <w:r w:rsidRPr="004356D1">
              <w:t>AIC</w:t>
            </w:r>
          </w:p>
        </w:tc>
        <w:tc>
          <w:tcPr>
            <w:tcW w:w="2340" w:type="dxa"/>
            <w:tcBorders>
              <w:top w:val="single" w:sz="6" w:space="0" w:color="CCCCCC"/>
              <w:left w:val="single" w:sz="6" w:space="0" w:color="CCCCCC"/>
              <w:bottom w:val="single" w:sz="6" w:space="0" w:color="CCCCCC"/>
              <w:right w:val="single" w:sz="6" w:space="0" w:color="CCCCCC"/>
            </w:tcBorders>
            <w:shd w:val="clear" w:color="auto" w:fill="auto"/>
            <w:tcMar>
              <w:top w:w="80" w:type="dxa"/>
              <w:left w:w="80" w:type="dxa"/>
              <w:bottom w:w="80" w:type="dxa"/>
              <w:right w:w="80" w:type="dxa"/>
            </w:tcMar>
            <w:vAlign w:val="bottom"/>
          </w:tcPr>
          <w:p w:rsidR="007D0DAE" w:rsidRPr="004356D1" w:rsidRDefault="007D0DAE" w:rsidP="00952FE8">
            <w:pPr>
              <w:spacing w:line="480" w:lineRule="auto"/>
            </w:pPr>
            <w:r w:rsidRPr="004356D1">
              <w:t>568.723</w:t>
            </w:r>
          </w:p>
        </w:tc>
        <w:tc>
          <w:tcPr>
            <w:tcW w:w="2340" w:type="dxa"/>
            <w:tcBorders>
              <w:top w:val="single" w:sz="6" w:space="0" w:color="CCCCCC"/>
              <w:left w:val="single" w:sz="6" w:space="0" w:color="CCCCCC"/>
              <w:bottom w:val="single" w:sz="6" w:space="0" w:color="CCCCCC"/>
              <w:right w:val="single" w:sz="6" w:space="0" w:color="CCCCCC"/>
            </w:tcBorders>
            <w:shd w:val="clear" w:color="auto" w:fill="auto"/>
            <w:tcMar>
              <w:top w:w="80" w:type="dxa"/>
              <w:left w:w="80" w:type="dxa"/>
              <w:bottom w:w="80" w:type="dxa"/>
              <w:right w:w="80" w:type="dxa"/>
            </w:tcMar>
            <w:vAlign w:val="bottom"/>
          </w:tcPr>
          <w:p w:rsidR="007D0DAE" w:rsidRPr="004356D1" w:rsidRDefault="007D0DAE" w:rsidP="00952FE8">
            <w:pPr>
              <w:spacing w:line="480" w:lineRule="auto"/>
            </w:pPr>
            <w:r w:rsidRPr="004356D1">
              <w:t>599.068</w:t>
            </w:r>
          </w:p>
        </w:tc>
        <w:tc>
          <w:tcPr>
            <w:tcW w:w="2340" w:type="dxa"/>
            <w:tcBorders>
              <w:top w:val="single" w:sz="6" w:space="0" w:color="CCCCCC"/>
              <w:left w:val="single" w:sz="6" w:space="0" w:color="CCCCCC"/>
              <w:bottom w:val="single" w:sz="6" w:space="0" w:color="CCCCCC"/>
              <w:right w:val="single" w:sz="6" w:space="0" w:color="CCCCCC"/>
            </w:tcBorders>
            <w:shd w:val="clear" w:color="auto" w:fill="auto"/>
            <w:tcMar>
              <w:top w:w="80" w:type="dxa"/>
              <w:left w:w="80" w:type="dxa"/>
              <w:bottom w:w="80" w:type="dxa"/>
              <w:right w:w="80" w:type="dxa"/>
            </w:tcMar>
            <w:vAlign w:val="bottom"/>
          </w:tcPr>
          <w:p w:rsidR="007D0DAE" w:rsidRPr="004356D1" w:rsidRDefault="007D0DAE" w:rsidP="00952FE8">
            <w:pPr>
              <w:spacing w:line="480" w:lineRule="auto"/>
            </w:pPr>
            <w:r w:rsidRPr="004356D1">
              <w:t>2.57e-7</w:t>
            </w:r>
          </w:p>
        </w:tc>
      </w:tr>
      <w:tr w:rsidR="007D0DAE" w:rsidRPr="004356D1" w:rsidTr="00952FE8">
        <w:trPr>
          <w:trHeight w:val="335"/>
        </w:trPr>
        <w:tc>
          <w:tcPr>
            <w:tcW w:w="2340" w:type="dxa"/>
            <w:tcBorders>
              <w:top w:val="single" w:sz="6" w:space="0" w:color="CCCCCC"/>
              <w:left w:val="single" w:sz="6" w:space="0" w:color="CCCCCC"/>
              <w:bottom w:val="single" w:sz="6" w:space="0" w:color="CCCCCC"/>
              <w:right w:val="single" w:sz="6" w:space="0" w:color="CCCCCC"/>
            </w:tcBorders>
            <w:shd w:val="clear" w:color="auto" w:fill="auto"/>
            <w:tcMar>
              <w:top w:w="80" w:type="dxa"/>
              <w:left w:w="80" w:type="dxa"/>
              <w:bottom w:w="80" w:type="dxa"/>
              <w:right w:w="80" w:type="dxa"/>
            </w:tcMar>
            <w:vAlign w:val="bottom"/>
          </w:tcPr>
          <w:p w:rsidR="007D0DAE" w:rsidRPr="004356D1" w:rsidRDefault="007D0DAE" w:rsidP="00952FE8">
            <w:pPr>
              <w:spacing w:line="480" w:lineRule="auto"/>
            </w:pPr>
            <w:r w:rsidRPr="004356D1">
              <w:t>AICc</w:t>
            </w:r>
          </w:p>
        </w:tc>
        <w:tc>
          <w:tcPr>
            <w:tcW w:w="2340" w:type="dxa"/>
            <w:tcBorders>
              <w:top w:val="single" w:sz="6" w:space="0" w:color="CCCCCC"/>
              <w:left w:val="single" w:sz="6" w:space="0" w:color="CCCCCC"/>
              <w:bottom w:val="single" w:sz="6" w:space="0" w:color="CCCCCC"/>
              <w:right w:val="single" w:sz="6" w:space="0" w:color="CCCCCC"/>
            </w:tcBorders>
            <w:shd w:val="clear" w:color="auto" w:fill="auto"/>
            <w:tcMar>
              <w:top w:w="80" w:type="dxa"/>
              <w:left w:w="80" w:type="dxa"/>
              <w:bottom w:w="80" w:type="dxa"/>
              <w:right w:w="80" w:type="dxa"/>
            </w:tcMar>
            <w:vAlign w:val="bottom"/>
          </w:tcPr>
          <w:p w:rsidR="007D0DAE" w:rsidRPr="004356D1" w:rsidRDefault="007D0DAE" w:rsidP="00952FE8">
            <w:pPr>
              <w:spacing w:line="480" w:lineRule="auto"/>
            </w:pPr>
            <w:r w:rsidRPr="004356D1">
              <w:t>569.661</w:t>
            </w:r>
          </w:p>
        </w:tc>
        <w:tc>
          <w:tcPr>
            <w:tcW w:w="2340" w:type="dxa"/>
            <w:tcBorders>
              <w:top w:val="single" w:sz="6" w:space="0" w:color="CCCCCC"/>
              <w:left w:val="single" w:sz="6" w:space="0" w:color="CCCCCC"/>
              <w:bottom w:val="single" w:sz="6" w:space="0" w:color="CCCCCC"/>
              <w:right w:val="single" w:sz="6" w:space="0" w:color="CCCCCC"/>
            </w:tcBorders>
            <w:shd w:val="clear" w:color="auto" w:fill="auto"/>
            <w:tcMar>
              <w:top w:w="80" w:type="dxa"/>
              <w:left w:w="80" w:type="dxa"/>
              <w:bottom w:w="80" w:type="dxa"/>
              <w:right w:w="80" w:type="dxa"/>
            </w:tcMar>
            <w:vAlign w:val="bottom"/>
          </w:tcPr>
          <w:p w:rsidR="007D0DAE" w:rsidRPr="004356D1" w:rsidRDefault="007D0DAE" w:rsidP="00952FE8">
            <w:pPr>
              <w:spacing w:line="480" w:lineRule="auto"/>
            </w:pPr>
            <w:r w:rsidRPr="004356D1">
              <w:t>599.684</w:t>
            </w:r>
          </w:p>
        </w:tc>
        <w:tc>
          <w:tcPr>
            <w:tcW w:w="2340" w:type="dxa"/>
            <w:tcBorders>
              <w:top w:val="single" w:sz="6" w:space="0" w:color="CCCCCC"/>
              <w:left w:val="single" w:sz="6" w:space="0" w:color="CCCCCC"/>
              <w:bottom w:val="single" w:sz="6" w:space="0" w:color="CCCCCC"/>
              <w:right w:val="single" w:sz="6" w:space="0" w:color="CCCCCC"/>
            </w:tcBorders>
            <w:shd w:val="clear" w:color="auto" w:fill="auto"/>
            <w:tcMar>
              <w:top w:w="80" w:type="dxa"/>
              <w:left w:w="80" w:type="dxa"/>
              <w:bottom w:w="80" w:type="dxa"/>
              <w:right w:w="80" w:type="dxa"/>
            </w:tcMar>
            <w:vAlign w:val="bottom"/>
          </w:tcPr>
          <w:p w:rsidR="007D0DAE" w:rsidRPr="004356D1" w:rsidRDefault="007D0DAE" w:rsidP="00952FE8">
            <w:pPr>
              <w:spacing w:line="480" w:lineRule="auto"/>
            </w:pPr>
            <w:r w:rsidRPr="004356D1">
              <w:t>3.02e-7</w:t>
            </w:r>
          </w:p>
        </w:tc>
      </w:tr>
      <w:tr w:rsidR="007D0DAE" w:rsidRPr="004356D1" w:rsidTr="00952FE8">
        <w:trPr>
          <w:trHeight w:val="335"/>
        </w:trPr>
        <w:tc>
          <w:tcPr>
            <w:tcW w:w="2340" w:type="dxa"/>
            <w:tcBorders>
              <w:top w:val="single" w:sz="6" w:space="0" w:color="CCCCCC"/>
              <w:left w:val="single" w:sz="6" w:space="0" w:color="CCCCCC"/>
              <w:bottom w:val="single" w:sz="6" w:space="0" w:color="CCCCCC"/>
              <w:right w:val="single" w:sz="6" w:space="0" w:color="CCCCCC"/>
            </w:tcBorders>
            <w:shd w:val="clear" w:color="auto" w:fill="auto"/>
            <w:tcMar>
              <w:top w:w="80" w:type="dxa"/>
              <w:left w:w="80" w:type="dxa"/>
              <w:bottom w:w="80" w:type="dxa"/>
              <w:right w:w="80" w:type="dxa"/>
            </w:tcMar>
            <w:vAlign w:val="bottom"/>
          </w:tcPr>
          <w:p w:rsidR="007D0DAE" w:rsidRPr="004356D1" w:rsidRDefault="007D0DAE" w:rsidP="00952FE8">
            <w:pPr>
              <w:spacing w:line="480" w:lineRule="auto"/>
            </w:pPr>
            <w:r w:rsidRPr="004356D1">
              <w:t>BIC</w:t>
            </w:r>
          </w:p>
        </w:tc>
        <w:tc>
          <w:tcPr>
            <w:tcW w:w="2340" w:type="dxa"/>
            <w:tcBorders>
              <w:top w:val="single" w:sz="6" w:space="0" w:color="CCCCCC"/>
              <w:left w:val="single" w:sz="6" w:space="0" w:color="CCCCCC"/>
              <w:bottom w:val="single" w:sz="6" w:space="0" w:color="CCCCCC"/>
              <w:right w:val="single" w:sz="6" w:space="0" w:color="CCCCCC"/>
            </w:tcBorders>
            <w:shd w:val="clear" w:color="auto" w:fill="auto"/>
            <w:tcMar>
              <w:top w:w="80" w:type="dxa"/>
              <w:left w:w="80" w:type="dxa"/>
              <w:bottom w:w="80" w:type="dxa"/>
              <w:right w:w="80" w:type="dxa"/>
            </w:tcMar>
            <w:vAlign w:val="bottom"/>
          </w:tcPr>
          <w:p w:rsidR="007D0DAE" w:rsidRPr="004356D1" w:rsidRDefault="007D0DAE" w:rsidP="00952FE8">
            <w:pPr>
              <w:spacing w:line="480" w:lineRule="auto"/>
            </w:pPr>
            <w:r w:rsidRPr="004356D1">
              <w:t>579.966</w:t>
            </w:r>
          </w:p>
        </w:tc>
        <w:tc>
          <w:tcPr>
            <w:tcW w:w="2340" w:type="dxa"/>
            <w:tcBorders>
              <w:top w:val="single" w:sz="6" w:space="0" w:color="CCCCCC"/>
              <w:left w:val="single" w:sz="6" w:space="0" w:color="CCCCCC"/>
              <w:bottom w:val="single" w:sz="6" w:space="0" w:color="CCCCCC"/>
              <w:right w:val="single" w:sz="6" w:space="0" w:color="CCCCCC"/>
            </w:tcBorders>
            <w:shd w:val="clear" w:color="auto" w:fill="auto"/>
            <w:tcMar>
              <w:top w:w="80" w:type="dxa"/>
              <w:left w:w="80" w:type="dxa"/>
              <w:bottom w:w="80" w:type="dxa"/>
              <w:right w:w="80" w:type="dxa"/>
            </w:tcMar>
            <w:vAlign w:val="bottom"/>
          </w:tcPr>
          <w:p w:rsidR="007D0DAE" w:rsidRPr="004356D1" w:rsidRDefault="007D0DAE" w:rsidP="00952FE8">
            <w:pPr>
              <w:spacing w:line="480" w:lineRule="auto"/>
            </w:pPr>
            <w:r w:rsidRPr="004356D1">
              <w:t>608.062</w:t>
            </w:r>
          </w:p>
        </w:tc>
        <w:tc>
          <w:tcPr>
            <w:tcW w:w="2340" w:type="dxa"/>
            <w:tcBorders>
              <w:top w:val="single" w:sz="6" w:space="0" w:color="CCCCCC"/>
              <w:left w:val="single" w:sz="6" w:space="0" w:color="CCCCCC"/>
              <w:bottom w:val="single" w:sz="6" w:space="0" w:color="CCCCCC"/>
              <w:right w:val="single" w:sz="6" w:space="0" w:color="CCCCCC"/>
            </w:tcBorders>
            <w:shd w:val="clear" w:color="auto" w:fill="auto"/>
            <w:tcMar>
              <w:top w:w="80" w:type="dxa"/>
              <w:left w:w="80" w:type="dxa"/>
              <w:bottom w:w="80" w:type="dxa"/>
              <w:right w:w="80" w:type="dxa"/>
            </w:tcMar>
            <w:vAlign w:val="bottom"/>
          </w:tcPr>
          <w:p w:rsidR="007D0DAE" w:rsidRPr="004356D1" w:rsidRDefault="007D0DAE" w:rsidP="00952FE8">
            <w:pPr>
              <w:spacing w:line="480" w:lineRule="auto"/>
            </w:pPr>
            <w:r w:rsidRPr="004356D1">
              <w:t>7.93e-7</w:t>
            </w:r>
          </w:p>
        </w:tc>
      </w:tr>
    </w:tbl>
    <w:p w:rsidR="007D0DAE" w:rsidRPr="004356D1" w:rsidRDefault="007D0DAE" w:rsidP="007D0DAE">
      <w:pPr>
        <w:spacing w:line="480" w:lineRule="auto"/>
      </w:pPr>
    </w:p>
    <w:p w:rsidR="007D0DAE" w:rsidRPr="004356D1" w:rsidRDefault="007D0DAE" w:rsidP="007D0DAE">
      <w:r w:rsidRPr="004356D1">
        <w:rPr>
          <w:i/>
          <w:iCs/>
        </w:rPr>
        <w:t>Table S2</w:t>
      </w:r>
      <w:r w:rsidRPr="004356D1">
        <w:t xml:space="preserve">: Model comparison of the epidemiological model with the early invasion progression parameter </w:t>
      </w:r>
      <w:r w:rsidRPr="004356D1">
        <w:rPr>
          <w:i/>
          <w:iCs/>
        </w:rPr>
        <w:t>p</w:t>
      </w:r>
      <w:r w:rsidRPr="004356D1">
        <w:t xml:space="preserve"> and a constant progression parameter </w:t>
      </w:r>
      <w:r w:rsidRPr="004356D1">
        <w:rPr>
          <w:i/>
          <w:iCs/>
        </w:rPr>
        <w:t>d</w:t>
      </w:r>
      <w:r w:rsidRPr="004356D1">
        <w:t xml:space="preserve"> against a model with only the </w:t>
      </w:r>
      <w:r w:rsidRPr="004356D1">
        <w:rPr>
          <w:i/>
          <w:iCs/>
        </w:rPr>
        <w:t>d</w:t>
      </w:r>
      <w:r w:rsidRPr="004356D1">
        <w:t xml:space="preserve"> progression parameter.  The Akaike information criterion (AIC), corrected Akaike's Information Criterion (AICc) and Bayesian information criterion (BIC) all showed a significantly better fit (lower criterion value) for the model that included the early invasive disease parameter.  The comparison probability was generated by using the following formulas: </w:t>
      </w:r>
    </w:p>
    <w:p w:rsidR="007D0DAE" w:rsidRPr="004356D1" w:rsidRDefault="007D0DAE" w:rsidP="007D0DAE">
      <w:r w:rsidRPr="004356D1">
        <w:t>Δ = constant progression criterion value - early progression criterion value</w:t>
      </w:r>
    </w:p>
    <w:p w:rsidR="007D0DAE" w:rsidRPr="004356D1" w:rsidRDefault="007D0DAE" w:rsidP="007D0DAE">
      <w:r w:rsidRPr="004356D1">
        <w:rPr>
          <w:lang w:val="pt-PT"/>
        </w:rPr>
        <w:t>p = exp(-</w:t>
      </w:r>
      <w:r w:rsidRPr="004356D1">
        <w:t>Δ / 2).</w:t>
      </w:r>
    </w:p>
    <w:p w:rsidR="007D0DAE" w:rsidRDefault="007D0DAE" w:rsidP="007D0DAE">
      <w:pPr>
        <w:spacing w:line="480" w:lineRule="auto"/>
      </w:pPr>
    </w:p>
    <w:p w:rsidR="005E26DC" w:rsidRDefault="005E26DC">
      <w:bookmarkStart w:id="0" w:name="_GoBack"/>
      <w:bookmarkEnd w:id="0"/>
    </w:p>
    <w:sectPr w:rsidR="005E26DC" w:rsidSect="006B7B6D">
      <w:footerReference w:type="even" r:id="rId9"/>
      <w:footerReference w:type="default" r:id="rId10"/>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74639127"/>
      <w:docPartObj>
        <w:docPartGallery w:val="Page Numbers (Bottom of Page)"/>
        <w:docPartUnique/>
      </w:docPartObj>
    </w:sdtPr>
    <w:sdtEndPr>
      <w:rPr>
        <w:rStyle w:val="PageNumber"/>
      </w:rPr>
    </w:sdtEndPr>
    <w:sdtContent>
      <w:p w:rsidR="009A1D4F" w:rsidRDefault="007D0DAE" w:rsidP="00D021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9A1D4F" w:rsidRDefault="007D0DAE" w:rsidP="005904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94827128"/>
      <w:docPartObj>
        <w:docPartGallery w:val="Page Numbers (Bottom of Page)"/>
        <w:docPartUnique/>
      </w:docPartObj>
    </w:sdtPr>
    <w:sdtEndPr>
      <w:rPr>
        <w:rStyle w:val="PageNumber"/>
      </w:rPr>
    </w:sdtEndPr>
    <w:sdtContent>
      <w:p w:rsidR="009A1D4F" w:rsidRDefault="007D0DAE" w:rsidP="00D021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9A1D4F" w:rsidRDefault="007D0DAE" w:rsidP="009A1D4F">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E9A098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98CFF0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9437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C8CF8D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E508C2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DA3A4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6ED8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06D81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E050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4E81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10F80"/>
    <w:multiLevelType w:val="hybridMultilevel"/>
    <w:tmpl w:val="C220C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B963FF"/>
    <w:multiLevelType w:val="hybridMultilevel"/>
    <w:tmpl w:val="43A20FFE"/>
    <w:lvl w:ilvl="0" w:tplc="041866E8">
      <w:start w:val="202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F8D4926"/>
    <w:multiLevelType w:val="hybridMultilevel"/>
    <w:tmpl w:val="2FCC0058"/>
    <w:lvl w:ilvl="0" w:tplc="7FF6799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116BDC"/>
    <w:multiLevelType w:val="hybridMultilevel"/>
    <w:tmpl w:val="1D98BF46"/>
    <w:lvl w:ilvl="0" w:tplc="F40C2976">
      <w:start w:val="20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DAE"/>
    <w:rsid w:val="005E26DC"/>
    <w:rsid w:val="007D0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49ADD-A8D6-49ED-B9C7-90B7A238A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semiHidden="1" w:uiPriority="3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0DA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D0DAE"/>
    <w:pPr>
      <w:keepNext/>
      <w:spacing w:before="240" w:after="60"/>
      <w:outlineLvl w:val="0"/>
    </w:pPr>
    <w:rPr>
      <w:b/>
      <w:bCs/>
      <w:kern w:val="32"/>
    </w:rPr>
  </w:style>
  <w:style w:type="paragraph" w:styleId="Heading2">
    <w:name w:val="heading 2"/>
    <w:basedOn w:val="Normal"/>
    <w:next w:val="Normal"/>
    <w:link w:val="Heading2Char"/>
    <w:semiHidden/>
    <w:qFormat/>
    <w:rsid w:val="007D0DA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qFormat/>
    <w:rsid w:val="007D0DAE"/>
    <w:pPr>
      <w:keepNext/>
      <w:spacing w:line="480" w:lineRule="auto"/>
      <w:outlineLvl w:val="2"/>
    </w:pPr>
    <w:rPr>
      <w:rFonts w:ascii="Times" w:eastAsia="Times" w:hAnsi="Times"/>
      <w:b/>
      <w:szCs w:val="20"/>
    </w:rPr>
  </w:style>
  <w:style w:type="paragraph" w:styleId="Heading4">
    <w:name w:val="heading 4"/>
    <w:basedOn w:val="Normal"/>
    <w:next w:val="Normal"/>
    <w:link w:val="Heading4Char"/>
    <w:semiHidden/>
    <w:qFormat/>
    <w:rsid w:val="007D0DAE"/>
    <w:pPr>
      <w:keepNext/>
      <w:spacing w:line="480" w:lineRule="auto"/>
      <w:outlineLvl w:val="3"/>
    </w:pPr>
    <w:rPr>
      <w:rFonts w:ascii="Times" w:hAnsi="Times"/>
      <w:b/>
      <w:color w:val="0000FF"/>
      <w:sz w:val="44"/>
      <w:szCs w:val="20"/>
    </w:rPr>
  </w:style>
  <w:style w:type="paragraph" w:styleId="Heading5">
    <w:name w:val="heading 5"/>
    <w:basedOn w:val="Normal"/>
    <w:next w:val="Normal"/>
    <w:link w:val="Heading5Char"/>
    <w:semiHidden/>
    <w:qFormat/>
    <w:rsid w:val="007D0DAE"/>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qFormat/>
    <w:rsid w:val="007D0DAE"/>
    <w:pPr>
      <w:spacing w:before="240" w:after="60"/>
      <w:outlineLvl w:val="5"/>
    </w:pPr>
    <w:rPr>
      <w:rFonts w:ascii="Calibri" w:hAnsi="Calibri"/>
      <w:b/>
      <w:bCs/>
      <w:sz w:val="22"/>
      <w:szCs w:val="22"/>
    </w:rPr>
  </w:style>
  <w:style w:type="paragraph" w:styleId="Heading7">
    <w:name w:val="heading 7"/>
    <w:basedOn w:val="Normal"/>
    <w:next w:val="Normal"/>
    <w:link w:val="Heading7Char"/>
    <w:semiHidden/>
    <w:qFormat/>
    <w:rsid w:val="007D0DAE"/>
    <w:pPr>
      <w:spacing w:before="240" w:after="60"/>
      <w:outlineLvl w:val="6"/>
    </w:pPr>
    <w:rPr>
      <w:rFonts w:ascii="Calibri" w:hAnsi="Calibri"/>
    </w:rPr>
  </w:style>
  <w:style w:type="paragraph" w:styleId="Heading8">
    <w:name w:val="heading 8"/>
    <w:basedOn w:val="Normal"/>
    <w:next w:val="Normal"/>
    <w:link w:val="Heading8Char"/>
    <w:semiHidden/>
    <w:qFormat/>
    <w:rsid w:val="007D0DAE"/>
    <w:pPr>
      <w:spacing w:before="240" w:after="60"/>
      <w:outlineLvl w:val="7"/>
    </w:pPr>
    <w:rPr>
      <w:rFonts w:ascii="Calibri" w:hAnsi="Calibri"/>
      <w:i/>
      <w:iCs/>
    </w:rPr>
  </w:style>
  <w:style w:type="paragraph" w:styleId="Heading9">
    <w:name w:val="heading 9"/>
    <w:basedOn w:val="Normal"/>
    <w:next w:val="Normal"/>
    <w:link w:val="Heading9Char"/>
    <w:semiHidden/>
    <w:qFormat/>
    <w:rsid w:val="007D0DAE"/>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0DAE"/>
    <w:rPr>
      <w:rFonts w:ascii="Times New Roman" w:eastAsia="Times New Roman" w:hAnsi="Times New Roman" w:cs="Times New Roman"/>
      <w:b/>
      <w:bCs/>
      <w:kern w:val="32"/>
      <w:sz w:val="24"/>
      <w:szCs w:val="24"/>
    </w:rPr>
  </w:style>
  <w:style w:type="character" w:customStyle="1" w:styleId="Heading2Char">
    <w:name w:val="Heading 2 Char"/>
    <w:basedOn w:val="DefaultParagraphFont"/>
    <w:link w:val="Heading2"/>
    <w:semiHidden/>
    <w:rsid w:val="007D0DAE"/>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7D0DAE"/>
    <w:rPr>
      <w:rFonts w:ascii="Times" w:eastAsia="Times" w:hAnsi="Times" w:cs="Times New Roman"/>
      <w:b/>
      <w:sz w:val="24"/>
      <w:szCs w:val="20"/>
    </w:rPr>
  </w:style>
  <w:style w:type="character" w:customStyle="1" w:styleId="Heading4Char">
    <w:name w:val="Heading 4 Char"/>
    <w:basedOn w:val="DefaultParagraphFont"/>
    <w:link w:val="Heading4"/>
    <w:semiHidden/>
    <w:rsid w:val="007D0DAE"/>
    <w:rPr>
      <w:rFonts w:ascii="Times" w:eastAsia="Times New Roman" w:hAnsi="Times" w:cs="Times New Roman"/>
      <w:b/>
      <w:color w:val="0000FF"/>
      <w:sz w:val="44"/>
      <w:szCs w:val="20"/>
    </w:rPr>
  </w:style>
  <w:style w:type="character" w:customStyle="1" w:styleId="Heading5Char">
    <w:name w:val="Heading 5 Char"/>
    <w:basedOn w:val="DefaultParagraphFont"/>
    <w:link w:val="Heading5"/>
    <w:semiHidden/>
    <w:rsid w:val="007D0DAE"/>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7D0DAE"/>
    <w:rPr>
      <w:rFonts w:ascii="Calibri" w:eastAsia="Times New Roman" w:hAnsi="Calibri" w:cs="Times New Roman"/>
      <w:b/>
      <w:bCs/>
    </w:rPr>
  </w:style>
  <w:style w:type="character" w:customStyle="1" w:styleId="Heading7Char">
    <w:name w:val="Heading 7 Char"/>
    <w:basedOn w:val="DefaultParagraphFont"/>
    <w:link w:val="Heading7"/>
    <w:semiHidden/>
    <w:rsid w:val="007D0DAE"/>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7D0DAE"/>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7D0DAE"/>
    <w:rPr>
      <w:rFonts w:ascii="Cambria" w:eastAsia="Times New Roman" w:hAnsi="Cambria" w:cs="Times New Roman"/>
    </w:rPr>
  </w:style>
  <w:style w:type="paragraph" w:customStyle="1" w:styleId="Body">
    <w:name w:val="Body"/>
    <w:qFormat/>
    <w:rsid w:val="007D0DAE"/>
    <w:pPr>
      <w:spacing w:after="0" w:line="240" w:lineRule="auto"/>
    </w:pPr>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style>
  <w:style w:type="paragraph" w:customStyle="1" w:styleId="BodyA">
    <w:name w:val="Body A"/>
    <w:link w:val="BodyAChar"/>
    <w:qFormat/>
    <w:rsid w:val="007D0DAE"/>
    <w:pPr>
      <w:spacing w:after="0" w:line="240" w:lineRule="auto"/>
    </w:pPr>
    <w:rPr>
      <w:rFonts w:ascii="Helvetica Neue" w:eastAsia="Arial Unicode MS" w:hAnsi="Helvetica Neue" w:cs="Arial Unicode MS"/>
      <w:color w:val="000000"/>
      <w:u w:color="000000"/>
      <w:lang w:val="fr-FR"/>
      <w14:textOutline w14:w="12700" w14:cap="flat" w14:cmpd="sng" w14:algn="ctr">
        <w14:noFill/>
        <w14:prstDash w14:val="solid"/>
        <w14:miter w14:lim="400000"/>
      </w14:textOutline>
    </w:rPr>
  </w:style>
  <w:style w:type="paragraph" w:styleId="BalloonText">
    <w:name w:val="Balloon Text"/>
    <w:basedOn w:val="Normal"/>
    <w:link w:val="BalloonTextChar"/>
    <w:semiHidden/>
    <w:unhideWhenUsed/>
    <w:rsid w:val="007D0DAE"/>
    <w:rPr>
      <w:sz w:val="18"/>
      <w:szCs w:val="18"/>
    </w:rPr>
  </w:style>
  <w:style w:type="character" w:customStyle="1" w:styleId="BalloonTextChar">
    <w:name w:val="Balloon Text Char"/>
    <w:basedOn w:val="DefaultParagraphFont"/>
    <w:link w:val="BalloonText"/>
    <w:semiHidden/>
    <w:rsid w:val="007D0DAE"/>
    <w:rPr>
      <w:rFonts w:ascii="Times New Roman" w:eastAsia="Times New Roman" w:hAnsi="Times New Roman" w:cs="Times New Roman"/>
      <w:sz w:val="18"/>
      <w:szCs w:val="18"/>
    </w:rPr>
  </w:style>
  <w:style w:type="table" w:styleId="TableGrid">
    <w:name w:val="Table Grid"/>
    <w:basedOn w:val="TableNormal"/>
    <w:uiPriority w:val="39"/>
    <w:rsid w:val="007D0DA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D0DAE"/>
    <w:rPr>
      <w:color w:val="0000FF" w:themeColor="hyperlink"/>
      <w:u w:val="single"/>
    </w:rPr>
  </w:style>
  <w:style w:type="character" w:styleId="UnresolvedMention">
    <w:name w:val="Unresolved Mention"/>
    <w:basedOn w:val="DefaultParagraphFont"/>
    <w:uiPriority w:val="99"/>
    <w:semiHidden/>
    <w:unhideWhenUsed/>
    <w:rsid w:val="007D0DAE"/>
    <w:rPr>
      <w:color w:val="605E5C"/>
      <w:shd w:val="clear" w:color="auto" w:fill="E1DFDD"/>
    </w:rPr>
  </w:style>
  <w:style w:type="character" w:styleId="PlaceholderText">
    <w:name w:val="Placeholder Text"/>
    <w:basedOn w:val="DefaultParagraphFont"/>
    <w:uiPriority w:val="99"/>
    <w:semiHidden/>
    <w:rsid w:val="007D0DAE"/>
    <w:rPr>
      <w:color w:val="808080"/>
    </w:rPr>
  </w:style>
  <w:style w:type="paragraph" w:styleId="CommentText">
    <w:name w:val="annotation text"/>
    <w:basedOn w:val="Normal"/>
    <w:link w:val="CommentTextChar"/>
    <w:unhideWhenUsed/>
    <w:rsid w:val="007D0DAE"/>
    <w:rPr>
      <w:sz w:val="20"/>
      <w:szCs w:val="20"/>
    </w:rPr>
  </w:style>
  <w:style w:type="character" w:customStyle="1" w:styleId="CommentTextChar">
    <w:name w:val="Comment Text Char"/>
    <w:basedOn w:val="DefaultParagraphFont"/>
    <w:link w:val="CommentText"/>
    <w:rsid w:val="007D0DAE"/>
    <w:rPr>
      <w:rFonts w:ascii="Times New Roman" w:eastAsia="Times New Roman" w:hAnsi="Times New Roman" w:cs="Times New Roman"/>
      <w:sz w:val="20"/>
      <w:szCs w:val="20"/>
    </w:rPr>
  </w:style>
  <w:style w:type="character" w:styleId="CommentReference">
    <w:name w:val="annotation reference"/>
    <w:basedOn w:val="DefaultParagraphFont"/>
    <w:semiHidden/>
    <w:unhideWhenUsed/>
    <w:rsid w:val="007D0DAE"/>
    <w:rPr>
      <w:sz w:val="16"/>
      <w:szCs w:val="16"/>
    </w:rPr>
  </w:style>
  <w:style w:type="paragraph" w:styleId="CommentSubject">
    <w:name w:val="annotation subject"/>
    <w:basedOn w:val="CommentText"/>
    <w:next w:val="CommentText"/>
    <w:link w:val="CommentSubjectChar"/>
    <w:semiHidden/>
    <w:unhideWhenUsed/>
    <w:rsid w:val="007D0DAE"/>
    <w:rPr>
      <w:b/>
      <w:bCs/>
    </w:rPr>
  </w:style>
  <w:style w:type="character" w:customStyle="1" w:styleId="CommentSubjectChar">
    <w:name w:val="Comment Subject Char"/>
    <w:basedOn w:val="CommentTextChar"/>
    <w:link w:val="CommentSubject"/>
    <w:semiHidden/>
    <w:rsid w:val="007D0DAE"/>
    <w:rPr>
      <w:rFonts w:ascii="Times New Roman" w:eastAsia="Times New Roman" w:hAnsi="Times New Roman" w:cs="Times New Roman"/>
      <w:b/>
      <w:bCs/>
      <w:sz w:val="20"/>
      <w:szCs w:val="20"/>
    </w:rPr>
  </w:style>
  <w:style w:type="paragraph" w:styleId="Revision">
    <w:name w:val="Revision"/>
    <w:hidden/>
    <w:uiPriority w:val="99"/>
    <w:semiHidden/>
    <w:rsid w:val="007D0DAE"/>
    <w:pPr>
      <w:spacing w:after="0" w:line="240" w:lineRule="auto"/>
    </w:pPr>
    <w:rPr>
      <w:rFonts w:ascii="Times New Roman" w:eastAsia="Times New Roman" w:hAnsi="Times New Roman" w:cs="Times New Roman"/>
      <w:sz w:val="24"/>
      <w:szCs w:val="24"/>
    </w:rPr>
  </w:style>
  <w:style w:type="character" w:customStyle="1" w:styleId="named-content">
    <w:name w:val="named-content"/>
    <w:basedOn w:val="DefaultParagraphFont"/>
    <w:rsid w:val="007D0DAE"/>
  </w:style>
  <w:style w:type="paragraph" w:styleId="ListParagraph">
    <w:name w:val="List Paragraph"/>
    <w:basedOn w:val="Normal"/>
    <w:uiPriority w:val="34"/>
    <w:qFormat/>
    <w:rsid w:val="007D0DAE"/>
    <w:pPr>
      <w:ind w:left="720"/>
      <w:contextualSpacing/>
    </w:pPr>
  </w:style>
  <w:style w:type="paragraph" w:styleId="Header">
    <w:name w:val="header"/>
    <w:basedOn w:val="Normal"/>
    <w:link w:val="HeaderChar"/>
    <w:unhideWhenUsed/>
    <w:rsid w:val="007D0DAE"/>
    <w:pPr>
      <w:tabs>
        <w:tab w:val="center" w:pos="4680"/>
        <w:tab w:val="right" w:pos="9360"/>
      </w:tabs>
    </w:pPr>
  </w:style>
  <w:style w:type="character" w:customStyle="1" w:styleId="HeaderChar">
    <w:name w:val="Header Char"/>
    <w:basedOn w:val="DefaultParagraphFont"/>
    <w:link w:val="Header"/>
    <w:rsid w:val="007D0DAE"/>
    <w:rPr>
      <w:rFonts w:ascii="Times New Roman" w:eastAsia="Times New Roman" w:hAnsi="Times New Roman" w:cs="Times New Roman"/>
      <w:sz w:val="24"/>
      <w:szCs w:val="24"/>
    </w:rPr>
  </w:style>
  <w:style w:type="paragraph" w:styleId="Footer">
    <w:name w:val="footer"/>
    <w:basedOn w:val="Normal"/>
    <w:link w:val="FooterChar"/>
    <w:unhideWhenUsed/>
    <w:rsid w:val="007D0DAE"/>
    <w:pPr>
      <w:tabs>
        <w:tab w:val="center" w:pos="4680"/>
        <w:tab w:val="right" w:pos="9360"/>
      </w:tabs>
    </w:pPr>
  </w:style>
  <w:style w:type="character" w:customStyle="1" w:styleId="FooterChar">
    <w:name w:val="Footer Char"/>
    <w:basedOn w:val="DefaultParagraphFont"/>
    <w:link w:val="Footer"/>
    <w:rsid w:val="007D0DAE"/>
    <w:rPr>
      <w:rFonts w:ascii="Times New Roman" w:eastAsia="Times New Roman" w:hAnsi="Times New Roman" w:cs="Times New Roman"/>
      <w:sz w:val="24"/>
      <w:szCs w:val="24"/>
    </w:rPr>
  </w:style>
  <w:style w:type="paragraph" w:customStyle="1" w:styleId="EndNoteBibliographyTitle">
    <w:name w:val="EndNote Bibliography Title"/>
    <w:basedOn w:val="Normal"/>
    <w:link w:val="EndNoteBibliographyTitleChar"/>
    <w:rsid w:val="007D0DAE"/>
    <w:pPr>
      <w:jc w:val="center"/>
    </w:pPr>
    <w:rPr>
      <w:color w:val="000000"/>
      <w:u w:color="000000"/>
      <w:lang w:val="fr-FR"/>
      <w14:textOutline w14:w="12700" w14:cap="flat" w14:cmpd="sng" w14:algn="ctr">
        <w14:noFill/>
        <w14:prstDash w14:val="solid"/>
        <w14:miter w14:lim="400000"/>
      </w14:textOutline>
    </w:rPr>
  </w:style>
  <w:style w:type="character" w:customStyle="1" w:styleId="BodyAChar">
    <w:name w:val="Body A Char"/>
    <w:basedOn w:val="DefaultParagraphFont"/>
    <w:link w:val="BodyA"/>
    <w:rsid w:val="007D0DAE"/>
    <w:rPr>
      <w:rFonts w:ascii="Helvetica Neue" w:eastAsia="Arial Unicode MS" w:hAnsi="Helvetica Neue" w:cs="Arial Unicode MS"/>
      <w:color w:val="000000"/>
      <w:u w:color="000000"/>
      <w:lang w:val="fr-FR"/>
      <w14:textOutline w14:w="12700" w14:cap="flat" w14:cmpd="sng" w14:algn="ctr">
        <w14:noFill/>
        <w14:prstDash w14:val="solid"/>
        <w14:miter w14:lim="400000"/>
      </w14:textOutline>
    </w:rPr>
  </w:style>
  <w:style w:type="character" w:customStyle="1" w:styleId="EndNoteBibliographyTitleChar">
    <w:name w:val="EndNote Bibliography Title Char"/>
    <w:basedOn w:val="BodyAChar"/>
    <w:link w:val="EndNoteBibliographyTitle"/>
    <w:rsid w:val="007D0DAE"/>
    <w:rPr>
      <w:rFonts w:ascii="Times New Roman" w:eastAsia="Times New Roman" w:hAnsi="Times New Roman" w:cs="Times New Roman"/>
      <w:color w:val="000000"/>
      <w:sz w:val="24"/>
      <w:szCs w:val="24"/>
      <w:u w:color="000000"/>
      <w:lang w:val="fr-FR"/>
      <w14:textOutline w14:w="12700" w14:cap="flat" w14:cmpd="sng" w14:algn="ctr">
        <w14:noFill/>
        <w14:prstDash w14:val="solid"/>
        <w14:miter w14:lim="400000"/>
      </w14:textOutline>
    </w:rPr>
  </w:style>
  <w:style w:type="paragraph" w:customStyle="1" w:styleId="EndNoteBibliography">
    <w:name w:val="EndNote Bibliography"/>
    <w:basedOn w:val="Normal"/>
    <w:link w:val="EndNoteBibliographyChar"/>
    <w:rsid w:val="007D0DAE"/>
    <w:rPr>
      <w:color w:val="000000"/>
      <w:u w:color="000000"/>
      <w:lang w:val="fr-FR"/>
      <w14:textOutline w14:w="12700" w14:cap="flat" w14:cmpd="sng" w14:algn="ctr">
        <w14:noFill/>
        <w14:prstDash w14:val="solid"/>
        <w14:miter w14:lim="400000"/>
      </w14:textOutline>
    </w:rPr>
  </w:style>
  <w:style w:type="character" w:customStyle="1" w:styleId="EndNoteBibliographyChar">
    <w:name w:val="EndNote Bibliography Char"/>
    <w:basedOn w:val="BodyAChar"/>
    <w:link w:val="EndNoteBibliography"/>
    <w:rsid w:val="007D0DAE"/>
    <w:rPr>
      <w:rFonts w:ascii="Times New Roman" w:eastAsia="Times New Roman" w:hAnsi="Times New Roman" w:cs="Times New Roman"/>
      <w:color w:val="000000"/>
      <w:sz w:val="24"/>
      <w:szCs w:val="24"/>
      <w:u w:color="000000"/>
      <w:lang w:val="fr-FR"/>
      <w14:textOutline w14:w="12700" w14:cap="flat" w14:cmpd="sng" w14:algn="ctr">
        <w14:noFill/>
        <w14:prstDash w14:val="solid"/>
        <w14:miter w14:lim="400000"/>
      </w14:textOutline>
    </w:rPr>
  </w:style>
  <w:style w:type="character" w:styleId="PageNumber">
    <w:name w:val="page number"/>
    <w:basedOn w:val="DefaultParagraphFont"/>
    <w:semiHidden/>
    <w:rsid w:val="007D0DAE"/>
  </w:style>
  <w:style w:type="paragraph" w:customStyle="1" w:styleId="SMHeading">
    <w:name w:val="SM Heading"/>
    <w:basedOn w:val="Heading1"/>
    <w:qFormat/>
    <w:rsid w:val="007D0DAE"/>
  </w:style>
  <w:style w:type="paragraph" w:customStyle="1" w:styleId="SMSubheading">
    <w:name w:val="SM Subheading"/>
    <w:basedOn w:val="Normal"/>
    <w:qFormat/>
    <w:rsid w:val="007D0DAE"/>
    <w:rPr>
      <w:szCs w:val="20"/>
      <w:u w:val="words"/>
    </w:rPr>
  </w:style>
  <w:style w:type="paragraph" w:customStyle="1" w:styleId="SMText">
    <w:name w:val="SM Text"/>
    <w:basedOn w:val="Normal"/>
    <w:qFormat/>
    <w:rsid w:val="007D0DAE"/>
    <w:pPr>
      <w:ind w:firstLine="480"/>
    </w:pPr>
    <w:rPr>
      <w:szCs w:val="20"/>
    </w:rPr>
  </w:style>
  <w:style w:type="paragraph" w:customStyle="1" w:styleId="SMcaption">
    <w:name w:val="SM caption"/>
    <w:basedOn w:val="SMText"/>
    <w:qFormat/>
    <w:rsid w:val="007D0DAE"/>
    <w:pPr>
      <w:ind w:firstLine="0"/>
    </w:pPr>
  </w:style>
  <w:style w:type="paragraph" w:styleId="Bibliography">
    <w:name w:val="Bibliography"/>
    <w:basedOn w:val="Normal"/>
    <w:next w:val="Normal"/>
    <w:uiPriority w:val="37"/>
    <w:semiHidden/>
    <w:rsid w:val="007D0DAE"/>
    <w:rPr>
      <w:szCs w:val="20"/>
    </w:rPr>
  </w:style>
  <w:style w:type="paragraph" w:styleId="BlockText">
    <w:name w:val="Block Text"/>
    <w:basedOn w:val="Normal"/>
    <w:semiHidden/>
    <w:rsid w:val="007D0DAE"/>
    <w:pPr>
      <w:spacing w:after="120"/>
      <w:ind w:left="1440" w:right="1440"/>
    </w:pPr>
    <w:rPr>
      <w:szCs w:val="20"/>
    </w:rPr>
  </w:style>
  <w:style w:type="paragraph" w:styleId="BodyText">
    <w:name w:val="Body Text"/>
    <w:basedOn w:val="Normal"/>
    <w:link w:val="BodyTextChar"/>
    <w:semiHidden/>
    <w:rsid w:val="007D0DAE"/>
    <w:pPr>
      <w:spacing w:after="120"/>
    </w:pPr>
    <w:rPr>
      <w:szCs w:val="20"/>
    </w:rPr>
  </w:style>
  <w:style w:type="character" w:customStyle="1" w:styleId="BodyTextChar">
    <w:name w:val="Body Text Char"/>
    <w:basedOn w:val="DefaultParagraphFont"/>
    <w:link w:val="BodyText"/>
    <w:semiHidden/>
    <w:rsid w:val="007D0DAE"/>
    <w:rPr>
      <w:rFonts w:ascii="Times New Roman" w:eastAsia="Times New Roman" w:hAnsi="Times New Roman" w:cs="Times New Roman"/>
      <w:sz w:val="24"/>
      <w:szCs w:val="20"/>
    </w:rPr>
  </w:style>
  <w:style w:type="paragraph" w:styleId="BodyText2">
    <w:name w:val="Body Text 2"/>
    <w:basedOn w:val="Normal"/>
    <w:link w:val="BodyText2Char"/>
    <w:semiHidden/>
    <w:rsid w:val="007D0DAE"/>
    <w:pPr>
      <w:spacing w:after="120" w:line="480" w:lineRule="auto"/>
    </w:pPr>
    <w:rPr>
      <w:szCs w:val="20"/>
    </w:rPr>
  </w:style>
  <w:style w:type="character" w:customStyle="1" w:styleId="BodyText2Char">
    <w:name w:val="Body Text 2 Char"/>
    <w:basedOn w:val="DefaultParagraphFont"/>
    <w:link w:val="BodyText2"/>
    <w:semiHidden/>
    <w:rsid w:val="007D0DAE"/>
    <w:rPr>
      <w:rFonts w:ascii="Times New Roman" w:eastAsia="Times New Roman" w:hAnsi="Times New Roman" w:cs="Times New Roman"/>
      <w:sz w:val="24"/>
      <w:szCs w:val="20"/>
    </w:rPr>
  </w:style>
  <w:style w:type="paragraph" w:styleId="BodyText3">
    <w:name w:val="Body Text 3"/>
    <w:basedOn w:val="Normal"/>
    <w:link w:val="BodyText3Char"/>
    <w:semiHidden/>
    <w:rsid w:val="007D0DAE"/>
    <w:pPr>
      <w:spacing w:after="120"/>
    </w:pPr>
    <w:rPr>
      <w:sz w:val="16"/>
      <w:szCs w:val="16"/>
    </w:rPr>
  </w:style>
  <w:style w:type="character" w:customStyle="1" w:styleId="BodyText3Char">
    <w:name w:val="Body Text 3 Char"/>
    <w:basedOn w:val="DefaultParagraphFont"/>
    <w:link w:val="BodyText3"/>
    <w:semiHidden/>
    <w:rsid w:val="007D0DAE"/>
    <w:rPr>
      <w:rFonts w:ascii="Times New Roman" w:eastAsia="Times New Roman" w:hAnsi="Times New Roman" w:cs="Times New Roman"/>
      <w:sz w:val="16"/>
      <w:szCs w:val="16"/>
    </w:rPr>
  </w:style>
  <w:style w:type="paragraph" w:styleId="BodyTextFirstIndent">
    <w:name w:val="Body Text First Indent"/>
    <w:basedOn w:val="BodyText"/>
    <w:link w:val="BodyTextFirstIndentChar"/>
    <w:semiHidden/>
    <w:rsid w:val="007D0DAE"/>
    <w:pPr>
      <w:ind w:firstLine="210"/>
    </w:pPr>
  </w:style>
  <w:style w:type="character" w:customStyle="1" w:styleId="BodyTextFirstIndentChar">
    <w:name w:val="Body Text First Indent Char"/>
    <w:basedOn w:val="BodyTextChar"/>
    <w:link w:val="BodyTextFirstIndent"/>
    <w:semiHidden/>
    <w:rsid w:val="007D0DAE"/>
    <w:rPr>
      <w:rFonts w:ascii="Times New Roman" w:eastAsia="Times New Roman" w:hAnsi="Times New Roman" w:cs="Times New Roman"/>
      <w:sz w:val="24"/>
      <w:szCs w:val="20"/>
    </w:rPr>
  </w:style>
  <w:style w:type="paragraph" w:styleId="BodyTextIndent">
    <w:name w:val="Body Text Indent"/>
    <w:basedOn w:val="Normal"/>
    <w:link w:val="BodyTextIndentChar"/>
    <w:semiHidden/>
    <w:rsid w:val="007D0DAE"/>
    <w:pPr>
      <w:spacing w:after="120"/>
      <w:ind w:left="360"/>
    </w:pPr>
    <w:rPr>
      <w:szCs w:val="20"/>
    </w:rPr>
  </w:style>
  <w:style w:type="character" w:customStyle="1" w:styleId="BodyTextIndentChar">
    <w:name w:val="Body Text Indent Char"/>
    <w:basedOn w:val="DefaultParagraphFont"/>
    <w:link w:val="BodyTextIndent"/>
    <w:semiHidden/>
    <w:rsid w:val="007D0DAE"/>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semiHidden/>
    <w:rsid w:val="007D0DAE"/>
    <w:pPr>
      <w:ind w:firstLine="210"/>
    </w:pPr>
  </w:style>
  <w:style w:type="character" w:customStyle="1" w:styleId="BodyTextFirstIndent2Char">
    <w:name w:val="Body Text First Indent 2 Char"/>
    <w:basedOn w:val="BodyTextIndentChar"/>
    <w:link w:val="BodyTextFirstIndent2"/>
    <w:semiHidden/>
    <w:rsid w:val="007D0DAE"/>
    <w:rPr>
      <w:rFonts w:ascii="Times New Roman" w:eastAsia="Times New Roman" w:hAnsi="Times New Roman" w:cs="Times New Roman"/>
      <w:sz w:val="24"/>
      <w:szCs w:val="20"/>
    </w:rPr>
  </w:style>
  <w:style w:type="paragraph" w:styleId="BodyTextIndent2">
    <w:name w:val="Body Text Indent 2"/>
    <w:basedOn w:val="Normal"/>
    <w:link w:val="BodyTextIndent2Char"/>
    <w:semiHidden/>
    <w:rsid w:val="007D0DAE"/>
    <w:pPr>
      <w:spacing w:after="120" w:line="480" w:lineRule="auto"/>
      <w:ind w:left="360"/>
    </w:pPr>
    <w:rPr>
      <w:szCs w:val="20"/>
    </w:rPr>
  </w:style>
  <w:style w:type="character" w:customStyle="1" w:styleId="BodyTextIndent2Char">
    <w:name w:val="Body Text Indent 2 Char"/>
    <w:basedOn w:val="DefaultParagraphFont"/>
    <w:link w:val="BodyTextIndent2"/>
    <w:semiHidden/>
    <w:rsid w:val="007D0DAE"/>
    <w:rPr>
      <w:rFonts w:ascii="Times New Roman" w:eastAsia="Times New Roman" w:hAnsi="Times New Roman" w:cs="Times New Roman"/>
      <w:sz w:val="24"/>
      <w:szCs w:val="20"/>
    </w:rPr>
  </w:style>
  <w:style w:type="paragraph" w:styleId="BodyTextIndent3">
    <w:name w:val="Body Text Indent 3"/>
    <w:basedOn w:val="Normal"/>
    <w:link w:val="BodyTextIndent3Char"/>
    <w:semiHidden/>
    <w:rsid w:val="007D0DAE"/>
    <w:pPr>
      <w:spacing w:after="120"/>
      <w:ind w:left="360"/>
    </w:pPr>
    <w:rPr>
      <w:sz w:val="16"/>
      <w:szCs w:val="16"/>
    </w:rPr>
  </w:style>
  <w:style w:type="character" w:customStyle="1" w:styleId="BodyTextIndent3Char">
    <w:name w:val="Body Text Indent 3 Char"/>
    <w:basedOn w:val="DefaultParagraphFont"/>
    <w:link w:val="BodyTextIndent3"/>
    <w:semiHidden/>
    <w:rsid w:val="007D0DAE"/>
    <w:rPr>
      <w:rFonts w:ascii="Times New Roman" w:eastAsia="Times New Roman" w:hAnsi="Times New Roman" w:cs="Times New Roman"/>
      <w:sz w:val="16"/>
      <w:szCs w:val="16"/>
    </w:rPr>
  </w:style>
  <w:style w:type="paragraph" w:styleId="Caption">
    <w:name w:val="caption"/>
    <w:basedOn w:val="Normal"/>
    <w:next w:val="Normal"/>
    <w:semiHidden/>
    <w:qFormat/>
    <w:rsid w:val="007D0DAE"/>
    <w:rPr>
      <w:b/>
      <w:bCs/>
      <w:sz w:val="20"/>
      <w:szCs w:val="20"/>
    </w:rPr>
  </w:style>
  <w:style w:type="paragraph" w:styleId="Closing">
    <w:name w:val="Closing"/>
    <w:basedOn w:val="Normal"/>
    <w:link w:val="ClosingChar"/>
    <w:semiHidden/>
    <w:rsid w:val="007D0DAE"/>
    <w:pPr>
      <w:ind w:left="4320"/>
    </w:pPr>
    <w:rPr>
      <w:szCs w:val="20"/>
    </w:rPr>
  </w:style>
  <w:style w:type="character" w:customStyle="1" w:styleId="ClosingChar">
    <w:name w:val="Closing Char"/>
    <w:basedOn w:val="DefaultParagraphFont"/>
    <w:link w:val="Closing"/>
    <w:semiHidden/>
    <w:rsid w:val="007D0DAE"/>
    <w:rPr>
      <w:rFonts w:ascii="Times New Roman" w:eastAsia="Times New Roman" w:hAnsi="Times New Roman" w:cs="Times New Roman"/>
      <w:sz w:val="24"/>
      <w:szCs w:val="20"/>
    </w:rPr>
  </w:style>
  <w:style w:type="paragraph" w:styleId="Date">
    <w:name w:val="Date"/>
    <w:basedOn w:val="Normal"/>
    <w:next w:val="Normal"/>
    <w:link w:val="DateChar"/>
    <w:semiHidden/>
    <w:rsid w:val="007D0DAE"/>
    <w:rPr>
      <w:szCs w:val="20"/>
    </w:rPr>
  </w:style>
  <w:style w:type="character" w:customStyle="1" w:styleId="DateChar">
    <w:name w:val="Date Char"/>
    <w:basedOn w:val="DefaultParagraphFont"/>
    <w:link w:val="Date"/>
    <w:semiHidden/>
    <w:rsid w:val="007D0DAE"/>
    <w:rPr>
      <w:rFonts w:ascii="Times New Roman" w:eastAsia="Times New Roman" w:hAnsi="Times New Roman" w:cs="Times New Roman"/>
      <w:sz w:val="24"/>
      <w:szCs w:val="20"/>
    </w:rPr>
  </w:style>
  <w:style w:type="paragraph" w:styleId="DocumentMap">
    <w:name w:val="Document Map"/>
    <w:basedOn w:val="Normal"/>
    <w:link w:val="DocumentMapChar"/>
    <w:semiHidden/>
    <w:rsid w:val="007D0DAE"/>
    <w:rPr>
      <w:rFonts w:ascii="Tahoma" w:hAnsi="Tahoma" w:cs="Tahoma"/>
      <w:sz w:val="16"/>
      <w:szCs w:val="16"/>
    </w:rPr>
  </w:style>
  <w:style w:type="character" w:customStyle="1" w:styleId="DocumentMapChar">
    <w:name w:val="Document Map Char"/>
    <w:basedOn w:val="DefaultParagraphFont"/>
    <w:link w:val="DocumentMap"/>
    <w:semiHidden/>
    <w:rsid w:val="007D0DAE"/>
    <w:rPr>
      <w:rFonts w:ascii="Tahoma" w:eastAsia="Times New Roman" w:hAnsi="Tahoma" w:cs="Tahoma"/>
      <w:sz w:val="16"/>
      <w:szCs w:val="16"/>
    </w:rPr>
  </w:style>
  <w:style w:type="paragraph" w:styleId="E-mailSignature">
    <w:name w:val="E-mail Signature"/>
    <w:basedOn w:val="Normal"/>
    <w:link w:val="E-mailSignatureChar"/>
    <w:semiHidden/>
    <w:rsid w:val="007D0DAE"/>
    <w:rPr>
      <w:szCs w:val="20"/>
    </w:rPr>
  </w:style>
  <w:style w:type="character" w:customStyle="1" w:styleId="E-mailSignatureChar">
    <w:name w:val="E-mail Signature Char"/>
    <w:basedOn w:val="DefaultParagraphFont"/>
    <w:link w:val="E-mailSignature"/>
    <w:semiHidden/>
    <w:rsid w:val="007D0DAE"/>
    <w:rPr>
      <w:rFonts w:ascii="Times New Roman" w:eastAsia="Times New Roman" w:hAnsi="Times New Roman" w:cs="Times New Roman"/>
      <w:sz w:val="24"/>
      <w:szCs w:val="20"/>
    </w:rPr>
  </w:style>
  <w:style w:type="paragraph" w:styleId="EndnoteText">
    <w:name w:val="endnote text"/>
    <w:basedOn w:val="Normal"/>
    <w:link w:val="EndnoteTextChar"/>
    <w:semiHidden/>
    <w:rsid w:val="007D0DAE"/>
    <w:rPr>
      <w:sz w:val="20"/>
      <w:szCs w:val="20"/>
    </w:rPr>
  </w:style>
  <w:style w:type="character" w:customStyle="1" w:styleId="EndnoteTextChar">
    <w:name w:val="Endnote Text Char"/>
    <w:basedOn w:val="DefaultParagraphFont"/>
    <w:link w:val="EndnoteText"/>
    <w:semiHidden/>
    <w:rsid w:val="007D0DAE"/>
    <w:rPr>
      <w:rFonts w:ascii="Times New Roman" w:eastAsia="Times New Roman" w:hAnsi="Times New Roman" w:cs="Times New Roman"/>
      <w:sz w:val="20"/>
      <w:szCs w:val="20"/>
    </w:rPr>
  </w:style>
  <w:style w:type="paragraph" w:styleId="EnvelopeAddress">
    <w:name w:val="envelope address"/>
    <w:basedOn w:val="Normal"/>
    <w:semiHidden/>
    <w:rsid w:val="007D0DAE"/>
    <w:pPr>
      <w:framePr w:w="7920" w:h="1980" w:hRule="exact" w:hSpace="180" w:wrap="auto" w:hAnchor="page" w:xAlign="center" w:yAlign="bottom"/>
      <w:ind w:left="2880"/>
    </w:pPr>
    <w:rPr>
      <w:rFonts w:ascii="Cambria" w:hAnsi="Cambria"/>
    </w:rPr>
  </w:style>
  <w:style w:type="paragraph" w:styleId="EnvelopeReturn">
    <w:name w:val="envelope return"/>
    <w:basedOn w:val="Normal"/>
    <w:semiHidden/>
    <w:rsid w:val="007D0DAE"/>
    <w:rPr>
      <w:rFonts w:ascii="Cambria" w:hAnsi="Cambria"/>
      <w:sz w:val="20"/>
      <w:szCs w:val="20"/>
    </w:rPr>
  </w:style>
  <w:style w:type="paragraph" w:styleId="FootnoteText">
    <w:name w:val="footnote text"/>
    <w:basedOn w:val="Normal"/>
    <w:link w:val="FootnoteTextChar"/>
    <w:semiHidden/>
    <w:rsid w:val="007D0DAE"/>
    <w:rPr>
      <w:sz w:val="20"/>
      <w:szCs w:val="20"/>
    </w:rPr>
  </w:style>
  <w:style w:type="character" w:customStyle="1" w:styleId="FootnoteTextChar">
    <w:name w:val="Footnote Text Char"/>
    <w:basedOn w:val="DefaultParagraphFont"/>
    <w:link w:val="FootnoteText"/>
    <w:semiHidden/>
    <w:rsid w:val="007D0DAE"/>
    <w:rPr>
      <w:rFonts w:ascii="Times New Roman" w:eastAsia="Times New Roman" w:hAnsi="Times New Roman" w:cs="Times New Roman"/>
      <w:sz w:val="20"/>
      <w:szCs w:val="20"/>
    </w:rPr>
  </w:style>
  <w:style w:type="paragraph" w:styleId="HTMLAddress">
    <w:name w:val="HTML Address"/>
    <w:basedOn w:val="Normal"/>
    <w:link w:val="HTMLAddressChar"/>
    <w:semiHidden/>
    <w:rsid w:val="007D0DAE"/>
    <w:rPr>
      <w:i/>
      <w:iCs/>
      <w:szCs w:val="20"/>
    </w:rPr>
  </w:style>
  <w:style w:type="character" w:customStyle="1" w:styleId="HTMLAddressChar">
    <w:name w:val="HTML Address Char"/>
    <w:basedOn w:val="DefaultParagraphFont"/>
    <w:link w:val="HTMLAddress"/>
    <w:semiHidden/>
    <w:rsid w:val="007D0DAE"/>
    <w:rPr>
      <w:rFonts w:ascii="Times New Roman" w:eastAsia="Times New Roman" w:hAnsi="Times New Roman" w:cs="Times New Roman"/>
      <w:i/>
      <w:iCs/>
      <w:sz w:val="24"/>
      <w:szCs w:val="20"/>
    </w:rPr>
  </w:style>
  <w:style w:type="paragraph" w:styleId="HTMLPreformatted">
    <w:name w:val="HTML Preformatted"/>
    <w:basedOn w:val="Normal"/>
    <w:link w:val="HTMLPreformattedChar"/>
    <w:semiHidden/>
    <w:rsid w:val="007D0DAE"/>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7D0DAE"/>
    <w:rPr>
      <w:rFonts w:ascii="Courier New" w:eastAsia="Times New Roman" w:hAnsi="Courier New" w:cs="Courier New"/>
      <w:sz w:val="20"/>
      <w:szCs w:val="20"/>
    </w:rPr>
  </w:style>
  <w:style w:type="paragraph" w:styleId="Index1">
    <w:name w:val="index 1"/>
    <w:basedOn w:val="Normal"/>
    <w:next w:val="Normal"/>
    <w:autoRedefine/>
    <w:semiHidden/>
    <w:rsid w:val="007D0DAE"/>
    <w:pPr>
      <w:ind w:left="240" w:hanging="240"/>
    </w:pPr>
    <w:rPr>
      <w:szCs w:val="20"/>
    </w:rPr>
  </w:style>
  <w:style w:type="paragraph" w:styleId="Index2">
    <w:name w:val="index 2"/>
    <w:basedOn w:val="Normal"/>
    <w:next w:val="Normal"/>
    <w:autoRedefine/>
    <w:semiHidden/>
    <w:rsid w:val="007D0DAE"/>
    <w:pPr>
      <w:ind w:left="480" w:hanging="240"/>
    </w:pPr>
    <w:rPr>
      <w:szCs w:val="20"/>
    </w:rPr>
  </w:style>
  <w:style w:type="paragraph" w:styleId="Index3">
    <w:name w:val="index 3"/>
    <w:basedOn w:val="Normal"/>
    <w:next w:val="Normal"/>
    <w:autoRedefine/>
    <w:semiHidden/>
    <w:rsid w:val="007D0DAE"/>
    <w:pPr>
      <w:ind w:left="720" w:hanging="240"/>
    </w:pPr>
    <w:rPr>
      <w:szCs w:val="20"/>
    </w:rPr>
  </w:style>
  <w:style w:type="paragraph" w:styleId="Index4">
    <w:name w:val="index 4"/>
    <w:basedOn w:val="Normal"/>
    <w:next w:val="Normal"/>
    <w:autoRedefine/>
    <w:semiHidden/>
    <w:rsid w:val="007D0DAE"/>
    <w:pPr>
      <w:ind w:left="960" w:hanging="240"/>
    </w:pPr>
    <w:rPr>
      <w:szCs w:val="20"/>
    </w:rPr>
  </w:style>
  <w:style w:type="paragraph" w:styleId="Index5">
    <w:name w:val="index 5"/>
    <w:basedOn w:val="Normal"/>
    <w:next w:val="Normal"/>
    <w:autoRedefine/>
    <w:semiHidden/>
    <w:rsid w:val="007D0DAE"/>
    <w:pPr>
      <w:ind w:left="1200" w:hanging="240"/>
    </w:pPr>
    <w:rPr>
      <w:szCs w:val="20"/>
    </w:rPr>
  </w:style>
  <w:style w:type="paragraph" w:styleId="Index6">
    <w:name w:val="index 6"/>
    <w:basedOn w:val="Normal"/>
    <w:next w:val="Normal"/>
    <w:autoRedefine/>
    <w:semiHidden/>
    <w:rsid w:val="007D0DAE"/>
    <w:pPr>
      <w:ind w:left="1440" w:hanging="240"/>
    </w:pPr>
    <w:rPr>
      <w:szCs w:val="20"/>
    </w:rPr>
  </w:style>
  <w:style w:type="paragraph" w:styleId="Index7">
    <w:name w:val="index 7"/>
    <w:basedOn w:val="Normal"/>
    <w:next w:val="Normal"/>
    <w:autoRedefine/>
    <w:semiHidden/>
    <w:rsid w:val="007D0DAE"/>
    <w:pPr>
      <w:ind w:left="1680" w:hanging="240"/>
    </w:pPr>
    <w:rPr>
      <w:szCs w:val="20"/>
    </w:rPr>
  </w:style>
  <w:style w:type="paragraph" w:styleId="Index8">
    <w:name w:val="index 8"/>
    <w:basedOn w:val="Normal"/>
    <w:next w:val="Normal"/>
    <w:autoRedefine/>
    <w:semiHidden/>
    <w:rsid w:val="007D0DAE"/>
    <w:pPr>
      <w:ind w:left="1920" w:hanging="240"/>
    </w:pPr>
    <w:rPr>
      <w:szCs w:val="20"/>
    </w:rPr>
  </w:style>
  <w:style w:type="paragraph" w:styleId="Index9">
    <w:name w:val="index 9"/>
    <w:basedOn w:val="Normal"/>
    <w:next w:val="Normal"/>
    <w:autoRedefine/>
    <w:semiHidden/>
    <w:rsid w:val="007D0DAE"/>
    <w:pPr>
      <w:ind w:left="2160" w:hanging="240"/>
    </w:pPr>
    <w:rPr>
      <w:szCs w:val="20"/>
    </w:rPr>
  </w:style>
  <w:style w:type="paragraph" w:styleId="IndexHeading">
    <w:name w:val="index heading"/>
    <w:basedOn w:val="Normal"/>
    <w:next w:val="Index1"/>
    <w:semiHidden/>
    <w:rsid w:val="007D0DAE"/>
    <w:rPr>
      <w:rFonts w:ascii="Cambria" w:hAnsi="Cambria"/>
      <w:b/>
      <w:bCs/>
      <w:szCs w:val="20"/>
    </w:rPr>
  </w:style>
  <w:style w:type="paragraph" w:styleId="IntenseQuote">
    <w:name w:val="Intense Quote"/>
    <w:basedOn w:val="Normal"/>
    <w:next w:val="Normal"/>
    <w:link w:val="IntenseQuoteChar"/>
    <w:uiPriority w:val="30"/>
    <w:qFormat/>
    <w:rsid w:val="007D0DAE"/>
    <w:pPr>
      <w:pBdr>
        <w:bottom w:val="single" w:sz="4" w:space="4" w:color="4F81BD"/>
      </w:pBdr>
      <w:spacing w:before="200" w:after="280"/>
      <w:ind w:left="936" w:right="936"/>
    </w:pPr>
    <w:rPr>
      <w:b/>
      <w:bCs/>
      <w:i/>
      <w:iCs/>
      <w:color w:val="4F81BD"/>
      <w:szCs w:val="20"/>
    </w:rPr>
  </w:style>
  <w:style w:type="character" w:customStyle="1" w:styleId="IntenseQuoteChar">
    <w:name w:val="Intense Quote Char"/>
    <w:basedOn w:val="DefaultParagraphFont"/>
    <w:link w:val="IntenseQuote"/>
    <w:uiPriority w:val="30"/>
    <w:rsid w:val="007D0DAE"/>
    <w:rPr>
      <w:rFonts w:ascii="Times New Roman" w:eastAsia="Times New Roman" w:hAnsi="Times New Roman" w:cs="Times New Roman"/>
      <w:b/>
      <w:bCs/>
      <w:i/>
      <w:iCs/>
      <w:color w:val="4F81BD"/>
      <w:sz w:val="24"/>
      <w:szCs w:val="20"/>
    </w:rPr>
  </w:style>
  <w:style w:type="paragraph" w:styleId="List">
    <w:name w:val="List"/>
    <w:basedOn w:val="Normal"/>
    <w:semiHidden/>
    <w:rsid w:val="007D0DAE"/>
    <w:pPr>
      <w:ind w:left="360" w:hanging="360"/>
      <w:contextualSpacing/>
    </w:pPr>
    <w:rPr>
      <w:szCs w:val="20"/>
    </w:rPr>
  </w:style>
  <w:style w:type="paragraph" w:styleId="List2">
    <w:name w:val="List 2"/>
    <w:basedOn w:val="Normal"/>
    <w:semiHidden/>
    <w:rsid w:val="007D0DAE"/>
    <w:pPr>
      <w:ind w:left="720" w:hanging="360"/>
      <w:contextualSpacing/>
    </w:pPr>
    <w:rPr>
      <w:szCs w:val="20"/>
    </w:rPr>
  </w:style>
  <w:style w:type="paragraph" w:styleId="List3">
    <w:name w:val="List 3"/>
    <w:basedOn w:val="Normal"/>
    <w:semiHidden/>
    <w:rsid w:val="007D0DAE"/>
    <w:pPr>
      <w:ind w:left="1080" w:hanging="360"/>
      <w:contextualSpacing/>
    </w:pPr>
    <w:rPr>
      <w:szCs w:val="20"/>
    </w:rPr>
  </w:style>
  <w:style w:type="paragraph" w:styleId="List4">
    <w:name w:val="List 4"/>
    <w:basedOn w:val="Normal"/>
    <w:semiHidden/>
    <w:rsid w:val="007D0DAE"/>
    <w:pPr>
      <w:ind w:left="1440" w:hanging="360"/>
      <w:contextualSpacing/>
    </w:pPr>
    <w:rPr>
      <w:szCs w:val="20"/>
    </w:rPr>
  </w:style>
  <w:style w:type="paragraph" w:styleId="List5">
    <w:name w:val="List 5"/>
    <w:basedOn w:val="Normal"/>
    <w:semiHidden/>
    <w:rsid w:val="007D0DAE"/>
    <w:pPr>
      <w:ind w:left="1800" w:hanging="360"/>
      <w:contextualSpacing/>
    </w:pPr>
    <w:rPr>
      <w:szCs w:val="20"/>
    </w:rPr>
  </w:style>
  <w:style w:type="paragraph" w:styleId="ListBullet">
    <w:name w:val="List Bullet"/>
    <w:basedOn w:val="Normal"/>
    <w:semiHidden/>
    <w:rsid w:val="007D0DAE"/>
    <w:pPr>
      <w:numPr>
        <w:numId w:val="1"/>
      </w:numPr>
      <w:contextualSpacing/>
    </w:pPr>
    <w:rPr>
      <w:szCs w:val="20"/>
    </w:rPr>
  </w:style>
  <w:style w:type="paragraph" w:styleId="ListBullet2">
    <w:name w:val="List Bullet 2"/>
    <w:basedOn w:val="Normal"/>
    <w:semiHidden/>
    <w:rsid w:val="007D0DAE"/>
    <w:pPr>
      <w:numPr>
        <w:numId w:val="2"/>
      </w:numPr>
      <w:contextualSpacing/>
    </w:pPr>
    <w:rPr>
      <w:szCs w:val="20"/>
    </w:rPr>
  </w:style>
  <w:style w:type="paragraph" w:styleId="ListBullet3">
    <w:name w:val="List Bullet 3"/>
    <w:basedOn w:val="Normal"/>
    <w:semiHidden/>
    <w:rsid w:val="007D0DAE"/>
    <w:pPr>
      <w:numPr>
        <w:numId w:val="3"/>
      </w:numPr>
      <w:contextualSpacing/>
    </w:pPr>
    <w:rPr>
      <w:szCs w:val="20"/>
    </w:rPr>
  </w:style>
  <w:style w:type="paragraph" w:styleId="ListBullet4">
    <w:name w:val="List Bullet 4"/>
    <w:basedOn w:val="Normal"/>
    <w:semiHidden/>
    <w:rsid w:val="007D0DAE"/>
    <w:pPr>
      <w:numPr>
        <w:numId w:val="4"/>
      </w:numPr>
      <w:contextualSpacing/>
    </w:pPr>
    <w:rPr>
      <w:szCs w:val="20"/>
    </w:rPr>
  </w:style>
  <w:style w:type="paragraph" w:styleId="ListBullet5">
    <w:name w:val="List Bullet 5"/>
    <w:basedOn w:val="Normal"/>
    <w:semiHidden/>
    <w:rsid w:val="007D0DAE"/>
    <w:pPr>
      <w:numPr>
        <w:numId w:val="5"/>
      </w:numPr>
      <w:contextualSpacing/>
    </w:pPr>
    <w:rPr>
      <w:szCs w:val="20"/>
    </w:rPr>
  </w:style>
  <w:style w:type="paragraph" w:styleId="ListContinue">
    <w:name w:val="List Continue"/>
    <w:basedOn w:val="Normal"/>
    <w:semiHidden/>
    <w:rsid w:val="007D0DAE"/>
    <w:pPr>
      <w:spacing w:after="120"/>
      <w:ind w:left="360"/>
      <w:contextualSpacing/>
    </w:pPr>
    <w:rPr>
      <w:szCs w:val="20"/>
    </w:rPr>
  </w:style>
  <w:style w:type="paragraph" w:styleId="ListContinue2">
    <w:name w:val="List Continue 2"/>
    <w:basedOn w:val="Normal"/>
    <w:semiHidden/>
    <w:rsid w:val="007D0DAE"/>
    <w:pPr>
      <w:spacing w:after="120"/>
      <w:ind w:left="720"/>
      <w:contextualSpacing/>
    </w:pPr>
    <w:rPr>
      <w:szCs w:val="20"/>
    </w:rPr>
  </w:style>
  <w:style w:type="paragraph" w:styleId="ListContinue3">
    <w:name w:val="List Continue 3"/>
    <w:basedOn w:val="Normal"/>
    <w:semiHidden/>
    <w:rsid w:val="007D0DAE"/>
    <w:pPr>
      <w:spacing w:after="120"/>
      <w:ind w:left="1080"/>
      <w:contextualSpacing/>
    </w:pPr>
    <w:rPr>
      <w:szCs w:val="20"/>
    </w:rPr>
  </w:style>
  <w:style w:type="paragraph" w:styleId="ListContinue4">
    <w:name w:val="List Continue 4"/>
    <w:basedOn w:val="Normal"/>
    <w:semiHidden/>
    <w:rsid w:val="007D0DAE"/>
    <w:pPr>
      <w:spacing w:after="120"/>
      <w:ind w:left="1440"/>
      <w:contextualSpacing/>
    </w:pPr>
    <w:rPr>
      <w:szCs w:val="20"/>
    </w:rPr>
  </w:style>
  <w:style w:type="paragraph" w:styleId="ListContinue5">
    <w:name w:val="List Continue 5"/>
    <w:basedOn w:val="Normal"/>
    <w:semiHidden/>
    <w:rsid w:val="007D0DAE"/>
    <w:pPr>
      <w:spacing w:after="120"/>
      <w:ind w:left="1800"/>
      <w:contextualSpacing/>
    </w:pPr>
    <w:rPr>
      <w:szCs w:val="20"/>
    </w:rPr>
  </w:style>
  <w:style w:type="paragraph" w:styleId="ListNumber">
    <w:name w:val="List Number"/>
    <w:basedOn w:val="Normal"/>
    <w:semiHidden/>
    <w:rsid w:val="007D0DAE"/>
    <w:pPr>
      <w:numPr>
        <w:numId w:val="6"/>
      </w:numPr>
      <w:contextualSpacing/>
    </w:pPr>
    <w:rPr>
      <w:szCs w:val="20"/>
    </w:rPr>
  </w:style>
  <w:style w:type="paragraph" w:styleId="ListNumber2">
    <w:name w:val="List Number 2"/>
    <w:basedOn w:val="Normal"/>
    <w:semiHidden/>
    <w:rsid w:val="007D0DAE"/>
    <w:pPr>
      <w:numPr>
        <w:numId w:val="7"/>
      </w:numPr>
      <w:contextualSpacing/>
    </w:pPr>
    <w:rPr>
      <w:szCs w:val="20"/>
    </w:rPr>
  </w:style>
  <w:style w:type="paragraph" w:styleId="ListNumber3">
    <w:name w:val="List Number 3"/>
    <w:basedOn w:val="Normal"/>
    <w:semiHidden/>
    <w:rsid w:val="007D0DAE"/>
    <w:pPr>
      <w:numPr>
        <w:numId w:val="8"/>
      </w:numPr>
      <w:contextualSpacing/>
    </w:pPr>
    <w:rPr>
      <w:szCs w:val="20"/>
    </w:rPr>
  </w:style>
  <w:style w:type="paragraph" w:styleId="ListNumber4">
    <w:name w:val="List Number 4"/>
    <w:basedOn w:val="Normal"/>
    <w:semiHidden/>
    <w:rsid w:val="007D0DAE"/>
    <w:pPr>
      <w:numPr>
        <w:numId w:val="9"/>
      </w:numPr>
      <w:contextualSpacing/>
    </w:pPr>
    <w:rPr>
      <w:szCs w:val="20"/>
    </w:rPr>
  </w:style>
  <w:style w:type="paragraph" w:styleId="ListNumber5">
    <w:name w:val="List Number 5"/>
    <w:basedOn w:val="Normal"/>
    <w:semiHidden/>
    <w:rsid w:val="007D0DAE"/>
    <w:pPr>
      <w:numPr>
        <w:numId w:val="10"/>
      </w:numPr>
      <w:contextualSpacing/>
    </w:pPr>
    <w:rPr>
      <w:szCs w:val="20"/>
    </w:rPr>
  </w:style>
  <w:style w:type="paragraph" w:styleId="MacroText">
    <w:name w:val="macro"/>
    <w:link w:val="MacroTextChar"/>
    <w:semiHidden/>
    <w:rsid w:val="007D0DA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7D0DAE"/>
    <w:rPr>
      <w:rFonts w:ascii="Courier New" w:eastAsia="Times New Roman" w:hAnsi="Courier New" w:cs="Courier New"/>
      <w:sz w:val="20"/>
      <w:szCs w:val="20"/>
    </w:rPr>
  </w:style>
  <w:style w:type="paragraph" w:styleId="MessageHeader">
    <w:name w:val="Message Header"/>
    <w:basedOn w:val="Normal"/>
    <w:link w:val="MessageHeaderChar"/>
    <w:semiHidden/>
    <w:rsid w:val="007D0DAE"/>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basedOn w:val="DefaultParagraphFont"/>
    <w:link w:val="MessageHeader"/>
    <w:semiHidden/>
    <w:rsid w:val="007D0DAE"/>
    <w:rPr>
      <w:rFonts w:ascii="Cambria" w:eastAsia="Times New Roman" w:hAnsi="Cambria" w:cs="Times New Roman"/>
      <w:sz w:val="24"/>
      <w:szCs w:val="24"/>
      <w:shd w:val="pct20" w:color="auto" w:fill="auto"/>
    </w:rPr>
  </w:style>
  <w:style w:type="paragraph" w:styleId="NoSpacing">
    <w:name w:val="No Spacing"/>
    <w:uiPriority w:val="1"/>
    <w:qFormat/>
    <w:rsid w:val="007D0DAE"/>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semiHidden/>
    <w:rsid w:val="007D0DAE"/>
  </w:style>
  <w:style w:type="paragraph" w:styleId="NormalIndent">
    <w:name w:val="Normal Indent"/>
    <w:basedOn w:val="Normal"/>
    <w:semiHidden/>
    <w:rsid w:val="007D0DAE"/>
    <w:pPr>
      <w:ind w:left="720"/>
    </w:pPr>
    <w:rPr>
      <w:szCs w:val="20"/>
    </w:rPr>
  </w:style>
  <w:style w:type="paragraph" w:styleId="NoteHeading">
    <w:name w:val="Note Heading"/>
    <w:basedOn w:val="Normal"/>
    <w:next w:val="Normal"/>
    <w:link w:val="NoteHeadingChar"/>
    <w:semiHidden/>
    <w:rsid w:val="007D0DAE"/>
    <w:rPr>
      <w:szCs w:val="20"/>
    </w:rPr>
  </w:style>
  <w:style w:type="character" w:customStyle="1" w:styleId="NoteHeadingChar">
    <w:name w:val="Note Heading Char"/>
    <w:basedOn w:val="DefaultParagraphFont"/>
    <w:link w:val="NoteHeading"/>
    <w:semiHidden/>
    <w:rsid w:val="007D0DAE"/>
    <w:rPr>
      <w:rFonts w:ascii="Times New Roman" w:eastAsia="Times New Roman" w:hAnsi="Times New Roman" w:cs="Times New Roman"/>
      <w:sz w:val="24"/>
      <w:szCs w:val="20"/>
    </w:rPr>
  </w:style>
  <w:style w:type="paragraph" w:styleId="PlainText">
    <w:name w:val="Plain Text"/>
    <w:basedOn w:val="Normal"/>
    <w:link w:val="PlainTextChar"/>
    <w:semiHidden/>
    <w:rsid w:val="007D0DAE"/>
    <w:rPr>
      <w:rFonts w:ascii="Courier New" w:hAnsi="Courier New" w:cs="Courier New"/>
      <w:sz w:val="20"/>
      <w:szCs w:val="20"/>
    </w:rPr>
  </w:style>
  <w:style w:type="character" w:customStyle="1" w:styleId="PlainTextChar">
    <w:name w:val="Plain Text Char"/>
    <w:basedOn w:val="DefaultParagraphFont"/>
    <w:link w:val="PlainText"/>
    <w:semiHidden/>
    <w:rsid w:val="007D0DAE"/>
    <w:rPr>
      <w:rFonts w:ascii="Courier New" w:eastAsia="Times New Roman" w:hAnsi="Courier New" w:cs="Courier New"/>
      <w:sz w:val="20"/>
      <w:szCs w:val="20"/>
    </w:rPr>
  </w:style>
  <w:style w:type="paragraph" w:styleId="Quote">
    <w:name w:val="Quote"/>
    <w:basedOn w:val="Normal"/>
    <w:next w:val="Normal"/>
    <w:link w:val="QuoteChar"/>
    <w:uiPriority w:val="29"/>
    <w:qFormat/>
    <w:rsid w:val="007D0DAE"/>
    <w:rPr>
      <w:i/>
      <w:iCs/>
      <w:color w:val="000000"/>
      <w:szCs w:val="20"/>
    </w:rPr>
  </w:style>
  <w:style w:type="character" w:customStyle="1" w:styleId="QuoteChar">
    <w:name w:val="Quote Char"/>
    <w:basedOn w:val="DefaultParagraphFont"/>
    <w:link w:val="Quote"/>
    <w:uiPriority w:val="29"/>
    <w:rsid w:val="007D0DAE"/>
    <w:rPr>
      <w:rFonts w:ascii="Times New Roman" w:eastAsia="Times New Roman" w:hAnsi="Times New Roman" w:cs="Times New Roman"/>
      <w:i/>
      <w:iCs/>
      <w:color w:val="000000"/>
      <w:sz w:val="24"/>
      <w:szCs w:val="20"/>
    </w:rPr>
  </w:style>
  <w:style w:type="paragraph" w:styleId="Salutation">
    <w:name w:val="Salutation"/>
    <w:basedOn w:val="Normal"/>
    <w:next w:val="Normal"/>
    <w:link w:val="SalutationChar"/>
    <w:semiHidden/>
    <w:rsid w:val="007D0DAE"/>
    <w:rPr>
      <w:szCs w:val="20"/>
    </w:rPr>
  </w:style>
  <w:style w:type="character" w:customStyle="1" w:styleId="SalutationChar">
    <w:name w:val="Salutation Char"/>
    <w:basedOn w:val="DefaultParagraphFont"/>
    <w:link w:val="Salutation"/>
    <w:semiHidden/>
    <w:rsid w:val="007D0DAE"/>
    <w:rPr>
      <w:rFonts w:ascii="Times New Roman" w:eastAsia="Times New Roman" w:hAnsi="Times New Roman" w:cs="Times New Roman"/>
      <w:sz w:val="24"/>
      <w:szCs w:val="20"/>
    </w:rPr>
  </w:style>
  <w:style w:type="paragraph" w:styleId="Signature">
    <w:name w:val="Signature"/>
    <w:basedOn w:val="Normal"/>
    <w:link w:val="SignatureChar"/>
    <w:semiHidden/>
    <w:rsid w:val="007D0DAE"/>
    <w:pPr>
      <w:ind w:left="4320"/>
    </w:pPr>
    <w:rPr>
      <w:szCs w:val="20"/>
    </w:rPr>
  </w:style>
  <w:style w:type="character" w:customStyle="1" w:styleId="SignatureChar">
    <w:name w:val="Signature Char"/>
    <w:basedOn w:val="DefaultParagraphFont"/>
    <w:link w:val="Signature"/>
    <w:semiHidden/>
    <w:rsid w:val="007D0DAE"/>
    <w:rPr>
      <w:rFonts w:ascii="Times New Roman" w:eastAsia="Times New Roman" w:hAnsi="Times New Roman" w:cs="Times New Roman"/>
      <w:sz w:val="24"/>
      <w:szCs w:val="20"/>
    </w:rPr>
  </w:style>
  <w:style w:type="paragraph" w:styleId="Subtitle">
    <w:name w:val="Subtitle"/>
    <w:basedOn w:val="Normal"/>
    <w:next w:val="Normal"/>
    <w:link w:val="SubtitleChar"/>
    <w:qFormat/>
    <w:rsid w:val="007D0DAE"/>
    <w:pPr>
      <w:spacing w:after="60"/>
      <w:jc w:val="center"/>
      <w:outlineLvl w:val="1"/>
    </w:pPr>
    <w:rPr>
      <w:rFonts w:ascii="Cambria" w:hAnsi="Cambria"/>
    </w:rPr>
  </w:style>
  <w:style w:type="character" w:customStyle="1" w:styleId="SubtitleChar">
    <w:name w:val="Subtitle Char"/>
    <w:basedOn w:val="DefaultParagraphFont"/>
    <w:link w:val="Subtitle"/>
    <w:rsid w:val="007D0DAE"/>
    <w:rPr>
      <w:rFonts w:ascii="Cambria" w:eastAsia="Times New Roman" w:hAnsi="Cambria" w:cs="Times New Roman"/>
      <w:sz w:val="24"/>
      <w:szCs w:val="24"/>
    </w:rPr>
  </w:style>
  <w:style w:type="paragraph" w:styleId="TableofAuthorities">
    <w:name w:val="table of authorities"/>
    <w:basedOn w:val="Normal"/>
    <w:next w:val="Normal"/>
    <w:semiHidden/>
    <w:rsid w:val="007D0DAE"/>
    <w:pPr>
      <w:ind w:left="240" w:hanging="240"/>
    </w:pPr>
    <w:rPr>
      <w:szCs w:val="20"/>
    </w:rPr>
  </w:style>
  <w:style w:type="paragraph" w:styleId="TableofFigures">
    <w:name w:val="table of figures"/>
    <w:basedOn w:val="Normal"/>
    <w:next w:val="Normal"/>
    <w:semiHidden/>
    <w:rsid w:val="007D0DAE"/>
    <w:rPr>
      <w:szCs w:val="20"/>
    </w:rPr>
  </w:style>
  <w:style w:type="paragraph" w:styleId="Title">
    <w:name w:val="Title"/>
    <w:basedOn w:val="Normal"/>
    <w:next w:val="Normal"/>
    <w:link w:val="TitleChar"/>
    <w:qFormat/>
    <w:rsid w:val="007D0DAE"/>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7D0DAE"/>
    <w:rPr>
      <w:rFonts w:ascii="Cambria" w:eastAsia="Times New Roman" w:hAnsi="Cambria" w:cs="Times New Roman"/>
      <w:b/>
      <w:bCs/>
      <w:kern w:val="28"/>
      <w:sz w:val="32"/>
      <w:szCs w:val="32"/>
    </w:rPr>
  </w:style>
  <w:style w:type="paragraph" w:styleId="TOAHeading">
    <w:name w:val="toa heading"/>
    <w:basedOn w:val="Normal"/>
    <w:next w:val="Normal"/>
    <w:semiHidden/>
    <w:rsid w:val="007D0DAE"/>
    <w:pPr>
      <w:spacing w:before="120"/>
    </w:pPr>
    <w:rPr>
      <w:rFonts w:ascii="Cambria" w:hAnsi="Cambria"/>
      <w:b/>
      <w:bCs/>
    </w:rPr>
  </w:style>
  <w:style w:type="paragraph" w:styleId="TOC1">
    <w:name w:val="toc 1"/>
    <w:basedOn w:val="Normal"/>
    <w:next w:val="Normal"/>
    <w:autoRedefine/>
    <w:semiHidden/>
    <w:rsid w:val="007D0DAE"/>
    <w:rPr>
      <w:szCs w:val="20"/>
    </w:rPr>
  </w:style>
  <w:style w:type="paragraph" w:styleId="TOC2">
    <w:name w:val="toc 2"/>
    <w:basedOn w:val="Normal"/>
    <w:next w:val="Normal"/>
    <w:autoRedefine/>
    <w:semiHidden/>
    <w:rsid w:val="007D0DAE"/>
    <w:pPr>
      <w:ind w:left="240"/>
    </w:pPr>
    <w:rPr>
      <w:szCs w:val="20"/>
    </w:rPr>
  </w:style>
  <w:style w:type="paragraph" w:styleId="TOC3">
    <w:name w:val="toc 3"/>
    <w:basedOn w:val="Normal"/>
    <w:next w:val="Normal"/>
    <w:autoRedefine/>
    <w:semiHidden/>
    <w:rsid w:val="007D0DAE"/>
    <w:pPr>
      <w:ind w:left="480"/>
    </w:pPr>
    <w:rPr>
      <w:szCs w:val="20"/>
    </w:rPr>
  </w:style>
  <w:style w:type="paragraph" w:styleId="TOC4">
    <w:name w:val="toc 4"/>
    <w:basedOn w:val="Normal"/>
    <w:next w:val="Normal"/>
    <w:autoRedefine/>
    <w:semiHidden/>
    <w:rsid w:val="007D0DAE"/>
    <w:pPr>
      <w:ind w:left="720"/>
    </w:pPr>
    <w:rPr>
      <w:szCs w:val="20"/>
    </w:rPr>
  </w:style>
  <w:style w:type="paragraph" w:styleId="TOC5">
    <w:name w:val="toc 5"/>
    <w:basedOn w:val="Normal"/>
    <w:next w:val="Normal"/>
    <w:autoRedefine/>
    <w:semiHidden/>
    <w:rsid w:val="007D0DAE"/>
    <w:pPr>
      <w:ind w:left="960"/>
    </w:pPr>
    <w:rPr>
      <w:szCs w:val="20"/>
    </w:rPr>
  </w:style>
  <w:style w:type="paragraph" w:styleId="TOC6">
    <w:name w:val="toc 6"/>
    <w:basedOn w:val="Normal"/>
    <w:next w:val="Normal"/>
    <w:autoRedefine/>
    <w:semiHidden/>
    <w:rsid w:val="007D0DAE"/>
    <w:pPr>
      <w:ind w:left="1200"/>
    </w:pPr>
    <w:rPr>
      <w:szCs w:val="20"/>
    </w:rPr>
  </w:style>
  <w:style w:type="paragraph" w:styleId="TOC7">
    <w:name w:val="toc 7"/>
    <w:basedOn w:val="Normal"/>
    <w:next w:val="Normal"/>
    <w:autoRedefine/>
    <w:semiHidden/>
    <w:rsid w:val="007D0DAE"/>
    <w:pPr>
      <w:ind w:left="1440"/>
    </w:pPr>
    <w:rPr>
      <w:szCs w:val="20"/>
    </w:rPr>
  </w:style>
  <w:style w:type="paragraph" w:styleId="TOC8">
    <w:name w:val="toc 8"/>
    <w:basedOn w:val="Normal"/>
    <w:next w:val="Normal"/>
    <w:autoRedefine/>
    <w:semiHidden/>
    <w:rsid w:val="007D0DAE"/>
    <w:pPr>
      <w:ind w:left="1680"/>
    </w:pPr>
    <w:rPr>
      <w:szCs w:val="20"/>
    </w:rPr>
  </w:style>
  <w:style w:type="paragraph" w:styleId="TOC9">
    <w:name w:val="toc 9"/>
    <w:basedOn w:val="Normal"/>
    <w:next w:val="Normal"/>
    <w:autoRedefine/>
    <w:semiHidden/>
    <w:rsid w:val="007D0DAE"/>
    <w:pPr>
      <w:ind w:left="1920"/>
    </w:pPr>
    <w:rPr>
      <w:szCs w:val="20"/>
    </w:rPr>
  </w:style>
  <w:style w:type="paragraph" w:styleId="TOCHeading">
    <w:name w:val="TOC Heading"/>
    <w:basedOn w:val="Heading1"/>
    <w:next w:val="Normal"/>
    <w:uiPriority w:val="39"/>
    <w:semiHidden/>
    <w:unhideWhenUsed/>
    <w:qFormat/>
    <w:rsid w:val="007D0DAE"/>
    <w:pPr>
      <w:outlineLvl w:val="9"/>
    </w:pPr>
    <w:rPr>
      <w:rFonts w:ascii="Cambria" w:hAnsi="Cambria"/>
      <w:sz w:val="32"/>
      <w:szCs w:val="32"/>
    </w:rPr>
  </w:style>
  <w:style w:type="character" w:styleId="Emphasis">
    <w:name w:val="Emphasis"/>
    <w:basedOn w:val="DefaultParagraphFont"/>
    <w:uiPriority w:val="20"/>
    <w:qFormat/>
    <w:rsid w:val="007D0DAE"/>
    <w:rPr>
      <w:i/>
      <w:iCs/>
    </w:rPr>
  </w:style>
  <w:style w:type="character" w:styleId="FollowedHyperlink">
    <w:name w:val="FollowedHyperlink"/>
    <w:basedOn w:val="DefaultParagraphFont"/>
    <w:semiHidden/>
    <w:unhideWhenUsed/>
    <w:rsid w:val="007D0DAE"/>
    <w:rPr>
      <w:color w:val="800080" w:themeColor="followedHyperlink"/>
      <w:u w:val="single"/>
    </w:rPr>
  </w:style>
  <w:style w:type="character" w:styleId="LineNumber">
    <w:name w:val="line number"/>
    <w:basedOn w:val="DefaultParagraphFont"/>
    <w:uiPriority w:val="99"/>
    <w:semiHidden/>
    <w:unhideWhenUsed/>
    <w:rsid w:val="007D0DAE"/>
  </w:style>
  <w:style w:type="table" w:styleId="ListTable3-Accent1">
    <w:name w:val="List Table 3 Accent 1"/>
    <w:basedOn w:val="TableNormal"/>
    <w:uiPriority w:val="48"/>
    <w:rsid w:val="007D0DAE"/>
    <w:pPr>
      <w:spacing w:after="0" w:line="240" w:lineRule="auto"/>
    </w:pPr>
    <w:rPr>
      <w:sz w:val="24"/>
      <w:szCs w:val="24"/>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4">
    <w:name w:val="List Table 3 Accent 4"/>
    <w:basedOn w:val="TableNormal"/>
    <w:uiPriority w:val="48"/>
    <w:rsid w:val="007D0DAE"/>
    <w:pPr>
      <w:spacing w:after="0" w:line="240" w:lineRule="auto"/>
    </w:pPr>
    <w:rPr>
      <w:sz w:val="24"/>
      <w:szCs w:val="24"/>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arzing.com/resources/publish-or-perish"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4206</Words>
  <Characters>23978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Vibha Gagar</dc:creator>
  <cp:keywords/>
  <dc:description/>
  <cp:lastModifiedBy>Vibha Gagar</cp:lastModifiedBy>
  <cp:revision>1</cp:revision>
  <dcterms:created xsi:type="dcterms:W3CDTF">2023-11-21T07:29:00Z</dcterms:created>
  <dcterms:modified xsi:type="dcterms:W3CDTF">2023-11-21T07:29:00Z</dcterms:modified>
</cp:coreProperties>
</file>