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57"/>
        <w:tblW w:w="1415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1644"/>
        <w:gridCol w:w="1645"/>
        <w:gridCol w:w="1647"/>
        <w:gridCol w:w="1784"/>
        <w:gridCol w:w="1594"/>
        <w:gridCol w:w="1644"/>
      </w:tblGrid>
      <w:tr w:rsidR="00B8371C" w14:paraId="373945D2" w14:textId="77777777" w:rsidTr="00A91CC0">
        <w:trPr>
          <w:trHeight w:val="209"/>
        </w:trPr>
        <w:tc>
          <w:tcPr>
            <w:tcW w:w="14155" w:type="dxa"/>
            <w:gridSpan w:val="7"/>
            <w:tcBorders>
              <w:bottom w:val="single" w:sz="4" w:space="0" w:color="auto"/>
            </w:tcBorders>
          </w:tcPr>
          <w:p w14:paraId="2BDC230C" w14:textId="17142871" w:rsidR="00B8371C" w:rsidRDefault="00B8371C" w:rsidP="009130F4">
            <w:pPr>
              <w:suppressLineNumbers/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SUPPLEMENTAL </w:t>
            </w:r>
            <w:r w:rsidRPr="2FE95392">
              <w:rPr>
                <w:rFonts w:cs="Times New Roman"/>
                <w:b/>
                <w:bCs/>
                <w:sz w:val="20"/>
                <w:szCs w:val="20"/>
              </w:rPr>
              <w:t xml:space="preserve">TABLE </w:t>
            </w:r>
            <w:r w:rsidR="00AD44EA">
              <w:rPr>
                <w:rFonts w:cs="Times New Roman"/>
                <w:b/>
                <w:bCs/>
                <w:sz w:val="20"/>
                <w:szCs w:val="20"/>
              </w:rPr>
              <w:t>B</w:t>
            </w:r>
            <w:r w:rsidRPr="2FE95392">
              <w:rPr>
                <w:rFonts w:cs="Times New Roman"/>
                <w:b/>
                <w:bCs/>
                <w:sz w:val="20"/>
                <w:szCs w:val="20"/>
              </w:rPr>
              <w:t xml:space="preserve">. </w:t>
            </w:r>
            <w:r w:rsidRPr="2FE95392">
              <w:rPr>
                <w:rFonts w:cs="Times New Roman"/>
                <w:sz w:val="20"/>
                <w:szCs w:val="20"/>
              </w:rPr>
              <w:t xml:space="preserve">Prevalence </w:t>
            </w:r>
            <w:r>
              <w:rPr>
                <w:rFonts w:cs="Times New Roman"/>
                <w:sz w:val="20"/>
                <w:szCs w:val="20"/>
              </w:rPr>
              <w:t>o</w:t>
            </w:r>
            <w:r w:rsidRPr="2FE95392">
              <w:rPr>
                <w:rFonts w:cs="Times New Roman"/>
                <w:sz w:val="20"/>
                <w:szCs w:val="20"/>
              </w:rPr>
              <w:t xml:space="preserve">f Breastfeeding Initiation and Any Breastfeeding at </w:t>
            </w:r>
            <w:r w:rsidR="0026281A">
              <w:rPr>
                <w:rFonts w:cs="Times New Roman"/>
                <w:sz w:val="20"/>
                <w:szCs w:val="20"/>
              </w:rPr>
              <w:t>1</w:t>
            </w:r>
            <w:r w:rsidRPr="2FE95392">
              <w:rPr>
                <w:rFonts w:cs="Times New Roman"/>
                <w:sz w:val="20"/>
                <w:szCs w:val="20"/>
              </w:rPr>
              <w:t xml:space="preserve">, </w:t>
            </w:r>
            <w:r w:rsidR="0026281A">
              <w:rPr>
                <w:rFonts w:cs="Times New Roman"/>
                <w:sz w:val="20"/>
                <w:szCs w:val="20"/>
              </w:rPr>
              <w:t>2</w:t>
            </w:r>
            <w:r w:rsidRPr="2FE95392">
              <w:rPr>
                <w:rFonts w:cs="Times New Roman"/>
                <w:sz w:val="20"/>
                <w:szCs w:val="20"/>
              </w:rPr>
              <w:t xml:space="preserve">, and </w:t>
            </w:r>
            <w:r w:rsidR="0026281A">
              <w:rPr>
                <w:rFonts w:cs="Times New Roman"/>
                <w:sz w:val="20"/>
                <w:szCs w:val="20"/>
              </w:rPr>
              <w:t>3</w:t>
            </w:r>
            <w:r w:rsidRPr="2FE95392">
              <w:rPr>
                <w:rFonts w:cs="Times New Roman"/>
                <w:sz w:val="20"/>
                <w:szCs w:val="20"/>
              </w:rPr>
              <w:t xml:space="preserve"> Months </w:t>
            </w:r>
            <w:r>
              <w:rPr>
                <w:rFonts w:cs="Times New Roman"/>
                <w:sz w:val="20"/>
                <w:szCs w:val="20"/>
              </w:rPr>
              <w:t>b</w:t>
            </w:r>
            <w:r w:rsidRPr="2FE95392">
              <w:rPr>
                <w:rFonts w:cs="Times New Roman"/>
                <w:sz w:val="20"/>
                <w:szCs w:val="20"/>
              </w:rPr>
              <w:t xml:space="preserve">y </w:t>
            </w:r>
            <w:r>
              <w:rPr>
                <w:rFonts w:cs="Times New Roman"/>
                <w:sz w:val="20"/>
                <w:szCs w:val="20"/>
              </w:rPr>
              <w:t>Type of d</w:t>
            </w:r>
            <w:r w:rsidRPr="2FE95392">
              <w:rPr>
                <w:rFonts w:cs="Times New Roman"/>
                <w:sz w:val="20"/>
                <w:szCs w:val="20"/>
              </w:rPr>
              <w:t>isability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2FE95392">
              <w:rPr>
                <w:rFonts w:cs="Times New Roman"/>
                <w:sz w:val="20"/>
                <w:szCs w:val="20"/>
              </w:rPr>
              <w:t xml:space="preserve">Pregnancy Risk Assessment Monitoring System (PRAMS), 24 </w:t>
            </w:r>
            <w:r w:rsidR="00BD55B9">
              <w:rPr>
                <w:rFonts w:cs="Times New Roman"/>
                <w:sz w:val="20"/>
                <w:szCs w:val="20"/>
              </w:rPr>
              <w:t xml:space="preserve">US </w:t>
            </w:r>
            <w:r w:rsidRPr="2FE95392">
              <w:rPr>
                <w:rFonts w:cs="Times New Roman"/>
                <w:sz w:val="20"/>
                <w:szCs w:val="20"/>
              </w:rPr>
              <w:t xml:space="preserve">Sites, 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October 31, </w:t>
            </w:r>
            <w:r w:rsidRPr="2FE953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2018</w:t>
            </w:r>
            <w:r w:rsidRPr="2FE95392">
              <w:rPr>
                <w:rFonts w:ascii="Symbol" w:eastAsia="Symbol" w:hAnsi="Symbol" w:cs="Symbol"/>
                <w:color w:val="000000" w:themeColor="text1"/>
                <w:sz w:val="20"/>
                <w:szCs w:val="20"/>
              </w:rPr>
              <w:t>-</w:t>
            </w:r>
            <w:r>
              <w:rPr>
                <w:rFonts w:eastAsia="Symbol" w:cs="Times New Roman"/>
                <w:color w:val="000000" w:themeColor="text1"/>
                <w:sz w:val="20"/>
                <w:szCs w:val="20"/>
              </w:rPr>
              <w:t xml:space="preserve">December 31, </w:t>
            </w:r>
            <w:r w:rsidRPr="2FE95392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2020</w:t>
            </w:r>
          </w:p>
        </w:tc>
      </w:tr>
      <w:tr w:rsidR="00B8371C" w14:paraId="6B232655" w14:textId="77777777" w:rsidTr="006029D7">
        <w:trPr>
          <w:trHeight w:val="249"/>
        </w:trPr>
        <w:tc>
          <w:tcPr>
            <w:tcW w:w="42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8678D" w14:textId="77777777" w:rsidR="00B8371C" w:rsidRPr="006029D7" w:rsidRDefault="00B8371C" w:rsidP="009130F4">
            <w:pPr>
              <w:suppressLineNumbers/>
              <w:rPr>
                <w:rFonts w:cs="Times New Roman"/>
                <w:b/>
                <w:sz w:val="20"/>
                <w:szCs w:val="20"/>
              </w:rPr>
            </w:pPr>
            <w:r w:rsidRPr="006029D7">
              <w:rPr>
                <w:rFonts w:cs="Times New Roman"/>
                <w:b/>
                <w:sz w:val="20"/>
                <w:szCs w:val="20"/>
              </w:rPr>
              <w:t>Breastfeeding Outcomes</w:t>
            </w:r>
          </w:p>
        </w:tc>
        <w:tc>
          <w:tcPr>
            <w:tcW w:w="9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E95308" w14:textId="771D6072" w:rsidR="00B8371C" w:rsidRPr="006029D7" w:rsidRDefault="006546E5" w:rsidP="009130F4">
            <w:pPr>
              <w:suppressLineNumbers/>
              <w:jc w:val="center"/>
              <w:rPr>
                <w:rFonts w:cs="Times New Roman"/>
                <w:b/>
              </w:rPr>
            </w:pPr>
            <w:r w:rsidRPr="00E449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Weighted % (95% CI)</w:t>
            </w:r>
          </w:p>
        </w:tc>
      </w:tr>
      <w:tr w:rsidR="006029D7" w14:paraId="136169C3" w14:textId="77777777" w:rsidTr="006546E5">
        <w:trPr>
          <w:trHeight w:val="159"/>
        </w:trPr>
        <w:tc>
          <w:tcPr>
            <w:tcW w:w="42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26F35" w14:textId="77777777" w:rsidR="006029D7" w:rsidRPr="006029D7" w:rsidRDefault="006029D7" w:rsidP="009130F4">
            <w:pPr>
              <w:suppressLineNumbers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BBB6D2" w14:textId="5E0691F1" w:rsidR="006029D7" w:rsidRPr="006029D7" w:rsidRDefault="006029D7" w:rsidP="00B41E8E">
            <w:pPr>
              <w:suppressLineNumbers/>
              <w:jc w:val="center"/>
              <w:rPr>
                <w:rFonts w:cs="Times New Roman"/>
                <w:b/>
                <w:sz w:val="20"/>
                <w:szCs w:val="20"/>
                <w:vertAlign w:val="superscript"/>
              </w:rPr>
            </w:pPr>
            <w:r w:rsidRPr="006029D7">
              <w:rPr>
                <w:rFonts w:cs="Times New Roman"/>
                <w:b/>
                <w:sz w:val="20"/>
                <w:szCs w:val="20"/>
              </w:rPr>
              <w:t xml:space="preserve">Type of </w:t>
            </w:r>
            <w:proofErr w:type="spellStart"/>
            <w:r w:rsidRPr="006029D7">
              <w:rPr>
                <w:rFonts w:cs="Times New Roman"/>
                <w:b/>
                <w:sz w:val="20"/>
                <w:szCs w:val="20"/>
              </w:rPr>
              <w:t>Disability</w:t>
            </w:r>
            <w:r w:rsidRPr="006029D7">
              <w:rPr>
                <w:rFonts w:cs="Times New Roman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6546E5" w14:paraId="388ED45D" w14:textId="77777777" w:rsidTr="006546E5">
        <w:trPr>
          <w:trHeight w:val="77"/>
        </w:trPr>
        <w:tc>
          <w:tcPr>
            <w:tcW w:w="42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31EA8" w14:textId="77777777" w:rsidR="006029D7" w:rsidRPr="006029D7" w:rsidRDefault="006029D7" w:rsidP="006029D7">
            <w:pPr>
              <w:suppressLineNumbers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BCB14" w14:textId="25805D67" w:rsidR="006029D7" w:rsidRPr="006029D7" w:rsidRDefault="006029D7" w:rsidP="006029D7">
            <w:pPr>
              <w:suppressLineNumber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29D7">
              <w:rPr>
                <w:rFonts w:cs="Times New Roman"/>
                <w:b/>
                <w:sz w:val="20"/>
                <w:szCs w:val="20"/>
              </w:rPr>
              <w:t>Seeing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9303" w14:textId="488C1195" w:rsidR="006029D7" w:rsidRPr="006029D7" w:rsidRDefault="006029D7" w:rsidP="006029D7">
            <w:pPr>
              <w:suppressLineNumbers/>
              <w:rPr>
                <w:rFonts w:cs="Times New Roman"/>
                <w:b/>
                <w:sz w:val="20"/>
                <w:szCs w:val="20"/>
              </w:rPr>
            </w:pPr>
            <w:r w:rsidRPr="006029D7">
              <w:rPr>
                <w:rFonts w:cs="Times New Roman"/>
                <w:b/>
                <w:sz w:val="20"/>
                <w:szCs w:val="20"/>
              </w:rPr>
              <w:t>Hearing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69E47" w14:textId="408B60D0" w:rsidR="006029D7" w:rsidRPr="006029D7" w:rsidRDefault="006029D7" w:rsidP="006029D7">
            <w:pPr>
              <w:suppressLineNumber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29D7">
              <w:rPr>
                <w:rFonts w:cs="Times New Roman"/>
                <w:b/>
                <w:sz w:val="20"/>
                <w:szCs w:val="20"/>
              </w:rPr>
              <w:t>Walking or Climbing Stairs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2C881" w14:textId="3E0DE3AE" w:rsidR="006029D7" w:rsidRPr="006029D7" w:rsidRDefault="006029D7" w:rsidP="006029D7">
            <w:pPr>
              <w:suppressLineNumber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29D7">
              <w:rPr>
                <w:rFonts w:cs="Times New Roman"/>
                <w:b/>
                <w:sz w:val="20"/>
                <w:szCs w:val="20"/>
              </w:rPr>
              <w:t xml:space="preserve">Remembering or </w:t>
            </w:r>
            <w:proofErr w:type="gramStart"/>
            <w:r w:rsidRPr="006029D7">
              <w:rPr>
                <w:rFonts w:cs="Times New Roman"/>
                <w:b/>
                <w:sz w:val="20"/>
                <w:szCs w:val="20"/>
              </w:rPr>
              <w:t>Concentrating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2FE56" w14:textId="35E45511" w:rsidR="006029D7" w:rsidRPr="006029D7" w:rsidRDefault="006029D7" w:rsidP="006029D7">
            <w:pPr>
              <w:suppressLineNumber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29D7">
              <w:rPr>
                <w:rFonts w:cs="Times New Roman"/>
                <w:b/>
                <w:sz w:val="20"/>
                <w:szCs w:val="20"/>
              </w:rPr>
              <w:t>Communicating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D424A6" w14:textId="13A03243" w:rsidR="006029D7" w:rsidRPr="006029D7" w:rsidRDefault="006029D7" w:rsidP="006029D7">
            <w:pPr>
              <w:suppressLineNumber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029D7">
              <w:rPr>
                <w:rFonts w:cs="Times New Roman"/>
                <w:b/>
                <w:sz w:val="20"/>
                <w:szCs w:val="20"/>
              </w:rPr>
              <w:t>Self-care</w:t>
            </w:r>
          </w:p>
        </w:tc>
      </w:tr>
      <w:tr w:rsidR="00B8371C" w14:paraId="26855421" w14:textId="77777777" w:rsidTr="006546E5">
        <w:trPr>
          <w:trHeight w:val="209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887" w14:textId="689CC77A" w:rsidR="00B8371C" w:rsidRPr="00333337" w:rsidRDefault="00B8371C" w:rsidP="009130F4">
            <w:pPr>
              <w:suppressLineNumber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Breastfeeding </w:t>
            </w:r>
            <w:r w:rsidR="00504042">
              <w:rPr>
                <w:rFonts w:cs="Times New Roman"/>
                <w:bCs/>
                <w:sz w:val="20"/>
                <w:szCs w:val="20"/>
              </w:rPr>
              <w:t>i</w:t>
            </w:r>
            <w:r>
              <w:rPr>
                <w:rFonts w:cs="Times New Roman"/>
                <w:bCs/>
                <w:sz w:val="20"/>
                <w:szCs w:val="20"/>
              </w:rPr>
              <w:t>nitiation</w:t>
            </w:r>
            <w:r w:rsidRPr="00054E55">
              <w:rPr>
                <w:rFonts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cs="Times New Roman"/>
                <w:bCs/>
                <w:sz w:val="20"/>
                <w:szCs w:val="20"/>
              </w:rPr>
              <w:t xml:space="preserve">unweighted </w:t>
            </w:r>
            <w:r w:rsidRPr="00054E55">
              <w:rPr>
                <w:rFonts w:cs="Times New Roman"/>
                <w:bCs/>
                <w:sz w:val="20"/>
                <w:szCs w:val="20"/>
              </w:rPr>
              <w:t>n</w:t>
            </w:r>
            <w:r w:rsidR="00504042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054E55">
              <w:rPr>
                <w:rFonts w:cs="Times New Roman"/>
                <w:bCs/>
                <w:sz w:val="20"/>
                <w:szCs w:val="20"/>
              </w:rPr>
              <w:t>=</w:t>
            </w:r>
            <w:r w:rsidR="00504042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39 673</w:t>
            </w:r>
            <w:r w:rsidRPr="00054E55">
              <w:rPr>
                <w:rFonts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CD97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79.6 (74.1-84.2)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FEF0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83.9 (74.9-90.1)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F203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76.6 (67.1-84.0)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91B" w14:textId="7B602FEB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84.1 (80.5-87.</w:t>
            </w:r>
            <w:r w:rsidR="00435743">
              <w:rPr>
                <w:color w:val="000000"/>
                <w:sz w:val="20"/>
                <w:szCs w:val="20"/>
              </w:rPr>
              <w:t>1</w:t>
            </w:r>
            <w:r w:rsidRPr="006D146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7662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76ACC">
              <w:rPr>
                <w:color w:val="000000"/>
                <w:sz w:val="20"/>
                <w:szCs w:val="20"/>
              </w:rPr>
              <w:t>72.4 (60.1-82.1)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F6292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74.8 (58.4-86.2)</w:t>
            </w:r>
          </w:p>
        </w:tc>
      </w:tr>
      <w:tr w:rsidR="00B8371C" w14:paraId="025F9290" w14:textId="77777777" w:rsidTr="006546E5">
        <w:trPr>
          <w:trHeight w:val="197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EB4" w14:textId="619D7600" w:rsidR="00B8371C" w:rsidRPr="00BE763D" w:rsidRDefault="00B8371C" w:rsidP="009130F4">
            <w:pPr>
              <w:suppressLineNumbers/>
              <w:rPr>
                <w:rFonts w:cs="Times New Roman"/>
                <w:sz w:val="20"/>
                <w:szCs w:val="20"/>
              </w:rPr>
            </w:pPr>
            <w:r w:rsidRPr="00BE763D">
              <w:rPr>
                <w:rFonts w:cs="Times New Roman"/>
                <w:sz w:val="20"/>
                <w:szCs w:val="20"/>
              </w:rPr>
              <w:t xml:space="preserve">Breastfeeding 1 </w:t>
            </w:r>
            <w:proofErr w:type="spellStart"/>
            <w:r w:rsidRPr="00BE763D">
              <w:rPr>
                <w:rFonts w:cs="Times New Roman"/>
                <w:sz w:val="20"/>
                <w:szCs w:val="20"/>
              </w:rPr>
              <w:t>mo</w:t>
            </w:r>
            <w:proofErr w:type="spellEnd"/>
            <w:r w:rsidRPr="00BE763D">
              <w:rPr>
                <w:rFonts w:cs="Times New Roman"/>
                <w:sz w:val="20"/>
                <w:szCs w:val="20"/>
              </w:rPr>
              <w:t xml:space="preserve"> </w:t>
            </w:r>
            <w:r w:rsidRPr="00BE763D">
              <w:rPr>
                <w:rFonts w:cs="Times New Roman"/>
                <w:bCs/>
                <w:sz w:val="20"/>
                <w:szCs w:val="20"/>
              </w:rPr>
              <w:t>(</w:t>
            </w:r>
            <w:r>
              <w:rPr>
                <w:rFonts w:cs="Times New Roman"/>
                <w:bCs/>
                <w:sz w:val="20"/>
                <w:szCs w:val="20"/>
              </w:rPr>
              <w:t xml:space="preserve">unweighted </w:t>
            </w:r>
            <w:r w:rsidRPr="00BE763D">
              <w:rPr>
                <w:rFonts w:cs="Times New Roman"/>
                <w:bCs/>
                <w:sz w:val="20"/>
                <w:szCs w:val="20"/>
              </w:rPr>
              <w:t>n</w:t>
            </w:r>
            <w:r w:rsidR="00504042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BE763D">
              <w:rPr>
                <w:rFonts w:cs="Times New Roman"/>
                <w:bCs/>
                <w:sz w:val="20"/>
                <w:szCs w:val="20"/>
              </w:rPr>
              <w:t>=</w:t>
            </w:r>
            <w:r w:rsidR="00504042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39 673</w:t>
            </w:r>
            <w:r w:rsidRPr="00BE763D">
              <w:rPr>
                <w:rFonts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2BA0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65.2 (59.2-70.8)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89F8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71.4 (61.2-79.8)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B7DA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66.3 (56.4-75.0)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E7FB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69.0 (64.8-73.0)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7475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57.6 (45.6-68.7)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D721D" w14:textId="341B4568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64.7 (48.</w:t>
            </w:r>
            <w:r w:rsidR="00C53411">
              <w:rPr>
                <w:color w:val="000000"/>
                <w:sz w:val="20"/>
                <w:szCs w:val="20"/>
              </w:rPr>
              <w:t>6</w:t>
            </w:r>
            <w:r w:rsidRPr="006D146C">
              <w:rPr>
                <w:color w:val="000000"/>
                <w:sz w:val="20"/>
                <w:szCs w:val="20"/>
              </w:rPr>
              <w:t>-78.1)</w:t>
            </w:r>
          </w:p>
        </w:tc>
      </w:tr>
      <w:tr w:rsidR="00B8371C" w14:paraId="7095C18F" w14:textId="77777777" w:rsidTr="006546E5">
        <w:trPr>
          <w:trHeight w:val="88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517E" w14:textId="70C4C04E" w:rsidR="00B8371C" w:rsidRPr="00BE763D" w:rsidRDefault="00B8371C" w:rsidP="009130F4">
            <w:pPr>
              <w:suppressLineNumbers/>
              <w:rPr>
                <w:rFonts w:cs="Times New Roman"/>
                <w:sz w:val="20"/>
                <w:szCs w:val="20"/>
              </w:rPr>
            </w:pPr>
            <w:r w:rsidRPr="00BE763D">
              <w:rPr>
                <w:rFonts w:cs="Times New Roman"/>
                <w:sz w:val="20"/>
                <w:szCs w:val="20"/>
              </w:rPr>
              <w:t xml:space="preserve">Breastfeeding 2 </w:t>
            </w:r>
            <w:proofErr w:type="spellStart"/>
            <w:r w:rsidRPr="00BE763D">
              <w:rPr>
                <w:rFonts w:cs="Times New Roman"/>
                <w:sz w:val="20"/>
                <w:szCs w:val="20"/>
              </w:rPr>
              <w:t>mo</w:t>
            </w:r>
            <w:proofErr w:type="spellEnd"/>
            <w:r w:rsidRPr="00BE763D">
              <w:rPr>
                <w:rFonts w:cs="Times New Roman"/>
                <w:sz w:val="20"/>
                <w:szCs w:val="20"/>
              </w:rPr>
              <w:t xml:space="preserve"> </w:t>
            </w:r>
            <w:r w:rsidRPr="00BE763D">
              <w:rPr>
                <w:rFonts w:cs="Times New Roman"/>
                <w:bCs/>
                <w:sz w:val="20"/>
                <w:szCs w:val="20"/>
              </w:rPr>
              <w:t>(</w:t>
            </w:r>
            <w:r>
              <w:rPr>
                <w:rFonts w:cs="Times New Roman"/>
                <w:bCs/>
                <w:sz w:val="20"/>
                <w:szCs w:val="20"/>
              </w:rPr>
              <w:t xml:space="preserve">unweighted </w:t>
            </w:r>
            <w:r w:rsidRPr="00BE763D">
              <w:rPr>
                <w:rFonts w:cs="Times New Roman"/>
                <w:bCs/>
                <w:sz w:val="20"/>
                <w:szCs w:val="20"/>
              </w:rPr>
              <w:t>n</w:t>
            </w:r>
            <w:r w:rsidR="00504042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BE763D">
              <w:rPr>
                <w:rFonts w:cs="Times New Roman"/>
                <w:bCs/>
                <w:sz w:val="20"/>
                <w:szCs w:val="20"/>
              </w:rPr>
              <w:t>=</w:t>
            </w:r>
            <w:r w:rsidR="00504042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39 673</w:t>
            </w:r>
            <w:r w:rsidRPr="00BE763D">
              <w:rPr>
                <w:rFonts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0492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54.7 (48.5-60.8)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55EA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61.6 (51.1-71.1)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DC08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52.9 (42.6-62.9)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F992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54.9 (50.4-59.3)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27A3" w14:textId="1542642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51.5 (39.8-63.</w:t>
            </w:r>
            <w:r w:rsidR="00E02B87">
              <w:rPr>
                <w:color w:val="000000"/>
                <w:sz w:val="20"/>
                <w:szCs w:val="20"/>
              </w:rPr>
              <w:t>0</w:t>
            </w:r>
            <w:r w:rsidRPr="006D146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66AA3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57.2 (41.2-71.8)</w:t>
            </w:r>
          </w:p>
        </w:tc>
      </w:tr>
      <w:tr w:rsidR="00B8371C" w14:paraId="279FC2E8" w14:textId="77777777" w:rsidTr="006546E5">
        <w:trPr>
          <w:trHeight w:val="197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7CB1" w14:textId="4712562A" w:rsidR="00B8371C" w:rsidRPr="00085C89" w:rsidRDefault="00B8371C" w:rsidP="009130F4">
            <w:pPr>
              <w:suppressLineNumbers/>
              <w:rPr>
                <w:rFonts w:cs="Times New Roman"/>
                <w:sz w:val="20"/>
                <w:szCs w:val="20"/>
                <w:vertAlign w:val="superscript"/>
              </w:rPr>
            </w:pPr>
            <w:r w:rsidRPr="00BE763D">
              <w:rPr>
                <w:rFonts w:cs="Times New Roman"/>
                <w:sz w:val="20"/>
                <w:szCs w:val="20"/>
              </w:rPr>
              <w:t xml:space="preserve">Breastfeeding 3 </w:t>
            </w:r>
            <w:proofErr w:type="spellStart"/>
            <w:r w:rsidRPr="00BE763D">
              <w:rPr>
                <w:rFonts w:cs="Times New Roman"/>
                <w:sz w:val="20"/>
                <w:szCs w:val="20"/>
              </w:rPr>
              <w:t>mo</w:t>
            </w:r>
            <w:proofErr w:type="spellEnd"/>
            <w:r w:rsidRPr="00BE763D">
              <w:rPr>
                <w:rFonts w:cs="Times New Roman"/>
                <w:sz w:val="20"/>
                <w:szCs w:val="20"/>
              </w:rPr>
              <w:t xml:space="preserve"> </w:t>
            </w:r>
            <w:r w:rsidRPr="00BE763D">
              <w:rPr>
                <w:rFonts w:cs="Times New Roman"/>
                <w:bCs/>
                <w:sz w:val="20"/>
                <w:szCs w:val="20"/>
              </w:rPr>
              <w:t>(</w:t>
            </w:r>
            <w:r>
              <w:rPr>
                <w:rFonts w:cs="Times New Roman"/>
                <w:bCs/>
                <w:sz w:val="20"/>
                <w:szCs w:val="20"/>
              </w:rPr>
              <w:t xml:space="preserve">unweighted </w:t>
            </w:r>
            <w:r w:rsidRPr="00BE763D">
              <w:rPr>
                <w:rFonts w:cs="Times New Roman"/>
                <w:bCs/>
                <w:sz w:val="20"/>
                <w:szCs w:val="20"/>
              </w:rPr>
              <w:t>n</w:t>
            </w:r>
            <w:r w:rsidR="00504042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BE763D">
              <w:rPr>
                <w:rFonts w:cs="Times New Roman"/>
                <w:bCs/>
                <w:sz w:val="20"/>
                <w:szCs w:val="20"/>
              </w:rPr>
              <w:t>=</w:t>
            </w:r>
            <w:r w:rsidR="00504042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33 704</w:t>
            </w:r>
            <w:r w:rsidRPr="00BE763D">
              <w:rPr>
                <w:rFonts w:cs="Times New Roman"/>
                <w:bCs/>
                <w:sz w:val="20"/>
                <w:szCs w:val="20"/>
              </w:rPr>
              <w:t>)</w:t>
            </w:r>
            <w:r>
              <w:rPr>
                <w:rFonts w:cs="Times New Roman"/>
                <w:b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61F4" w14:textId="2F08D694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49.5 (42.</w:t>
            </w:r>
            <w:r w:rsidR="001B6411">
              <w:rPr>
                <w:color w:val="000000"/>
                <w:sz w:val="20"/>
                <w:szCs w:val="20"/>
              </w:rPr>
              <w:t>8</w:t>
            </w:r>
            <w:r w:rsidRPr="006D146C">
              <w:rPr>
                <w:color w:val="000000"/>
                <w:sz w:val="20"/>
                <w:szCs w:val="20"/>
              </w:rPr>
              <w:t>-56.2)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8457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54.1 (42.9-64.9)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C803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50.3 (39.5-61.1)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DCBB" w14:textId="77777777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45.7 (41.1-50.4)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A9E7" w14:textId="011CBE44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49.0 (36.6-61.</w:t>
            </w:r>
            <w:r w:rsidR="00574DD8">
              <w:rPr>
                <w:color w:val="000000"/>
                <w:sz w:val="20"/>
                <w:szCs w:val="20"/>
              </w:rPr>
              <w:t>5</w:t>
            </w:r>
            <w:r w:rsidRPr="006D146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1F70E" w14:textId="31FF994A" w:rsidR="00B8371C" w:rsidRPr="006D146C" w:rsidRDefault="00B8371C" w:rsidP="009130F4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6D146C">
              <w:rPr>
                <w:color w:val="000000"/>
                <w:sz w:val="20"/>
                <w:szCs w:val="20"/>
              </w:rPr>
              <w:t>52.6 (</w:t>
            </w:r>
            <w:r w:rsidR="00BB7B1D">
              <w:rPr>
                <w:color w:val="000000"/>
                <w:sz w:val="20"/>
                <w:szCs w:val="20"/>
              </w:rPr>
              <w:t>37.0</w:t>
            </w:r>
            <w:r w:rsidRPr="006D146C">
              <w:rPr>
                <w:color w:val="000000"/>
                <w:sz w:val="20"/>
                <w:szCs w:val="20"/>
              </w:rPr>
              <w:t>-67.</w:t>
            </w:r>
            <w:r w:rsidR="00BB7B1D">
              <w:rPr>
                <w:color w:val="000000"/>
                <w:sz w:val="20"/>
                <w:szCs w:val="20"/>
              </w:rPr>
              <w:t>7</w:t>
            </w:r>
            <w:r w:rsidRPr="006D146C">
              <w:rPr>
                <w:color w:val="000000"/>
                <w:sz w:val="20"/>
                <w:szCs w:val="20"/>
              </w:rPr>
              <w:t>)</w:t>
            </w:r>
          </w:p>
        </w:tc>
      </w:tr>
      <w:tr w:rsidR="00B8371C" w14:paraId="63D9334B" w14:textId="77777777" w:rsidTr="009130F4">
        <w:trPr>
          <w:trHeight w:val="1499"/>
        </w:trPr>
        <w:tc>
          <w:tcPr>
            <w:tcW w:w="14155" w:type="dxa"/>
            <w:gridSpan w:val="7"/>
            <w:tcBorders>
              <w:top w:val="single" w:sz="4" w:space="0" w:color="auto"/>
              <w:bottom w:val="nil"/>
            </w:tcBorders>
          </w:tcPr>
          <w:p w14:paraId="37050A8F" w14:textId="1BE5E9CE" w:rsidR="00B8371C" w:rsidRPr="002F489C" w:rsidRDefault="00276120" w:rsidP="007D47AC">
            <w:pPr>
              <w:suppressLineNumbers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Note. </w:t>
            </w:r>
            <w:r w:rsidR="00B8371C">
              <w:rPr>
                <w:rFonts w:eastAsia="Times New Roman" w:cs="Times New Roman"/>
                <w:color w:val="000000"/>
                <w:sz w:val="20"/>
                <w:szCs w:val="20"/>
              </w:rPr>
              <w:t>CI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=</w:t>
            </w:r>
            <w:r w:rsidR="00B8371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Confidence Interval</w:t>
            </w:r>
            <w:r w:rsidR="007D47A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 </w:t>
            </w:r>
            <w:r w:rsidR="007D47AC" w:rsidRPr="007D47AC">
              <w:rPr>
                <w:rFonts w:eastAsia="Times New Roman" w:cs="Times New Roman"/>
                <w:color w:val="000000"/>
                <w:sz w:val="20"/>
                <w:szCs w:val="20"/>
              </w:rPr>
              <w:t>The 24 PRAMS sites were CO, DC, GA, KS, LA, MA, MD, ME, MI, MS, MO, MT, ND, NE, NH,</w:t>
            </w:r>
            <w:r w:rsidR="007D47A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7D47AC" w:rsidRPr="007D47AC">
              <w:rPr>
                <w:rFonts w:eastAsia="Times New Roman" w:cs="Times New Roman"/>
                <w:color w:val="000000"/>
                <w:sz w:val="20"/>
                <w:szCs w:val="20"/>
              </w:rPr>
              <w:t>NM, NY (excluding New York City), OR, RI, SD, TN, VT, VA</w:t>
            </w:r>
            <w:r w:rsidR="00504042"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="007D47A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and WV</w:t>
            </w:r>
            <w:r w:rsidR="007D47AC" w:rsidRPr="007D47AC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  <w:p w14:paraId="5772E657" w14:textId="1036DC78" w:rsidR="00B8371C" w:rsidRDefault="00B8371C" w:rsidP="009130F4">
            <w:pPr>
              <w:suppressLineNumbers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vertAlign w:val="superscript"/>
              </w:rPr>
              <w:t>a</w:t>
            </w:r>
            <w:r w:rsidRPr="2FE95392"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  <w:r w:rsidR="00A91CC0" w:rsidRPr="00E4491D">
              <w:rPr>
                <w:rFonts w:cs="Times New Roman"/>
                <w:sz w:val="20"/>
                <w:szCs w:val="20"/>
              </w:rPr>
              <w:t xml:space="preserve">Each type of disability was defined as reporting </w:t>
            </w:r>
            <w:r w:rsidRPr="2FE95392">
              <w:rPr>
                <w:rFonts w:cs="Times New Roman"/>
                <w:sz w:val="20"/>
                <w:szCs w:val="20"/>
              </w:rPr>
              <w:t>“a lot of difficulty” or “cannot do at all” on one or more of the Washington Group Short Set of Questions on Disability (WG-Short Set)</w:t>
            </w:r>
            <w:r w:rsidRPr="2FE95392">
              <w:rPr>
                <w:rFonts w:cs="Times New Roman"/>
                <w:sz w:val="20"/>
                <w:szCs w:val="20"/>
                <w:vertAlign w:val="superscript"/>
              </w:rPr>
              <w:t>26</w:t>
            </w:r>
            <w:r w:rsidRPr="2FE95392">
              <w:rPr>
                <w:rFonts w:cs="Times New Roman"/>
                <w:sz w:val="20"/>
                <w:szCs w:val="20"/>
              </w:rPr>
              <w:t xml:space="preserve"> that measure difficulty with seeing, hearing, walking/climbing stairs, remembering/concentrating, self-care, and communicating.</w:t>
            </w:r>
            <w:r w:rsidRPr="2FE95392">
              <w:rPr>
                <w:sz w:val="20"/>
                <w:szCs w:val="20"/>
              </w:rPr>
              <w:t xml:space="preserve"> </w:t>
            </w:r>
          </w:p>
          <w:p w14:paraId="6DFB8200" w14:textId="77777777" w:rsidR="00B8371C" w:rsidRPr="002F489C" w:rsidRDefault="00B8371C" w:rsidP="009130F4">
            <w:pPr>
              <w:suppressLineNumbers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vertAlign w:val="superscript"/>
              </w:rPr>
              <w:t>b</w:t>
            </w:r>
            <w:r w:rsidRPr="3B35FC09"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  <w:r w:rsidRPr="3B35FC09">
              <w:rPr>
                <w:rFonts w:cs="Times New Roman"/>
                <w:sz w:val="20"/>
                <w:szCs w:val="20"/>
              </w:rPr>
              <w:t>Sample was restricted to those respondents who had completed their PRAMS survey at or after three months after giving birth.</w:t>
            </w:r>
          </w:p>
          <w:p w14:paraId="64B73781" w14:textId="77777777" w:rsidR="00B8371C" w:rsidRPr="00DE3EFA" w:rsidRDefault="00B8371C" w:rsidP="009130F4">
            <w:pPr>
              <w:suppressLineNumbers/>
              <w:rPr>
                <w:rFonts w:cs="Times New Roman"/>
                <w:sz w:val="20"/>
                <w:szCs w:val="20"/>
              </w:rPr>
            </w:pPr>
          </w:p>
        </w:tc>
      </w:tr>
    </w:tbl>
    <w:p w14:paraId="5AD0D61E" w14:textId="77777777" w:rsidR="00B8371C" w:rsidRDefault="00B8371C"/>
    <w:sectPr w:rsidR="00B8371C" w:rsidSect="00B8371C">
      <w:pgSz w:w="15840" w:h="12240" w:orient="landscape"/>
      <w:pgMar w:top="288" w:right="72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1C"/>
    <w:rsid w:val="001B6411"/>
    <w:rsid w:val="0026281A"/>
    <w:rsid w:val="00276120"/>
    <w:rsid w:val="0041083E"/>
    <w:rsid w:val="00435743"/>
    <w:rsid w:val="004F2F54"/>
    <w:rsid w:val="00504042"/>
    <w:rsid w:val="00574DD8"/>
    <w:rsid w:val="006029D7"/>
    <w:rsid w:val="006546E5"/>
    <w:rsid w:val="006E523D"/>
    <w:rsid w:val="007D47AC"/>
    <w:rsid w:val="00972D33"/>
    <w:rsid w:val="00A91CC0"/>
    <w:rsid w:val="00AD44EA"/>
    <w:rsid w:val="00B41E8E"/>
    <w:rsid w:val="00B8371C"/>
    <w:rsid w:val="00BB7B1D"/>
    <w:rsid w:val="00BD55B9"/>
    <w:rsid w:val="00C53411"/>
    <w:rsid w:val="00D51899"/>
    <w:rsid w:val="00E02B87"/>
    <w:rsid w:val="00F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A3F1"/>
  <w15:chartTrackingRefBased/>
  <w15:docId w15:val="{7BE24276-02E4-4F50-80C0-2CCA0E4E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71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D55B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Ramer, Stephanie (CDC/DDNID/NCCDPHP/DRH)</dc:creator>
  <cp:keywords/>
  <dc:description/>
  <cp:lastModifiedBy>Ramer, Stephanie (CDC/NCCDPHP/DRH)</cp:lastModifiedBy>
  <cp:revision>2</cp:revision>
  <dcterms:created xsi:type="dcterms:W3CDTF">2023-11-30T17:50:00Z</dcterms:created>
  <dcterms:modified xsi:type="dcterms:W3CDTF">2023-11-30T17:50:00Z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2023-09-01T03:49:08Z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511d836b-4440-42bc-bea8-f89b38c224ad</vt:lpwstr>
  </property>
  <property fmtid="{D5CDD505-2E9C-101B-9397-08002B2CF9AE}" pid="8" name="MSIP_Label_7b94a7b8-f06c-4dfe-bdcc-9b548fd58c31_ContentBits">
    <vt:lpwstr>0</vt:lpwstr>
  </property>
</Properties>
</file>