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8B26" w14:textId="04D5D3C7" w:rsidR="000D19C0" w:rsidRDefault="000D19C0" w:rsidP="001A5826">
      <w:pPr>
        <w:spacing w:line="480" w:lineRule="auto"/>
        <w:jc w:val="both"/>
        <w:rPr>
          <w:b/>
        </w:rPr>
      </w:pPr>
      <w:r>
        <w:rPr>
          <w:b/>
        </w:rPr>
        <w:t>Supplement</w:t>
      </w:r>
    </w:p>
    <w:p w14:paraId="29FEE968" w14:textId="3C2E05A3" w:rsidR="006C1156" w:rsidRPr="00FD771E" w:rsidRDefault="006C1156" w:rsidP="001A5826">
      <w:pPr>
        <w:spacing w:line="480" w:lineRule="auto"/>
        <w:jc w:val="both"/>
        <w:rPr>
          <w:b/>
        </w:rPr>
      </w:pPr>
      <w:r w:rsidRPr="00FD771E">
        <w:rPr>
          <w:b/>
        </w:rPr>
        <w:t>M</w:t>
      </w:r>
      <w:r w:rsidR="000D19C0">
        <w:rPr>
          <w:b/>
        </w:rPr>
        <w:t xml:space="preserve">aterials and </w:t>
      </w:r>
      <w:r w:rsidRPr="00FD771E">
        <w:rPr>
          <w:b/>
        </w:rPr>
        <w:t>M</w:t>
      </w:r>
      <w:r w:rsidR="000D19C0">
        <w:rPr>
          <w:b/>
        </w:rPr>
        <w:t>ethods</w:t>
      </w:r>
    </w:p>
    <w:p w14:paraId="334D143F" w14:textId="6530242D" w:rsidR="006C1156" w:rsidRPr="00FD771E" w:rsidRDefault="006C1156" w:rsidP="001A5826">
      <w:pPr>
        <w:spacing w:line="480" w:lineRule="auto"/>
        <w:jc w:val="both"/>
      </w:pPr>
      <w:r w:rsidRPr="00FD771E">
        <w:t>A total of 37 mould isolates from 20 species were included.</w:t>
      </w:r>
      <w:r w:rsidR="00A3002C" w:rsidRPr="00FD771E">
        <w:t xml:space="preserve"> Twenty-one were </w:t>
      </w:r>
      <w:r w:rsidR="00A3002C" w:rsidRPr="00FD771E">
        <w:rPr>
          <w:i/>
        </w:rPr>
        <w:t>Aspergillus</w:t>
      </w:r>
      <w:r w:rsidR="00A3002C" w:rsidRPr="00FD771E">
        <w:t xml:space="preserve"> spp. isolates (15 species)</w:t>
      </w:r>
      <w:r w:rsidR="00E260CD" w:rsidRPr="00FD771E">
        <w:t xml:space="preserve"> whereas 16 were other moulds from nine different species</w:t>
      </w:r>
      <w:r w:rsidR="00A3002C" w:rsidRPr="00FD771E">
        <w:t>.</w:t>
      </w:r>
      <w:r w:rsidRPr="00FD771E">
        <w:t xml:space="preserve"> The isolates were cultured from clinical samples during 2018-2020. Susceptibility testing was performed according to the EUCAST </w:t>
      </w:r>
      <w:proofErr w:type="gramStart"/>
      <w:r w:rsidRPr="00FD771E">
        <w:t>E.</w:t>
      </w:r>
      <w:r w:rsidR="00A3002C" w:rsidRPr="00FD771E">
        <w:t>Def</w:t>
      </w:r>
      <w:proofErr w:type="gramEnd"/>
      <w:r w:rsidR="00A3002C" w:rsidRPr="00FD771E">
        <w:t xml:space="preserve"> 9.3</w:t>
      </w:r>
      <w:r w:rsidRPr="00FD771E">
        <w:t xml:space="preserve"> reference method and MICs read visually according to the standard full inhibition endpoint and spectrophotometric using 90% and 50% growth inhibition as compared to the growth control</w:t>
      </w:r>
      <w:r w:rsidR="00CD7EF8">
        <w:t xml:space="preserve"> yielding 333 MICs</w:t>
      </w:r>
      <w:r w:rsidR="00790F54">
        <w:t xml:space="preserve"> (Arendrup et al., 2016)</w:t>
      </w:r>
      <w:r w:rsidRPr="00FD771E">
        <w:t xml:space="preserve">. </w:t>
      </w:r>
    </w:p>
    <w:p w14:paraId="2F0E8A15" w14:textId="2D362B6F" w:rsidR="006C1156" w:rsidRPr="00FD771E" w:rsidRDefault="006C1156" w:rsidP="001A5826">
      <w:pPr>
        <w:pStyle w:val="Default"/>
        <w:spacing w:line="480" w:lineRule="auto"/>
        <w:jc w:val="both"/>
        <w:rPr>
          <w:sz w:val="22"/>
          <w:szCs w:val="22"/>
        </w:rPr>
      </w:pPr>
      <w:r w:rsidRPr="00FD771E">
        <w:rPr>
          <w:sz w:val="22"/>
          <w:szCs w:val="22"/>
        </w:rPr>
        <w:t xml:space="preserve">Stock solutions of antifungal agents were prepared in </w:t>
      </w:r>
      <w:proofErr w:type="gramStart"/>
      <w:r w:rsidRPr="00FD771E">
        <w:rPr>
          <w:sz w:val="22"/>
          <w:szCs w:val="22"/>
        </w:rPr>
        <w:t>DMSO</w:t>
      </w:r>
      <w:proofErr w:type="gramEnd"/>
      <w:r w:rsidR="00A3002C" w:rsidRPr="00FD771E">
        <w:rPr>
          <w:sz w:val="22"/>
          <w:szCs w:val="22"/>
        </w:rPr>
        <w:t xml:space="preserve"> and twofold dilutions prepared according to the ISO method</w:t>
      </w:r>
      <w:r w:rsidR="001A5826">
        <w:rPr>
          <w:sz w:val="22"/>
          <w:szCs w:val="22"/>
        </w:rPr>
        <w:t xml:space="preserve"> (Arendrup et al., 2021)</w:t>
      </w:r>
      <w:r w:rsidR="00A3002C" w:rsidRPr="00FD771E">
        <w:rPr>
          <w:sz w:val="22"/>
          <w:szCs w:val="22"/>
        </w:rPr>
        <w:t xml:space="preserve">. </w:t>
      </w:r>
      <w:r w:rsidRPr="00FD771E">
        <w:rPr>
          <w:sz w:val="22"/>
          <w:szCs w:val="22"/>
        </w:rPr>
        <w:t xml:space="preserve">The following final concentration ranges </w:t>
      </w:r>
      <w:r w:rsidR="00FD771E" w:rsidRPr="00FD771E">
        <w:rPr>
          <w:sz w:val="22"/>
          <w:szCs w:val="22"/>
        </w:rPr>
        <w:t xml:space="preserve">(manufacturer) </w:t>
      </w:r>
      <w:r w:rsidRPr="00FD771E">
        <w:rPr>
          <w:sz w:val="22"/>
          <w:szCs w:val="22"/>
        </w:rPr>
        <w:t>were used</w:t>
      </w:r>
      <w:r w:rsidR="00A3002C" w:rsidRPr="00FD771E">
        <w:rPr>
          <w:sz w:val="22"/>
          <w:szCs w:val="22"/>
        </w:rPr>
        <w:t xml:space="preserve">: olorofim 4 - 0.001 mg/L, ipflufenoquin </w:t>
      </w:r>
      <w:r w:rsidR="00FD771E" w:rsidRPr="00FD771E">
        <w:rPr>
          <w:sz w:val="22"/>
          <w:szCs w:val="22"/>
        </w:rPr>
        <w:t>(</w:t>
      </w:r>
      <w:proofErr w:type="spellStart"/>
      <w:r w:rsidR="00FD771E">
        <w:rPr>
          <w:sz w:val="22"/>
          <w:szCs w:val="22"/>
        </w:rPr>
        <w:t>Kinoprol</w:t>
      </w:r>
      <w:proofErr w:type="spellEnd"/>
      <w:r w:rsidR="00FD771E" w:rsidRPr="00FD771E">
        <w:rPr>
          <w:sz w:val="22"/>
          <w:szCs w:val="22"/>
        </w:rPr>
        <w:t xml:space="preserve">, Nippon Soda Co., Ltd.) </w:t>
      </w:r>
      <w:r w:rsidR="00A3002C" w:rsidRPr="00FD771E">
        <w:rPr>
          <w:sz w:val="22"/>
          <w:szCs w:val="22"/>
        </w:rPr>
        <w:t xml:space="preserve">and </w:t>
      </w:r>
      <w:proofErr w:type="spellStart"/>
      <w:r w:rsidR="00A3002C" w:rsidRPr="00FD771E">
        <w:rPr>
          <w:sz w:val="22"/>
          <w:szCs w:val="22"/>
        </w:rPr>
        <w:t>tetflupyrolimet</w:t>
      </w:r>
      <w:proofErr w:type="spellEnd"/>
      <w:r w:rsidR="00A3002C" w:rsidRPr="00FD771E">
        <w:rPr>
          <w:sz w:val="22"/>
          <w:szCs w:val="22"/>
        </w:rPr>
        <w:t xml:space="preserve"> </w:t>
      </w:r>
      <w:r w:rsidR="00FD771E" w:rsidRPr="00FD771E">
        <w:rPr>
          <w:sz w:val="22"/>
          <w:szCs w:val="22"/>
        </w:rPr>
        <w:t>(</w:t>
      </w:r>
      <w:r w:rsidR="00FD771E" w:rsidRPr="00FD771E">
        <w:rPr>
          <w:color w:val="auto"/>
          <w:sz w:val="22"/>
          <w:szCs w:val="22"/>
        </w:rPr>
        <w:t>FMC Corp Delaware</w:t>
      </w:r>
      <w:r w:rsidR="00FD771E">
        <w:rPr>
          <w:color w:val="auto"/>
          <w:sz w:val="22"/>
          <w:szCs w:val="22"/>
        </w:rPr>
        <w:t>,</w:t>
      </w:r>
      <w:r w:rsidR="00FD771E" w:rsidRPr="00FD771E">
        <w:rPr>
          <w:color w:val="auto"/>
          <w:sz w:val="22"/>
          <w:szCs w:val="22"/>
        </w:rPr>
        <w:t xml:space="preserve"> USA</w:t>
      </w:r>
      <w:r w:rsidR="00FD771E" w:rsidRPr="00FD771E">
        <w:rPr>
          <w:sz w:val="22"/>
          <w:szCs w:val="22"/>
        </w:rPr>
        <w:t xml:space="preserve">) </w:t>
      </w:r>
      <w:r w:rsidR="00A3002C" w:rsidRPr="00FD771E">
        <w:rPr>
          <w:sz w:val="22"/>
          <w:szCs w:val="22"/>
        </w:rPr>
        <w:t>32 - 0.03 mg/L.</w:t>
      </w:r>
    </w:p>
    <w:p w14:paraId="5BD40F42" w14:textId="462164BB" w:rsidR="00E260CD" w:rsidRDefault="00E260CD" w:rsidP="001A5826">
      <w:pPr>
        <w:spacing w:line="480" w:lineRule="auto"/>
        <w:jc w:val="both"/>
      </w:pPr>
    </w:p>
    <w:p w14:paraId="0A2233ED" w14:textId="5D2EC457" w:rsidR="00790F54" w:rsidRDefault="00790F54" w:rsidP="001A5826">
      <w:pPr>
        <w:spacing w:line="480" w:lineRule="auto"/>
        <w:jc w:val="both"/>
      </w:pPr>
    </w:p>
    <w:p w14:paraId="662F351D" w14:textId="38312DD6" w:rsidR="00790F54" w:rsidRPr="001A5826" w:rsidRDefault="00790F54" w:rsidP="001A5826">
      <w:pPr>
        <w:spacing w:line="480" w:lineRule="auto"/>
        <w:jc w:val="both"/>
        <w:rPr>
          <w:b/>
          <w:bCs/>
        </w:rPr>
      </w:pPr>
      <w:r w:rsidRPr="001A5826">
        <w:rPr>
          <w:b/>
          <w:bCs/>
        </w:rPr>
        <w:t>References</w:t>
      </w:r>
    </w:p>
    <w:p w14:paraId="67FA89DD" w14:textId="4D7535E7" w:rsidR="00790F54" w:rsidRPr="00790F54" w:rsidRDefault="00790F54" w:rsidP="001A5826">
      <w:pPr>
        <w:spacing w:line="480" w:lineRule="auto"/>
        <w:jc w:val="both"/>
        <w:rPr>
          <w:bCs/>
        </w:rPr>
      </w:pPr>
      <w:r w:rsidRPr="00790F54">
        <w:rPr>
          <w:bCs/>
        </w:rPr>
        <w:t xml:space="preserve">Arendrup </w:t>
      </w:r>
      <w:r>
        <w:rPr>
          <w:bCs/>
        </w:rPr>
        <w:t>MC</w:t>
      </w:r>
      <w:r w:rsidRPr="00790F54">
        <w:rPr>
          <w:bCs/>
        </w:rPr>
        <w:t xml:space="preserve">, Meletiadis </w:t>
      </w:r>
      <w:r>
        <w:rPr>
          <w:bCs/>
        </w:rPr>
        <w:t>J</w:t>
      </w:r>
      <w:r w:rsidRPr="00790F54">
        <w:rPr>
          <w:bCs/>
        </w:rPr>
        <w:t xml:space="preserve">, Mouton </w:t>
      </w:r>
      <w:r>
        <w:rPr>
          <w:bCs/>
        </w:rPr>
        <w:t>JW</w:t>
      </w:r>
      <w:r w:rsidRPr="00790F54">
        <w:rPr>
          <w:bCs/>
        </w:rPr>
        <w:t xml:space="preserve">, Guinea </w:t>
      </w:r>
      <w:r>
        <w:rPr>
          <w:bCs/>
        </w:rPr>
        <w:t>J</w:t>
      </w:r>
      <w:r w:rsidRPr="00790F54">
        <w:rPr>
          <w:bCs/>
        </w:rPr>
        <w:t xml:space="preserve">, Cuenca-Estrella </w:t>
      </w:r>
      <w:r>
        <w:rPr>
          <w:bCs/>
        </w:rPr>
        <w:t>M</w:t>
      </w:r>
      <w:r w:rsidRPr="00790F54">
        <w:rPr>
          <w:bCs/>
        </w:rPr>
        <w:t xml:space="preserve">, Lagrou </w:t>
      </w:r>
      <w:r>
        <w:rPr>
          <w:bCs/>
        </w:rPr>
        <w:t>K</w:t>
      </w:r>
      <w:r w:rsidRPr="00790F54">
        <w:rPr>
          <w:bCs/>
        </w:rPr>
        <w:t>, Howard</w:t>
      </w:r>
      <w:r>
        <w:rPr>
          <w:bCs/>
        </w:rPr>
        <w:t xml:space="preserve"> SJ.</w:t>
      </w:r>
      <w:r w:rsidRPr="00790F54">
        <w:rPr>
          <w:bCs/>
        </w:rPr>
        <w:t xml:space="preserve"> EUCAST technical note on isavuconazole breakpoints for Aspergillus, itraconazole breakpoints for Candida and updates for the antifungal susceptibility testing method documents</w:t>
      </w:r>
      <w:r>
        <w:rPr>
          <w:bCs/>
        </w:rPr>
        <w:t xml:space="preserve"> </w:t>
      </w:r>
      <w:r w:rsidRPr="00790F54">
        <w:rPr>
          <w:bCs/>
        </w:rPr>
        <w:t xml:space="preserve">Clin </w:t>
      </w:r>
      <w:proofErr w:type="spellStart"/>
      <w:r w:rsidRPr="00790F54">
        <w:rPr>
          <w:bCs/>
        </w:rPr>
        <w:t>Microbiol</w:t>
      </w:r>
      <w:proofErr w:type="spellEnd"/>
      <w:r w:rsidRPr="00790F54">
        <w:rPr>
          <w:bCs/>
        </w:rPr>
        <w:t xml:space="preserve"> Infect 2016 Jun;22(6</w:t>
      </w:r>
      <w:proofErr w:type="gramStart"/>
      <w:r w:rsidRPr="00790F54">
        <w:rPr>
          <w:bCs/>
        </w:rPr>
        <w:t>):571.e</w:t>
      </w:r>
      <w:proofErr w:type="gramEnd"/>
      <w:r w:rsidRPr="00790F54">
        <w:rPr>
          <w:bCs/>
        </w:rPr>
        <w:t xml:space="preserve">1-4. </w:t>
      </w:r>
      <w:proofErr w:type="spellStart"/>
      <w:r w:rsidRPr="00790F54">
        <w:rPr>
          <w:bCs/>
        </w:rPr>
        <w:t>doi</w:t>
      </w:r>
      <w:proofErr w:type="spellEnd"/>
      <w:r w:rsidRPr="00790F54">
        <w:rPr>
          <w:bCs/>
        </w:rPr>
        <w:t xml:space="preserve">: 10.1016/j.cmi.2016.01.017. </w:t>
      </w:r>
      <w:proofErr w:type="spellStart"/>
      <w:r w:rsidRPr="00790F54">
        <w:rPr>
          <w:bCs/>
        </w:rPr>
        <w:t>Epub</w:t>
      </w:r>
      <w:proofErr w:type="spellEnd"/>
      <w:r w:rsidRPr="00790F54">
        <w:rPr>
          <w:bCs/>
        </w:rPr>
        <w:t xml:space="preserve"> 2016 Feb 3.</w:t>
      </w:r>
    </w:p>
    <w:p w14:paraId="76985274" w14:textId="1FE30DAF" w:rsidR="00E260CD" w:rsidRPr="001A5826" w:rsidRDefault="00790F54" w:rsidP="001A5826">
      <w:pPr>
        <w:spacing w:line="480" w:lineRule="auto"/>
        <w:jc w:val="both"/>
        <w:rPr>
          <w:bCs/>
          <w:lang w:val="en-US"/>
        </w:rPr>
      </w:pPr>
      <w:r w:rsidRPr="00790F54">
        <w:rPr>
          <w:bCs/>
          <w:lang w:val="nl-NL"/>
        </w:rPr>
        <w:t>Arendrup</w:t>
      </w:r>
      <w:r w:rsidR="001A5826">
        <w:rPr>
          <w:bCs/>
          <w:lang w:val="nl-NL"/>
        </w:rPr>
        <w:t xml:space="preserve"> MC</w:t>
      </w:r>
      <w:r w:rsidRPr="00790F54">
        <w:rPr>
          <w:bCs/>
          <w:lang w:val="nl-NL"/>
        </w:rPr>
        <w:t>, Jørgensen</w:t>
      </w:r>
      <w:r w:rsidR="001A5826">
        <w:rPr>
          <w:bCs/>
          <w:lang w:val="nl-NL"/>
        </w:rPr>
        <w:t xml:space="preserve"> KM</w:t>
      </w:r>
      <w:r w:rsidRPr="00790F54">
        <w:rPr>
          <w:bCs/>
          <w:lang w:val="nl-NL"/>
        </w:rPr>
        <w:t>, Hanemaaijer</w:t>
      </w:r>
      <w:r w:rsidR="001A5826">
        <w:rPr>
          <w:bCs/>
          <w:lang w:val="nl-NL"/>
        </w:rPr>
        <w:t xml:space="preserve"> N</w:t>
      </w:r>
      <w:r w:rsidRPr="00790F54">
        <w:rPr>
          <w:bCs/>
          <w:lang w:val="nl-NL"/>
        </w:rPr>
        <w:t>, Verweij</w:t>
      </w:r>
      <w:r w:rsidR="001A5826">
        <w:rPr>
          <w:bCs/>
          <w:lang w:val="nl-NL"/>
        </w:rPr>
        <w:t xml:space="preserve"> PE. </w:t>
      </w:r>
      <w:r w:rsidRPr="00790F54">
        <w:rPr>
          <w:bCs/>
        </w:rPr>
        <w:t xml:space="preserve">ISO standard 20776-1 or serial 2-fold dilution for antifungal susceptibility plate preparation: that is the question! J </w:t>
      </w:r>
      <w:proofErr w:type="spellStart"/>
      <w:r w:rsidRPr="00790F54">
        <w:rPr>
          <w:bCs/>
        </w:rPr>
        <w:t>Antimicrob</w:t>
      </w:r>
      <w:proofErr w:type="spellEnd"/>
      <w:r w:rsidRPr="00790F54">
        <w:rPr>
          <w:bCs/>
        </w:rPr>
        <w:t xml:space="preserve"> </w:t>
      </w:r>
      <w:proofErr w:type="spellStart"/>
      <w:r w:rsidRPr="00790F54">
        <w:rPr>
          <w:bCs/>
        </w:rPr>
        <w:t>Chemother</w:t>
      </w:r>
      <w:proofErr w:type="spellEnd"/>
      <w:r w:rsidR="001A5826">
        <w:rPr>
          <w:bCs/>
        </w:rPr>
        <w:t xml:space="preserve"> 2021; </w:t>
      </w:r>
      <w:r w:rsidRPr="00790F54">
        <w:rPr>
          <w:bCs/>
        </w:rPr>
        <w:t>76</w:t>
      </w:r>
      <w:r w:rsidR="001A5826">
        <w:rPr>
          <w:bCs/>
        </w:rPr>
        <w:t>(7):</w:t>
      </w:r>
      <w:r w:rsidRPr="00790F54">
        <w:rPr>
          <w:bCs/>
        </w:rPr>
        <w:t xml:space="preserve"> 1793–1799, https://doi.org/10.1093/jac/dkab088</w:t>
      </w:r>
      <w:r w:rsidR="00E260CD" w:rsidRPr="00790F54">
        <w:rPr>
          <w:bCs/>
        </w:rPr>
        <w:br w:type="page"/>
      </w:r>
    </w:p>
    <w:p w14:paraId="4CA0163D" w14:textId="77777777" w:rsidR="00E260CD" w:rsidRPr="00790F54" w:rsidRDefault="00E260CD" w:rsidP="001A5826">
      <w:pPr>
        <w:spacing w:line="480" w:lineRule="auto"/>
        <w:jc w:val="both"/>
        <w:rPr>
          <w:bCs/>
        </w:rPr>
        <w:sectPr w:rsidR="00E260CD" w:rsidRPr="00790F54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2F54394" w14:textId="342337D3" w:rsidR="00A12B95" w:rsidRPr="001A5826" w:rsidRDefault="007E2BBA" w:rsidP="001A5826">
      <w:pPr>
        <w:spacing w:line="360" w:lineRule="auto"/>
        <w:rPr>
          <w:rFonts w:cstheme="minorHAnsi"/>
        </w:rPr>
      </w:pPr>
      <w:r w:rsidRPr="001A5826">
        <w:rPr>
          <w:rFonts w:cstheme="minorHAnsi"/>
          <w:b/>
        </w:rPr>
        <w:lastRenderedPageBreak/>
        <w:t>Table S1.</w:t>
      </w:r>
      <w:r w:rsidR="00A12B95" w:rsidRPr="001A5826">
        <w:rPr>
          <w:rFonts w:cstheme="minorHAnsi"/>
        </w:rPr>
        <w:t xml:space="preserve"> Comparison of the </w:t>
      </w:r>
      <w:r w:rsidR="00A12B95" w:rsidRPr="001A5826">
        <w:rPr>
          <w:rFonts w:cstheme="minorHAnsi"/>
          <w:i/>
        </w:rPr>
        <w:t>in vitro</w:t>
      </w:r>
      <w:r w:rsidR="00A12B95" w:rsidRPr="001A5826">
        <w:rPr>
          <w:rFonts w:cstheme="minorHAnsi"/>
        </w:rPr>
        <w:t xml:space="preserve"> activity of two DHODH inhibitors, olorofim (human fungicide) and ipflufenoquin (agricultural pesticide) against mould species other than </w:t>
      </w:r>
      <w:r w:rsidR="00A12B95" w:rsidRPr="001A5826">
        <w:rPr>
          <w:rFonts w:cstheme="minorHAnsi"/>
          <w:i/>
        </w:rPr>
        <w:t>Aspergillus</w:t>
      </w:r>
      <w:r w:rsidR="00A12B95" w:rsidRPr="001A5826">
        <w:rPr>
          <w:rFonts w:cstheme="minorHAnsi"/>
        </w:rPr>
        <w:t xml:space="preserve"> determined according to the EUCAST </w:t>
      </w:r>
      <w:proofErr w:type="gramStart"/>
      <w:r w:rsidR="00A12B95" w:rsidRPr="001A5826">
        <w:rPr>
          <w:rFonts w:cstheme="minorHAnsi"/>
        </w:rPr>
        <w:t>E.Def</w:t>
      </w:r>
      <w:proofErr w:type="gramEnd"/>
      <w:r w:rsidR="00A12B95" w:rsidRPr="001A5826">
        <w:rPr>
          <w:rFonts w:cstheme="minorHAnsi"/>
        </w:rPr>
        <w:t xml:space="preserve"> 9.4.</w:t>
      </w:r>
    </w:p>
    <w:tbl>
      <w:tblPr>
        <w:tblW w:w="480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6"/>
        <w:gridCol w:w="573"/>
        <w:gridCol w:w="573"/>
        <w:gridCol w:w="573"/>
        <w:gridCol w:w="573"/>
        <w:gridCol w:w="472"/>
        <w:gridCol w:w="472"/>
        <w:gridCol w:w="573"/>
        <w:gridCol w:w="472"/>
        <w:gridCol w:w="371"/>
        <w:gridCol w:w="216"/>
        <w:gridCol w:w="234"/>
        <w:gridCol w:w="329"/>
        <w:gridCol w:w="208"/>
        <w:gridCol w:w="667"/>
        <w:gridCol w:w="472"/>
        <w:gridCol w:w="573"/>
        <w:gridCol w:w="472"/>
        <w:gridCol w:w="371"/>
        <w:gridCol w:w="217"/>
        <w:gridCol w:w="258"/>
        <w:gridCol w:w="258"/>
        <w:gridCol w:w="258"/>
        <w:gridCol w:w="330"/>
        <w:gridCol w:w="333"/>
        <w:gridCol w:w="417"/>
      </w:tblGrid>
      <w:tr w:rsidR="00315A72" w:rsidRPr="001A5826" w14:paraId="5430C799" w14:textId="77777777" w:rsidTr="006D44D3">
        <w:trPr>
          <w:trHeight w:val="276"/>
        </w:trPr>
        <w:tc>
          <w:tcPr>
            <w:tcW w:w="102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541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Inhibition endpoint</w:t>
            </w:r>
          </w:p>
          <w:p w14:paraId="5A5DC416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criteria and species (</w:t>
            </w:r>
            <w:r w:rsidRPr="001A582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</w:t>
            </w: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) </w:t>
            </w:r>
          </w:p>
        </w:tc>
        <w:tc>
          <w:tcPr>
            <w:tcW w:w="21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5AE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Olorofim MIC (mg/L)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03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209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Ipflufenoquin MIC (mg/L)</w:t>
            </w:r>
          </w:p>
        </w:tc>
      </w:tr>
      <w:tr w:rsidR="006D44D3" w:rsidRPr="001A5826" w14:paraId="1E96028C" w14:textId="77777777" w:rsidTr="006D44D3">
        <w:trPr>
          <w:trHeight w:val="276"/>
        </w:trPr>
        <w:tc>
          <w:tcPr>
            <w:tcW w:w="10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1FE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F3A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342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1BF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0F1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9FE8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5F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203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0.125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8E4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92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1BD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870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A15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&gt;4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F186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A99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≤0.03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E9F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4F9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0.125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44A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695D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CE9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92F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55C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FF7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9DA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ABB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A2B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&gt;32</w:t>
            </w:r>
          </w:p>
        </w:tc>
      </w:tr>
      <w:tr w:rsidR="00315A72" w:rsidRPr="001A5826" w14:paraId="2B620DBE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8B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Spec. 50% inhibition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C4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07E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62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5A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35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0C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9F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FA7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01F7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AF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CE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42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216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D3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8E7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68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70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C5B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16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97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836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6D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BAE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14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353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08086BCE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39E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Rasamsonia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argillacea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D2F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66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A89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E8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7CE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F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BF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4C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3B1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47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AB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D82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ADA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71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FF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D0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FC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782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20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083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3F9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1EE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3B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74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962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118C7AEA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745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Rasamsonia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aegroticola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AD1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7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F6F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459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969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845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A54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ED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210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1DD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136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118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9AA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38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49C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0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E8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28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D9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53A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D99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C72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DD0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4B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7287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17BC36C2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CA0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Fusarium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proliferatum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A1E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B4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3CA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8A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3E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5AF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0D6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65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48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91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CD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6EE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89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F5D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89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61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DD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5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6AB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C4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F84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C6E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46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F2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D2F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7B5D0637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C6C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Scedosporium</w:t>
            </w:r>
            <w:proofErr w:type="spellEnd"/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## (4)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AB4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91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364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259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65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DC8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00E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AFC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185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00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53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BE3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E5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DF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29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30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2D8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A0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5C9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EE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87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68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71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7E4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AC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42F543E4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73D3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Paecilomyces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variotii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BA2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17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F1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A9E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205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9B7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49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B25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4DC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44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27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B4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B2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6E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B1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A6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BC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9A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F63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1DB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892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DB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F1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4F1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1C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6987F43B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64E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Purpureocillium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lilacinum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E6E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819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AB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8B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830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8E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16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9C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60A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EC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EC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2D2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4E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3D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6B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ED0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97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470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B9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E2C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D25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2F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A3C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B51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F9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44AFFD1B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AD2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Fusarium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solani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E687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CAB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50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80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B4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25D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277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3A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29C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3F9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9F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C3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B90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04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81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EAE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9DF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F47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A7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5A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3D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87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D5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B5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25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54EC5C1C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C50F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Rhizopus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microspor</w:t>
            </w:r>
            <w:r w:rsidR="0004243E"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u</w:t>
            </w: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9889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1693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DAE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1EF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B8B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E28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74EC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4BE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828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7C4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DF76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001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430E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474D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558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39E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BB5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0A0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112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DDD4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DE4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379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16D2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427F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D3B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15A72" w:rsidRPr="001A5826" w14:paraId="06E5447D" w14:textId="77777777" w:rsidTr="006D44D3">
        <w:trPr>
          <w:trHeight w:val="276"/>
        </w:trPr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6F1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Visual complete inhibition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C27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53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A38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13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9E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E2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0C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47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97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73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83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D94F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786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76F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55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3D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0C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12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D7B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22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199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1D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367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7A6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06F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7DC69A81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1CC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Rasamsonia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argillacea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668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D85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A6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897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78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F2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2B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DEF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81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432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7D4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9AAF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0FC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35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40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62B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90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B4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4D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7C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1F3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65B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EF4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44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03F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7D44FACF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3229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Rasamsonia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aegroticola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CEF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EB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E5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2A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0D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DD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B4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C8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7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931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EC4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44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9D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61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7B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90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1DD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5E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8D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65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F0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DB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4A2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D6A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093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4FB6240C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F1E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Fusarium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proliferatum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EEB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23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0148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E24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D5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F4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C9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59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47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89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78BA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B4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00F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F793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6ED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D69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5D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DDF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DB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11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CB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91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DE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66D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888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7E3A716B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B40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Scedosporium</w:t>
            </w:r>
            <w:proofErr w:type="spellEnd"/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## (4)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4664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062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197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EA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2A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FD2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5E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66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C0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712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A202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1373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BC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482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99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FCE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D8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D8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084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EF9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BB6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3C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D0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44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AB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182F8766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1121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Paecilomyces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variotii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12F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BE2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E7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C30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F02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58D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53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1CA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926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3BB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1F2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FA2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875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FFDC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652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496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7B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B13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5A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212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3D5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5B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B30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C6D2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630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15A72" w:rsidRPr="001A5826" w14:paraId="3F77CC54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04D5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Purpureocillium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lilacinum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42BB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AB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19B4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73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5B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DB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F82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08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AD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0F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AB8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9BF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2A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9E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414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54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F6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D4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6D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0A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8D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D6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1A8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01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F3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5BC9660D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7D1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Fusarium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solani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CF2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38AB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046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A35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62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C2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620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8E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C6C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4E6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399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87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BCC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9B5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F84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9C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B6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A38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5C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39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584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A2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6EB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72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37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315A72" w:rsidRPr="001A5826" w14:paraId="35F54E36" w14:textId="77777777" w:rsidTr="006D44D3">
        <w:trPr>
          <w:trHeight w:val="276"/>
        </w:trPr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CF589" w14:textId="77777777" w:rsidR="00315A72" w:rsidRPr="001A5826" w:rsidRDefault="00315A72" w:rsidP="001A5826">
            <w:pPr>
              <w:spacing w:after="0" w:line="360" w:lineRule="auto"/>
              <w:ind w:firstLineChars="100" w:firstLine="20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Rhizopus </w:t>
            </w:r>
            <w:proofErr w:type="spellStart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microspor</w:t>
            </w:r>
            <w:r w:rsidR="0004243E"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u</w:t>
            </w:r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>s</w:t>
            </w:r>
            <w:proofErr w:type="spellEnd"/>
            <w:r w:rsidRPr="001A582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(2)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4696E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6093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C96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9691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EED9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E13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A69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97A8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14D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A1D2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AD7D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50BA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D1E0" w14:textId="77777777" w:rsidR="00315A72" w:rsidRPr="001A5826" w:rsidRDefault="00315A72" w:rsidP="001A5826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643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F2F7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999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50D1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0FA3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D4F5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6E7B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365C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1A74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7C00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FE1E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9C7D" w14:textId="77777777" w:rsidR="00315A72" w:rsidRPr="001A5826" w:rsidRDefault="00315A72" w:rsidP="001A582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5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1EC64F8D" w14:textId="77777777" w:rsidR="006D44D3" w:rsidRPr="001A5826" w:rsidRDefault="006D44D3" w:rsidP="001A5826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1A5826">
        <w:rPr>
          <w:rFonts w:eastAsia="Times New Roman" w:cstheme="minorHAnsi"/>
          <w:color w:val="000000"/>
          <w:lang w:eastAsia="en-GB"/>
        </w:rPr>
        <w:t xml:space="preserve">## Two </w:t>
      </w:r>
      <w:r w:rsidRPr="001A5826">
        <w:rPr>
          <w:rFonts w:eastAsia="Times New Roman" w:cstheme="minorHAnsi"/>
          <w:i/>
          <w:color w:val="000000"/>
          <w:lang w:eastAsia="en-GB"/>
        </w:rPr>
        <w:t>S. boydii</w:t>
      </w:r>
      <w:r w:rsidRPr="001A5826">
        <w:rPr>
          <w:rFonts w:eastAsia="Times New Roman" w:cstheme="minorHAnsi"/>
          <w:color w:val="000000"/>
          <w:lang w:eastAsia="en-GB"/>
        </w:rPr>
        <w:t xml:space="preserve"> and two</w:t>
      </w:r>
      <w:r w:rsidRPr="001A5826">
        <w:rPr>
          <w:rFonts w:eastAsia="Times New Roman" w:cstheme="minorHAnsi"/>
          <w:i/>
          <w:color w:val="000000"/>
          <w:lang w:eastAsia="en-GB"/>
        </w:rPr>
        <w:t xml:space="preserve"> S. </w:t>
      </w:r>
      <w:proofErr w:type="spellStart"/>
      <w:r w:rsidRPr="001A5826">
        <w:rPr>
          <w:rFonts w:eastAsia="Times New Roman" w:cstheme="minorHAnsi"/>
          <w:i/>
          <w:color w:val="000000"/>
          <w:lang w:eastAsia="en-GB"/>
        </w:rPr>
        <w:t>apiospermum</w:t>
      </w:r>
      <w:proofErr w:type="spellEnd"/>
    </w:p>
    <w:p w14:paraId="38E69736" w14:textId="77777777" w:rsidR="0081467B" w:rsidRPr="007E2BBA" w:rsidRDefault="0081467B" w:rsidP="0081467B">
      <w:pPr>
        <w:rPr>
          <w:b/>
        </w:rPr>
      </w:pPr>
    </w:p>
    <w:sectPr w:rsidR="0081467B" w:rsidRPr="007E2BBA" w:rsidSect="00E260CD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D"/>
    <w:rsid w:val="0004243E"/>
    <w:rsid w:val="000533D0"/>
    <w:rsid w:val="000918C1"/>
    <w:rsid w:val="000B06E3"/>
    <w:rsid w:val="000C2309"/>
    <w:rsid w:val="000D19C0"/>
    <w:rsid w:val="0013485D"/>
    <w:rsid w:val="001428D3"/>
    <w:rsid w:val="00172C60"/>
    <w:rsid w:val="001A5826"/>
    <w:rsid w:val="001C3EE7"/>
    <w:rsid w:val="001E24E9"/>
    <w:rsid w:val="001E73B0"/>
    <w:rsid w:val="001F60F6"/>
    <w:rsid w:val="00214C53"/>
    <w:rsid w:val="002546AB"/>
    <w:rsid w:val="002C732F"/>
    <w:rsid w:val="002F377A"/>
    <w:rsid w:val="00300CC4"/>
    <w:rsid w:val="00315A72"/>
    <w:rsid w:val="003730ED"/>
    <w:rsid w:val="00387C6D"/>
    <w:rsid w:val="003B6115"/>
    <w:rsid w:val="003E720F"/>
    <w:rsid w:val="00400232"/>
    <w:rsid w:val="00446160"/>
    <w:rsid w:val="004A18C2"/>
    <w:rsid w:val="004B6AEA"/>
    <w:rsid w:val="004E4D4F"/>
    <w:rsid w:val="0052722C"/>
    <w:rsid w:val="00535CF3"/>
    <w:rsid w:val="005426ED"/>
    <w:rsid w:val="005441A2"/>
    <w:rsid w:val="00545C7C"/>
    <w:rsid w:val="00567B46"/>
    <w:rsid w:val="0057021D"/>
    <w:rsid w:val="00572980"/>
    <w:rsid w:val="0058229D"/>
    <w:rsid w:val="005C26B6"/>
    <w:rsid w:val="006369F5"/>
    <w:rsid w:val="006A29CB"/>
    <w:rsid w:val="006A64B2"/>
    <w:rsid w:val="006C1156"/>
    <w:rsid w:val="006C51D4"/>
    <w:rsid w:val="006D44D3"/>
    <w:rsid w:val="006E2ECD"/>
    <w:rsid w:val="00721EC9"/>
    <w:rsid w:val="00726055"/>
    <w:rsid w:val="00741CDE"/>
    <w:rsid w:val="007468CE"/>
    <w:rsid w:val="00765173"/>
    <w:rsid w:val="00775796"/>
    <w:rsid w:val="00790F54"/>
    <w:rsid w:val="007942FC"/>
    <w:rsid w:val="00795168"/>
    <w:rsid w:val="007A3300"/>
    <w:rsid w:val="007A7535"/>
    <w:rsid w:val="007B1639"/>
    <w:rsid w:val="007C18D6"/>
    <w:rsid w:val="007E2BBA"/>
    <w:rsid w:val="007F03BA"/>
    <w:rsid w:val="007F679B"/>
    <w:rsid w:val="0081467B"/>
    <w:rsid w:val="008203E3"/>
    <w:rsid w:val="008B0F42"/>
    <w:rsid w:val="008C5D4E"/>
    <w:rsid w:val="00915B51"/>
    <w:rsid w:val="0096114C"/>
    <w:rsid w:val="009749AC"/>
    <w:rsid w:val="009A621B"/>
    <w:rsid w:val="009B3417"/>
    <w:rsid w:val="00A12B95"/>
    <w:rsid w:val="00A14505"/>
    <w:rsid w:val="00A3002C"/>
    <w:rsid w:val="00A3207E"/>
    <w:rsid w:val="00A90096"/>
    <w:rsid w:val="00AB7331"/>
    <w:rsid w:val="00B31EE6"/>
    <w:rsid w:val="00B5134F"/>
    <w:rsid w:val="00B83357"/>
    <w:rsid w:val="00B973DE"/>
    <w:rsid w:val="00BA14AE"/>
    <w:rsid w:val="00BD1F63"/>
    <w:rsid w:val="00C0378B"/>
    <w:rsid w:val="00C2483B"/>
    <w:rsid w:val="00C31E07"/>
    <w:rsid w:val="00C352E7"/>
    <w:rsid w:val="00C443D7"/>
    <w:rsid w:val="00C60081"/>
    <w:rsid w:val="00C60B32"/>
    <w:rsid w:val="00C633AC"/>
    <w:rsid w:val="00C72201"/>
    <w:rsid w:val="00C75DBD"/>
    <w:rsid w:val="00CD7EF8"/>
    <w:rsid w:val="00D01BA9"/>
    <w:rsid w:val="00D02069"/>
    <w:rsid w:val="00D20D09"/>
    <w:rsid w:val="00D338D8"/>
    <w:rsid w:val="00D340B2"/>
    <w:rsid w:val="00D50B7E"/>
    <w:rsid w:val="00D554CE"/>
    <w:rsid w:val="00D6010E"/>
    <w:rsid w:val="00D632AD"/>
    <w:rsid w:val="00D901E3"/>
    <w:rsid w:val="00DA2C79"/>
    <w:rsid w:val="00DB0D4F"/>
    <w:rsid w:val="00DC2AA0"/>
    <w:rsid w:val="00DE2573"/>
    <w:rsid w:val="00DE4D11"/>
    <w:rsid w:val="00DE5F8B"/>
    <w:rsid w:val="00DF637A"/>
    <w:rsid w:val="00E14BBD"/>
    <w:rsid w:val="00E24EA2"/>
    <w:rsid w:val="00E260CD"/>
    <w:rsid w:val="00E6317B"/>
    <w:rsid w:val="00E83F0D"/>
    <w:rsid w:val="00EC5DEA"/>
    <w:rsid w:val="00ED2FE0"/>
    <w:rsid w:val="00ED2FE2"/>
    <w:rsid w:val="00ED5195"/>
    <w:rsid w:val="00F02F72"/>
    <w:rsid w:val="00F14C91"/>
    <w:rsid w:val="00F16FAF"/>
    <w:rsid w:val="00F324F8"/>
    <w:rsid w:val="00F8562E"/>
    <w:rsid w:val="00FA527D"/>
    <w:rsid w:val="00FC6095"/>
    <w:rsid w:val="00FD01A8"/>
    <w:rsid w:val="00FD3999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06DA"/>
  <w15:chartTrackingRefBased/>
  <w15:docId w15:val="{6842301F-E77F-4E54-8C14-A9CBE270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7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Cavling Arendrup</dc:creator>
  <cp:keywords/>
  <dc:description/>
  <cp:lastModifiedBy>Gold, Jeremy (CDC/NCEZID/DFWED/MDB)</cp:lastModifiedBy>
  <cp:revision>2</cp:revision>
  <dcterms:created xsi:type="dcterms:W3CDTF">2023-11-27T21:23:00Z</dcterms:created>
  <dcterms:modified xsi:type="dcterms:W3CDTF">2023-11-27T21:23:00Z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2023-11-27T21:23:44Z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51991d20-a75e-44c5-aa1f-b1eb2e3efe5d</vt:lpwstr>
  </property>
  <property fmtid="{D5CDD505-2E9C-101B-9397-08002B2CF9AE}" pid="8" name="MSIP_Label_7b94a7b8-f06c-4dfe-bdcc-9b548fd58c31_ContentBits">
    <vt:lpwstr>0</vt:lpwstr>
  </property>
</Properties>
</file>