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topFromText="6912" w:horzAnchor="margin" w:tblpXSpec="center" w:tblpYSpec="center"/>
        <w:tblOverlap w:val="never"/>
        <w:tblW w:w="541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305"/>
        <w:gridCol w:w="901"/>
        <w:gridCol w:w="3961"/>
        <w:gridCol w:w="1620"/>
        <w:gridCol w:w="2248"/>
      </w:tblGrid>
      <w:tr w:rsidR="008F7B90" w:rsidRPr="006721CC" w14:paraId="2131FEB7" w14:textId="77777777" w:rsidTr="009A413D">
        <w:trPr>
          <w:trHeight w:val="440"/>
        </w:trPr>
        <w:tc>
          <w:tcPr>
            <w:tcW w:w="5000" w:type="pct"/>
            <w:gridSpan w:val="5"/>
            <w:shd w:val="clear" w:color="auto" w:fill="000000" w:themeFill="text1"/>
            <w:vAlign w:val="center"/>
          </w:tcPr>
          <w:p w14:paraId="2590058F" w14:textId="26058AAD" w:rsidR="008F7B90" w:rsidRPr="008F7B90" w:rsidRDefault="008F7B90" w:rsidP="008F7B90">
            <w:pPr>
              <w:rPr>
                <w:rFonts w:ascii="Arial" w:hAnsi="Arial" w:cs="Arial"/>
                <w:b/>
                <w:bCs/>
                <w:color w:val="0563C1"/>
                <w:sz w:val="28"/>
                <w:szCs w:val="28"/>
              </w:rPr>
            </w:pPr>
            <w:r w:rsidRPr="009A413D">
              <w:rPr>
                <w:rFonts w:ascii="Arial" w:hAnsi="Arial" w:cs="Arial"/>
                <w:b/>
                <w:bCs/>
                <w:color w:val="FFFFFF" w:themeColor="background1"/>
                <w:sz w:val="28"/>
                <w:szCs w:val="28"/>
              </w:rPr>
              <w:t xml:space="preserve">Supplemental Table 2: Embase </w:t>
            </w:r>
            <w:r w:rsidR="00A762E2">
              <w:rPr>
                <w:rFonts w:ascii="Arial" w:hAnsi="Arial" w:cs="Arial"/>
                <w:b/>
                <w:bCs/>
                <w:color w:val="FFFFFF" w:themeColor="background1"/>
                <w:sz w:val="28"/>
                <w:szCs w:val="28"/>
              </w:rPr>
              <w:t>Identified Manuscripts</w:t>
            </w:r>
            <w:r w:rsidR="00E46157">
              <w:rPr>
                <w:rFonts w:ascii="Arial" w:hAnsi="Arial" w:cs="Arial"/>
                <w:b/>
                <w:bCs/>
                <w:color w:val="FFFFFF" w:themeColor="background1"/>
                <w:sz w:val="28"/>
                <w:szCs w:val="28"/>
              </w:rPr>
              <w:t xml:space="preserve"> (N= </w:t>
            </w:r>
            <w:r w:rsidR="00945FDC">
              <w:rPr>
                <w:rFonts w:ascii="Arial" w:hAnsi="Arial" w:cs="Arial"/>
                <w:b/>
                <w:bCs/>
                <w:color w:val="FFFFFF" w:themeColor="background1"/>
                <w:sz w:val="28"/>
                <w:szCs w:val="28"/>
              </w:rPr>
              <w:t>1</w:t>
            </w:r>
            <w:r w:rsidR="007D3CF2">
              <w:rPr>
                <w:rFonts w:ascii="Arial" w:hAnsi="Arial" w:cs="Arial"/>
                <w:b/>
                <w:bCs/>
                <w:color w:val="FFFFFF" w:themeColor="background1"/>
                <w:sz w:val="28"/>
                <w:szCs w:val="28"/>
              </w:rPr>
              <w:t>49</w:t>
            </w:r>
            <w:r w:rsidR="00E46157">
              <w:rPr>
                <w:rFonts w:ascii="Arial" w:hAnsi="Arial" w:cs="Arial"/>
                <w:b/>
                <w:bCs/>
                <w:color w:val="FFFFFF" w:themeColor="background1"/>
                <w:sz w:val="28"/>
                <w:szCs w:val="28"/>
              </w:rPr>
              <w:t>)</w:t>
            </w:r>
          </w:p>
        </w:tc>
      </w:tr>
      <w:tr w:rsidR="008F7B90" w:rsidRPr="006721CC" w14:paraId="6C2ED28F" w14:textId="77777777" w:rsidTr="00756179">
        <w:trPr>
          <w:trHeight w:val="20"/>
        </w:trPr>
        <w:tc>
          <w:tcPr>
            <w:tcW w:w="1890" w:type="pct"/>
            <w:shd w:val="clear" w:color="auto" w:fill="B4C6E7" w:themeFill="accent1" w:themeFillTint="66"/>
            <w:vAlign w:val="center"/>
            <w:hideMark/>
          </w:tcPr>
          <w:p w14:paraId="224614F9" w14:textId="5CAC3EA7" w:rsidR="008F7B90" w:rsidRPr="009A413D" w:rsidRDefault="008F7B90" w:rsidP="00F94781">
            <w:pPr>
              <w:jc w:val="center"/>
              <w:rPr>
                <w:rFonts w:ascii="Arial" w:hAnsi="Arial" w:cs="Arial"/>
                <w:b/>
                <w:bCs/>
                <w:color w:val="000000"/>
              </w:rPr>
            </w:pPr>
            <w:r w:rsidRPr="009A413D">
              <w:rPr>
                <w:rFonts w:ascii="Arial" w:hAnsi="Arial" w:cs="Arial"/>
                <w:b/>
                <w:bCs/>
                <w:color w:val="000000"/>
              </w:rPr>
              <w:t>TITLE</w:t>
            </w:r>
          </w:p>
        </w:tc>
        <w:tc>
          <w:tcPr>
            <w:tcW w:w="321" w:type="pct"/>
            <w:shd w:val="clear" w:color="auto" w:fill="B4C6E7" w:themeFill="accent1" w:themeFillTint="66"/>
            <w:vAlign w:val="center"/>
            <w:hideMark/>
          </w:tcPr>
          <w:p w14:paraId="759F5D6F" w14:textId="77777777" w:rsidR="008F7B90" w:rsidRPr="009A413D" w:rsidRDefault="008F7B90" w:rsidP="00F94781">
            <w:pPr>
              <w:jc w:val="center"/>
              <w:rPr>
                <w:rFonts w:ascii="Arial" w:hAnsi="Arial" w:cs="Arial"/>
                <w:b/>
                <w:bCs/>
                <w:color w:val="000000"/>
              </w:rPr>
            </w:pPr>
            <w:r w:rsidRPr="009A413D">
              <w:rPr>
                <w:rFonts w:ascii="Arial" w:hAnsi="Arial" w:cs="Arial"/>
                <w:b/>
                <w:bCs/>
                <w:color w:val="000000"/>
              </w:rPr>
              <w:t>YEAR</w:t>
            </w:r>
          </w:p>
        </w:tc>
        <w:tc>
          <w:tcPr>
            <w:tcW w:w="1411" w:type="pct"/>
            <w:shd w:val="clear" w:color="auto" w:fill="B4C6E7" w:themeFill="accent1" w:themeFillTint="66"/>
            <w:vAlign w:val="center"/>
            <w:hideMark/>
          </w:tcPr>
          <w:p w14:paraId="7DD06860" w14:textId="77777777" w:rsidR="008F7B90" w:rsidRPr="009A413D" w:rsidRDefault="008F7B90" w:rsidP="00F94781">
            <w:pPr>
              <w:jc w:val="center"/>
              <w:rPr>
                <w:rFonts w:ascii="Arial" w:hAnsi="Arial" w:cs="Arial"/>
                <w:b/>
                <w:bCs/>
                <w:color w:val="000000"/>
              </w:rPr>
            </w:pPr>
            <w:r w:rsidRPr="009A413D">
              <w:rPr>
                <w:rFonts w:ascii="Arial" w:hAnsi="Arial" w:cs="Arial"/>
                <w:b/>
                <w:bCs/>
                <w:color w:val="000000"/>
              </w:rPr>
              <w:t>AUTHOR</w:t>
            </w:r>
          </w:p>
        </w:tc>
        <w:tc>
          <w:tcPr>
            <w:tcW w:w="577" w:type="pct"/>
            <w:shd w:val="clear" w:color="auto" w:fill="B4C6E7" w:themeFill="accent1" w:themeFillTint="66"/>
            <w:vAlign w:val="center"/>
            <w:hideMark/>
          </w:tcPr>
          <w:p w14:paraId="3F413139" w14:textId="77777777" w:rsidR="008F7B90" w:rsidRPr="009A413D" w:rsidRDefault="008F7B90" w:rsidP="00F94781">
            <w:pPr>
              <w:jc w:val="center"/>
              <w:rPr>
                <w:rFonts w:ascii="Arial" w:hAnsi="Arial" w:cs="Arial"/>
                <w:b/>
                <w:bCs/>
                <w:color w:val="000000"/>
              </w:rPr>
            </w:pPr>
            <w:r w:rsidRPr="009A413D">
              <w:rPr>
                <w:rFonts w:ascii="Arial" w:hAnsi="Arial" w:cs="Arial"/>
                <w:b/>
                <w:bCs/>
                <w:color w:val="000000"/>
              </w:rPr>
              <w:t>JOURNAL</w:t>
            </w:r>
          </w:p>
        </w:tc>
        <w:tc>
          <w:tcPr>
            <w:tcW w:w="801" w:type="pct"/>
            <w:shd w:val="clear" w:color="auto" w:fill="B4C6E7" w:themeFill="accent1" w:themeFillTint="66"/>
            <w:vAlign w:val="center"/>
            <w:hideMark/>
          </w:tcPr>
          <w:p w14:paraId="430A2568" w14:textId="77777777" w:rsidR="008F7B90" w:rsidRPr="009A413D" w:rsidRDefault="008F7B90" w:rsidP="00F94781">
            <w:pPr>
              <w:jc w:val="center"/>
              <w:rPr>
                <w:rFonts w:ascii="Arial" w:hAnsi="Arial" w:cs="Arial"/>
                <w:b/>
                <w:bCs/>
                <w:color w:val="0563C1"/>
              </w:rPr>
            </w:pPr>
            <w:r w:rsidRPr="009A413D">
              <w:rPr>
                <w:rFonts w:ascii="Arial" w:hAnsi="Arial" w:cs="Arial"/>
                <w:b/>
                <w:bCs/>
                <w:color w:val="000000" w:themeColor="text1"/>
              </w:rPr>
              <w:t>DOI</w:t>
            </w:r>
          </w:p>
        </w:tc>
      </w:tr>
      <w:tr w:rsidR="008F7B90" w:rsidRPr="006721CC" w14:paraId="577D617F" w14:textId="77777777" w:rsidTr="00756179">
        <w:trPr>
          <w:trHeight w:val="20"/>
        </w:trPr>
        <w:tc>
          <w:tcPr>
            <w:tcW w:w="1890" w:type="pct"/>
            <w:shd w:val="clear" w:color="auto" w:fill="auto"/>
            <w:vAlign w:val="center"/>
            <w:hideMark/>
          </w:tcPr>
          <w:p w14:paraId="5B50AC16" w14:textId="3412ACD7" w:rsidR="008F7B90" w:rsidRPr="008F7B90" w:rsidRDefault="008F7B90" w:rsidP="00F94781">
            <w:pPr>
              <w:jc w:val="center"/>
              <w:rPr>
                <w:rFonts w:ascii="Arial" w:hAnsi="Arial" w:cs="Arial"/>
                <w:color w:val="000000"/>
                <w:sz w:val="16"/>
                <w:szCs w:val="16"/>
              </w:rPr>
            </w:pPr>
            <w:bookmarkStart w:id="0" w:name="RANGE!A5:G154"/>
            <w:r w:rsidRPr="008F7B90">
              <w:rPr>
                <w:rFonts w:ascii="Arial" w:hAnsi="Arial" w:cs="Arial"/>
                <w:color w:val="000000"/>
                <w:sz w:val="16"/>
                <w:szCs w:val="16"/>
              </w:rPr>
              <w:t>Immunohistochemical analysis of Ki-67, p53 and Bcl-2 expression related to histological features in gastroesophageal reflux disease</w:t>
            </w:r>
            <w:bookmarkEnd w:id="0"/>
          </w:p>
        </w:tc>
        <w:tc>
          <w:tcPr>
            <w:tcW w:w="321" w:type="pct"/>
            <w:shd w:val="clear" w:color="auto" w:fill="auto"/>
            <w:vAlign w:val="center"/>
            <w:hideMark/>
          </w:tcPr>
          <w:p w14:paraId="40E6B6D0"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2010</w:t>
            </w:r>
          </w:p>
        </w:tc>
        <w:tc>
          <w:tcPr>
            <w:tcW w:w="1411" w:type="pct"/>
            <w:shd w:val="clear" w:color="auto" w:fill="auto"/>
            <w:vAlign w:val="center"/>
            <w:hideMark/>
          </w:tcPr>
          <w:p w14:paraId="6E0015D6"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Ayhan, S., Ak Nalbant, O., Isisag, A., Turkel Kucukmetin, N. and Temiz, P.</w:t>
            </w:r>
          </w:p>
        </w:tc>
        <w:tc>
          <w:tcPr>
            <w:tcW w:w="577" w:type="pct"/>
            <w:shd w:val="clear" w:color="auto" w:fill="auto"/>
            <w:vAlign w:val="center"/>
            <w:hideMark/>
          </w:tcPr>
          <w:p w14:paraId="1452AF80"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Turkish Journal of Gastroenterology</w:t>
            </w:r>
          </w:p>
        </w:tc>
        <w:tc>
          <w:tcPr>
            <w:tcW w:w="801" w:type="pct"/>
            <w:shd w:val="clear" w:color="auto" w:fill="auto"/>
            <w:vAlign w:val="center"/>
            <w:hideMark/>
          </w:tcPr>
          <w:p w14:paraId="4323859C"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http://dx.doi.org/10.4318/tjg.2010.0088</w:t>
            </w:r>
          </w:p>
        </w:tc>
      </w:tr>
      <w:tr w:rsidR="008F7B90" w:rsidRPr="006721CC" w14:paraId="3C91351E" w14:textId="77777777" w:rsidTr="00756179">
        <w:trPr>
          <w:trHeight w:val="20"/>
        </w:trPr>
        <w:tc>
          <w:tcPr>
            <w:tcW w:w="1890" w:type="pct"/>
            <w:shd w:val="clear" w:color="auto" w:fill="auto"/>
            <w:vAlign w:val="center"/>
            <w:hideMark/>
          </w:tcPr>
          <w:p w14:paraId="001228B8" w14:textId="55B4A3B2"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Foveolar type dysplasia in Barrett esophagus</w:t>
            </w:r>
          </w:p>
        </w:tc>
        <w:tc>
          <w:tcPr>
            <w:tcW w:w="321" w:type="pct"/>
            <w:shd w:val="clear" w:color="auto" w:fill="auto"/>
            <w:vAlign w:val="center"/>
            <w:hideMark/>
          </w:tcPr>
          <w:p w14:paraId="53B0DDAE"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2010</w:t>
            </w:r>
          </w:p>
        </w:tc>
        <w:tc>
          <w:tcPr>
            <w:tcW w:w="1411" w:type="pct"/>
            <w:shd w:val="clear" w:color="auto" w:fill="auto"/>
            <w:vAlign w:val="center"/>
            <w:hideMark/>
          </w:tcPr>
          <w:p w14:paraId="433536F3"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Brown, I. S., Whiteman, D. C. and Lauwers, G. Y.</w:t>
            </w:r>
          </w:p>
        </w:tc>
        <w:tc>
          <w:tcPr>
            <w:tcW w:w="577" w:type="pct"/>
            <w:shd w:val="clear" w:color="auto" w:fill="auto"/>
            <w:vAlign w:val="center"/>
            <w:hideMark/>
          </w:tcPr>
          <w:p w14:paraId="6B89EE7A"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Modern Pathology</w:t>
            </w:r>
          </w:p>
        </w:tc>
        <w:tc>
          <w:tcPr>
            <w:tcW w:w="801" w:type="pct"/>
            <w:shd w:val="clear" w:color="auto" w:fill="auto"/>
            <w:vAlign w:val="center"/>
            <w:hideMark/>
          </w:tcPr>
          <w:p w14:paraId="258EB53C"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http://dx.doi.org/10.1038/modpathol.2010.59</w:t>
            </w:r>
          </w:p>
        </w:tc>
      </w:tr>
      <w:tr w:rsidR="008F7B90" w:rsidRPr="006721CC" w14:paraId="531EC6FB" w14:textId="77777777" w:rsidTr="00756179">
        <w:trPr>
          <w:trHeight w:val="20"/>
        </w:trPr>
        <w:tc>
          <w:tcPr>
            <w:tcW w:w="1890" w:type="pct"/>
            <w:shd w:val="clear" w:color="auto" w:fill="auto"/>
            <w:vAlign w:val="center"/>
            <w:hideMark/>
          </w:tcPr>
          <w:p w14:paraId="29AF8249" w14:textId="1D4DEFB9"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Oil red O stain of alveolar macrophages is an effective screening test for gastroesophageal reflux disease in lung transplant recipients</w:t>
            </w:r>
          </w:p>
        </w:tc>
        <w:tc>
          <w:tcPr>
            <w:tcW w:w="321" w:type="pct"/>
            <w:shd w:val="clear" w:color="auto" w:fill="auto"/>
            <w:vAlign w:val="center"/>
            <w:hideMark/>
          </w:tcPr>
          <w:p w14:paraId="4D2601CF"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2010</w:t>
            </w:r>
          </w:p>
        </w:tc>
        <w:tc>
          <w:tcPr>
            <w:tcW w:w="1411" w:type="pct"/>
            <w:shd w:val="clear" w:color="auto" w:fill="auto"/>
            <w:vAlign w:val="center"/>
            <w:hideMark/>
          </w:tcPr>
          <w:p w14:paraId="4620537E"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Hopkins, P. M., Kermeen, F., Duhig, E., Fletcher, L., Gradwell, J., Whitfield, L., Godinez, C., Musk, M., Chambers, D., Gotley, D. and Mcneil, K.</w:t>
            </w:r>
          </w:p>
        </w:tc>
        <w:tc>
          <w:tcPr>
            <w:tcW w:w="577" w:type="pct"/>
            <w:shd w:val="clear" w:color="auto" w:fill="auto"/>
            <w:vAlign w:val="center"/>
            <w:hideMark/>
          </w:tcPr>
          <w:p w14:paraId="612FD4D3"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Journal of Heart and Lung Transplantation</w:t>
            </w:r>
          </w:p>
        </w:tc>
        <w:tc>
          <w:tcPr>
            <w:tcW w:w="801" w:type="pct"/>
            <w:shd w:val="clear" w:color="auto" w:fill="auto"/>
            <w:vAlign w:val="center"/>
            <w:hideMark/>
          </w:tcPr>
          <w:p w14:paraId="03048A82"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http://dx.doi.org/10.1016/j.healun.2010.03.015</w:t>
            </w:r>
          </w:p>
        </w:tc>
      </w:tr>
      <w:tr w:rsidR="008F7B90" w:rsidRPr="006721CC" w14:paraId="4D7305D3" w14:textId="77777777" w:rsidTr="00756179">
        <w:trPr>
          <w:trHeight w:val="20"/>
        </w:trPr>
        <w:tc>
          <w:tcPr>
            <w:tcW w:w="1890" w:type="pct"/>
            <w:shd w:val="clear" w:color="auto" w:fill="auto"/>
            <w:vAlign w:val="center"/>
            <w:hideMark/>
          </w:tcPr>
          <w:p w14:paraId="5EC46DDD" w14:textId="58BDC900"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Halimeter ppb levels as the predictor of erosive gastroesophageal reflux disease</w:t>
            </w:r>
          </w:p>
        </w:tc>
        <w:tc>
          <w:tcPr>
            <w:tcW w:w="321" w:type="pct"/>
            <w:shd w:val="clear" w:color="auto" w:fill="auto"/>
            <w:vAlign w:val="center"/>
            <w:hideMark/>
          </w:tcPr>
          <w:p w14:paraId="30B79998"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2010</w:t>
            </w:r>
          </w:p>
        </w:tc>
        <w:tc>
          <w:tcPr>
            <w:tcW w:w="1411" w:type="pct"/>
            <w:shd w:val="clear" w:color="auto" w:fill="auto"/>
            <w:vAlign w:val="center"/>
            <w:hideMark/>
          </w:tcPr>
          <w:p w14:paraId="0E8C1BB0"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Kim, J. G., Kim, Y. J., Yoo, S. H., Lee, S. J., Chung, J. W., Kim, M. H., Park, D. K. and Hahm, K. B.</w:t>
            </w:r>
          </w:p>
        </w:tc>
        <w:tc>
          <w:tcPr>
            <w:tcW w:w="577" w:type="pct"/>
            <w:shd w:val="clear" w:color="auto" w:fill="auto"/>
            <w:vAlign w:val="center"/>
            <w:hideMark/>
          </w:tcPr>
          <w:p w14:paraId="300EDCA5"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Gut and Liver</w:t>
            </w:r>
          </w:p>
        </w:tc>
        <w:tc>
          <w:tcPr>
            <w:tcW w:w="801" w:type="pct"/>
            <w:shd w:val="clear" w:color="auto" w:fill="auto"/>
            <w:vAlign w:val="center"/>
            <w:hideMark/>
          </w:tcPr>
          <w:p w14:paraId="45337823"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http://dx.doi.org/10.5009/gnl.2010.4.3.320</w:t>
            </w:r>
          </w:p>
        </w:tc>
      </w:tr>
      <w:tr w:rsidR="008F7B90" w:rsidRPr="006721CC" w14:paraId="279980A2" w14:textId="77777777" w:rsidTr="00756179">
        <w:trPr>
          <w:trHeight w:val="20"/>
        </w:trPr>
        <w:tc>
          <w:tcPr>
            <w:tcW w:w="1890" w:type="pct"/>
            <w:shd w:val="clear" w:color="auto" w:fill="auto"/>
            <w:vAlign w:val="center"/>
            <w:hideMark/>
          </w:tcPr>
          <w:p w14:paraId="50B3497E" w14:textId="18C06C6B"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Molecular abnormalities in pediatric barrett esophagus: Can we test for potential of neoplastic progression?</w:t>
            </w:r>
          </w:p>
        </w:tc>
        <w:tc>
          <w:tcPr>
            <w:tcW w:w="321" w:type="pct"/>
            <w:shd w:val="clear" w:color="auto" w:fill="auto"/>
            <w:vAlign w:val="center"/>
            <w:hideMark/>
          </w:tcPr>
          <w:p w14:paraId="09173873"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2010</w:t>
            </w:r>
          </w:p>
        </w:tc>
        <w:tc>
          <w:tcPr>
            <w:tcW w:w="1411" w:type="pct"/>
            <w:shd w:val="clear" w:color="auto" w:fill="auto"/>
            <w:vAlign w:val="center"/>
            <w:hideMark/>
          </w:tcPr>
          <w:p w14:paraId="5ADD46CD"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Maltby, E. L., Dyson, M. J., Wheeler, M. R., Thomson, M., Sethuraman, C. and Cohen, M. C.</w:t>
            </w:r>
          </w:p>
        </w:tc>
        <w:tc>
          <w:tcPr>
            <w:tcW w:w="577" w:type="pct"/>
            <w:shd w:val="clear" w:color="auto" w:fill="auto"/>
            <w:vAlign w:val="center"/>
            <w:hideMark/>
          </w:tcPr>
          <w:p w14:paraId="75F21B0F"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Pediatric and Developmental Pathology</w:t>
            </w:r>
          </w:p>
        </w:tc>
        <w:tc>
          <w:tcPr>
            <w:tcW w:w="801" w:type="pct"/>
            <w:shd w:val="clear" w:color="auto" w:fill="auto"/>
            <w:vAlign w:val="center"/>
            <w:hideMark/>
          </w:tcPr>
          <w:p w14:paraId="64050090"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http://dx.doi.org/10.2350/09-08-0700-OA.1</w:t>
            </w:r>
          </w:p>
        </w:tc>
      </w:tr>
      <w:tr w:rsidR="008F7B90" w:rsidRPr="006721CC" w14:paraId="31FC87D9" w14:textId="77777777" w:rsidTr="00756179">
        <w:trPr>
          <w:trHeight w:val="20"/>
        </w:trPr>
        <w:tc>
          <w:tcPr>
            <w:tcW w:w="1890" w:type="pct"/>
            <w:shd w:val="clear" w:color="auto" w:fill="auto"/>
            <w:vAlign w:val="center"/>
            <w:hideMark/>
          </w:tcPr>
          <w:p w14:paraId="46E89CDF" w14:textId="4C62B312"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Exercise and the Prevention of Oesophageal Cancer (EPOC) study protocol: A randomized controlled trial of exercise versus stretching in males with Barrett's oesophagus</w:t>
            </w:r>
          </w:p>
        </w:tc>
        <w:tc>
          <w:tcPr>
            <w:tcW w:w="321" w:type="pct"/>
            <w:shd w:val="clear" w:color="auto" w:fill="auto"/>
            <w:vAlign w:val="center"/>
            <w:hideMark/>
          </w:tcPr>
          <w:p w14:paraId="64D6DE91"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2010</w:t>
            </w:r>
          </w:p>
        </w:tc>
        <w:tc>
          <w:tcPr>
            <w:tcW w:w="1411" w:type="pct"/>
            <w:shd w:val="clear" w:color="auto" w:fill="auto"/>
            <w:vAlign w:val="center"/>
            <w:hideMark/>
          </w:tcPr>
          <w:p w14:paraId="22254C6D"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Winzer, B. M., Paratz, J. D., Reeves, M. M. and Whiteman, D. C.</w:t>
            </w:r>
          </w:p>
        </w:tc>
        <w:tc>
          <w:tcPr>
            <w:tcW w:w="577" w:type="pct"/>
            <w:shd w:val="clear" w:color="auto" w:fill="auto"/>
            <w:vAlign w:val="center"/>
            <w:hideMark/>
          </w:tcPr>
          <w:p w14:paraId="0BF1ACB8"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BMC Cancer</w:t>
            </w:r>
          </w:p>
        </w:tc>
        <w:tc>
          <w:tcPr>
            <w:tcW w:w="801" w:type="pct"/>
            <w:shd w:val="clear" w:color="auto" w:fill="auto"/>
            <w:vAlign w:val="center"/>
            <w:hideMark/>
          </w:tcPr>
          <w:p w14:paraId="517BCE62"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http://dx.doi.org/10.1186/1471-2407-10-292</w:t>
            </w:r>
          </w:p>
        </w:tc>
      </w:tr>
      <w:tr w:rsidR="008F7B90" w:rsidRPr="006721CC" w14:paraId="6A014348" w14:textId="77777777" w:rsidTr="00756179">
        <w:trPr>
          <w:trHeight w:val="20"/>
        </w:trPr>
        <w:tc>
          <w:tcPr>
            <w:tcW w:w="1890" w:type="pct"/>
            <w:shd w:val="clear" w:color="auto" w:fill="auto"/>
            <w:vAlign w:val="center"/>
            <w:hideMark/>
          </w:tcPr>
          <w:p w14:paraId="3FF4640D" w14:textId="2498F19E"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A striking local esophageal cytokine expression profile in eosinophilic esophagitis</w:t>
            </w:r>
          </w:p>
        </w:tc>
        <w:tc>
          <w:tcPr>
            <w:tcW w:w="321" w:type="pct"/>
            <w:shd w:val="clear" w:color="auto" w:fill="auto"/>
            <w:vAlign w:val="center"/>
            <w:hideMark/>
          </w:tcPr>
          <w:p w14:paraId="1DAF26DC"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2011</w:t>
            </w:r>
          </w:p>
        </w:tc>
        <w:tc>
          <w:tcPr>
            <w:tcW w:w="1411" w:type="pct"/>
            <w:shd w:val="clear" w:color="auto" w:fill="auto"/>
            <w:vAlign w:val="center"/>
            <w:hideMark/>
          </w:tcPr>
          <w:p w14:paraId="63727B1E"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Blanchard, C., Stucke, E. M., Rodriguez-Jimenez, B., Burwinkel, K., Collins, M. H., Ahrens, A., Alexander, E. S., Buckmeier Butz, B. K., Jameson, S. C., Kaul, A., Franciosi, J. P., Kushner, J. P., Putnam, P. E., Abonia, J. P. and Rothenberg, M. E.</w:t>
            </w:r>
          </w:p>
        </w:tc>
        <w:tc>
          <w:tcPr>
            <w:tcW w:w="577" w:type="pct"/>
            <w:shd w:val="clear" w:color="auto" w:fill="auto"/>
            <w:vAlign w:val="center"/>
            <w:hideMark/>
          </w:tcPr>
          <w:p w14:paraId="39EA2CC1"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Journal of Allergy and Clinical Immunology</w:t>
            </w:r>
          </w:p>
        </w:tc>
        <w:tc>
          <w:tcPr>
            <w:tcW w:w="801" w:type="pct"/>
            <w:shd w:val="clear" w:color="auto" w:fill="auto"/>
            <w:vAlign w:val="center"/>
            <w:hideMark/>
          </w:tcPr>
          <w:p w14:paraId="67C3AF71"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http://dx.doi.org/10.1016/j.jaci.2010.10.039</w:t>
            </w:r>
          </w:p>
        </w:tc>
      </w:tr>
      <w:tr w:rsidR="008F7B90" w:rsidRPr="006721CC" w14:paraId="43EC8240" w14:textId="77777777" w:rsidTr="00756179">
        <w:trPr>
          <w:trHeight w:val="20"/>
        </w:trPr>
        <w:tc>
          <w:tcPr>
            <w:tcW w:w="1890" w:type="pct"/>
            <w:shd w:val="clear" w:color="auto" w:fill="auto"/>
            <w:vAlign w:val="center"/>
            <w:hideMark/>
          </w:tcPr>
          <w:p w14:paraId="4D7F06C2" w14:textId="5542698B"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Distinct proteomic profiles characterise non-erosive from erosive reflux disease</w:t>
            </w:r>
          </w:p>
        </w:tc>
        <w:tc>
          <w:tcPr>
            <w:tcW w:w="321" w:type="pct"/>
            <w:shd w:val="clear" w:color="auto" w:fill="auto"/>
            <w:vAlign w:val="center"/>
            <w:hideMark/>
          </w:tcPr>
          <w:p w14:paraId="1D332602"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2011</w:t>
            </w:r>
          </w:p>
        </w:tc>
        <w:tc>
          <w:tcPr>
            <w:tcW w:w="1411" w:type="pct"/>
            <w:shd w:val="clear" w:color="auto" w:fill="auto"/>
            <w:vAlign w:val="center"/>
            <w:hideMark/>
          </w:tcPr>
          <w:p w14:paraId="4E45D2EC"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Calabrese, C., Marzano, V., Urbani, A., Lazzarini, G., Valerii, M. C., Liguori, G., Di Molfetta, S., Rizzello, F., Gionchetti, P., Campieri, M. and Spisni, E.</w:t>
            </w:r>
          </w:p>
        </w:tc>
        <w:tc>
          <w:tcPr>
            <w:tcW w:w="577" w:type="pct"/>
            <w:shd w:val="clear" w:color="auto" w:fill="auto"/>
            <w:vAlign w:val="center"/>
            <w:hideMark/>
          </w:tcPr>
          <w:p w14:paraId="67B98A6A"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Alimentary Pharmacology and Therapeutics</w:t>
            </w:r>
          </w:p>
        </w:tc>
        <w:tc>
          <w:tcPr>
            <w:tcW w:w="801" w:type="pct"/>
            <w:shd w:val="clear" w:color="auto" w:fill="auto"/>
            <w:vAlign w:val="center"/>
            <w:hideMark/>
          </w:tcPr>
          <w:p w14:paraId="53FFE6D0"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http://dx.doi.org/10.1111/j.1365-2036.2011.04801.x</w:t>
            </w:r>
          </w:p>
        </w:tc>
      </w:tr>
      <w:tr w:rsidR="008F7B90" w:rsidRPr="006721CC" w14:paraId="02687EDD" w14:textId="77777777" w:rsidTr="00756179">
        <w:trPr>
          <w:trHeight w:val="20"/>
        </w:trPr>
        <w:tc>
          <w:tcPr>
            <w:tcW w:w="1890" w:type="pct"/>
            <w:shd w:val="clear" w:color="auto" w:fill="auto"/>
            <w:vAlign w:val="center"/>
            <w:hideMark/>
          </w:tcPr>
          <w:p w14:paraId="634DB521" w14:textId="48670E45"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Barrett's esophagus: Progression to adenocarcinoma and markers</w:t>
            </w:r>
          </w:p>
        </w:tc>
        <w:tc>
          <w:tcPr>
            <w:tcW w:w="321" w:type="pct"/>
            <w:shd w:val="clear" w:color="auto" w:fill="auto"/>
            <w:vAlign w:val="center"/>
            <w:hideMark/>
          </w:tcPr>
          <w:p w14:paraId="372A91B3"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2011</w:t>
            </w:r>
          </w:p>
        </w:tc>
        <w:tc>
          <w:tcPr>
            <w:tcW w:w="1411" w:type="pct"/>
            <w:shd w:val="clear" w:color="auto" w:fill="auto"/>
            <w:vAlign w:val="center"/>
            <w:hideMark/>
          </w:tcPr>
          <w:p w14:paraId="77244A47"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Fang, D., Das, K. M., Cao, W., Malhotra, U., Triadafilopoulos, G., Najarian, R. M., Hardie, L. J., Lightdale, C. J., Beales, I. L., Felix, V. N., Schneider, P. M. and Bellizzi, A. M.</w:t>
            </w:r>
          </w:p>
        </w:tc>
        <w:tc>
          <w:tcPr>
            <w:tcW w:w="577" w:type="pct"/>
            <w:shd w:val="clear" w:color="auto" w:fill="auto"/>
            <w:vAlign w:val="center"/>
            <w:hideMark/>
          </w:tcPr>
          <w:p w14:paraId="46428638"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Annals of the New York Academy of Sciences</w:t>
            </w:r>
          </w:p>
        </w:tc>
        <w:tc>
          <w:tcPr>
            <w:tcW w:w="801" w:type="pct"/>
            <w:shd w:val="clear" w:color="auto" w:fill="auto"/>
            <w:vAlign w:val="center"/>
            <w:hideMark/>
          </w:tcPr>
          <w:p w14:paraId="0123F913"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http://dx.doi.org/10.1111/j.1749-6632.2011.06053.x</w:t>
            </w:r>
          </w:p>
        </w:tc>
      </w:tr>
      <w:tr w:rsidR="008F7B90" w:rsidRPr="006721CC" w14:paraId="6299A8E3" w14:textId="77777777" w:rsidTr="00756179">
        <w:trPr>
          <w:trHeight w:val="20"/>
        </w:trPr>
        <w:tc>
          <w:tcPr>
            <w:tcW w:w="1890" w:type="pct"/>
            <w:shd w:val="clear" w:color="auto" w:fill="auto"/>
            <w:vAlign w:val="center"/>
            <w:hideMark/>
          </w:tcPr>
          <w:p w14:paraId="7DD789D2" w14:textId="46746780"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Role of e-cadherin in the pathogenesis of gastroesophageal reflux disease</w:t>
            </w:r>
          </w:p>
        </w:tc>
        <w:tc>
          <w:tcPr>
            <w:tcW w:w="321" w:type="pct"/>
            <w:shd w:val="clear" w:color="auto" w:fill="auto"/>
            <w:vAlign w:val="center"/>
            <w:hideMark/>
          </w:tcPr>
          <w:p w14:paraId="50CF3D91"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2011</w:t>
            </w:r>
          </w:p>
        </w:tc>
        <w:tc>
          <w:tcPr>
            <w:tcW w:w="1411" w:type="pct"/>
            <w:shd w:val="clear" w:color="auto" w:fill="auto"/>
            <w:vAlign w:val="center"/>
            <w:hideMark/>
          </w:tcPr>
          <w:p w14:paraId="3979D365"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Jovov, B., Que, J., Tobey, N. A., Djukic, Z., Hogan, B. L. M. and Orlando, R. C.</w:t>
            </w:r>
          </w:p>
        </w:tc>
        <w:tc>
          <w:tcPr>
            <w:tcW w:w="577" w:type="pct"/>
            <w:shd w:val="clear" w:color="auto" w:fill="auto"/>
            <w:vAlign w:val="center"/>
            <w:hideMark/>
          </w:tcPr>
          <w:p w14:paraId="11AF9CDD"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American Journal of Gastroenterology</w:t>
            </w:r>
          </w:p>
        </w:tc>
        <w:tc>
          <w:tcPr>
            <w:tcW w:w="801" w:type="pct"/>
            <w:shd w:val="clear" w:color="auto" w:fill="auto"/>
            <w:vAlign w:val="center"/>
            <w:hideMark/>
          </w:tcPr>
          <w:p w14:paraId="19219597"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http://dx.doi.org/10.1038/ajg.2011.102</w:t>
            </w:r>
          </w:p>
        </w:tc>
      </w:tr>
      <w:tr w:rsidR="008F7B90" w:rsidRPr="006721CC" w14:paraId="0B346CD6" w14:textId="77777777" w:rsidTr="00756179">
        <w:trPr>
          <w:trHeight w:val="20"/>
        </w:trPr>
        <w:tc>
          <w:tcPr>
            <w:tcW w:w="1890" w:type="pct"/>
            <w:shd w:val="clear" w:color="auto" w:fill="auto"/>
            <w:vAlign w:val="center"/>
            <w:hideMark/>
          </w:tcPr>
          <w:p w14:paraId="3BF0F73D" w14:textId="5367CABD"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MUC2 is a highly specific marker of goblet cell metaplasia in the distal esophagus and gastroesophageal junction</w:t>
            </w:r>
          </w:p>
        </w:tc>
        <w:tc>
          <w:tcPr>
            <w:tcW w:w="321" w:type="pct"/>
            <w:shd w:val="clear" w:color="auto" w:fill="auto"/>
            <w:vAlign w:val="center"/>
            <w:hideMark/>
          </w:tcPr>
          <w:p w14:paraId="2649B2C8"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2011</w:t>
            </w:r>
          </w:p>
        </w:tc>
        <w:tc>
          <w:tcPr>
            <w:tcW w:w="1411" w:type="pct"/>
            <w:shd w:val="clear" w:color="auto" w:fill="auto"/>
            <w:vAlign w:val="center"/>
            <w:hideMark/>
          </w:tcPr>
          <w:p w14:paraId="745C7167"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Mcintire, M. G., Soucy, G., Vaughan, T. L., Shahsafaei, A. and Odze, R. D.</w:t>
            </w:r>
          </w:p>
        </w:tc>
        <w:tc>
          <w:tcPr>
            <w:tcW w:w="577" w:type="pct"/>
            <w:shd w:val="clear" w:color="auto" w:fill="auto"/>
            <w:vAlign w:val="center"/>
            <w:hideMark/>
          </w:tcPr>
          <w:p w14:paraId="197778F4"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American Journal of Surgical Pathology</w:t>
            </w:r>
          </w:p>
        </w:tc>
        <w:tc>
          <w:tcPr>
            <w:tcW w:w="801" w:type="pct"/>
            <w:shd w:val="clear" w:color="auto" w:fill="auto"/>
            <w:vAlign w:val="center"/>
            <w:hideMark/>
          </w:tcPr>
          <w:p w14:paraId="1767D7EC"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http://dx.doi.org/10.1097/PAS.0b013e318218940d</w:t>
            </w:r>
          </w:p>
        </w:tc>
      </w:tr>
      <w:tr w:rsidR="008F7B90" w:rsidRPr="006721CC" w14:paraId="5A42B9BB" w14:textId="77777777" w:rsidTr="00756179">
        <w:trPr>
          <w:trHeight w:val="20"/>
        </w:trPr>
        <w:tc>
          <w:tcPr>
            <w:tcW w:w="1890" w:type="pct"/>
            <w:shd w:val="clear" w:color="auto" w:fill="auto"/>
            <w:vAlign w:val="center"/>
            <w:hideMark/>
          </w:tcPr>
          <w:p w14:paraId="753FF886" w14:textId="6AC07933"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The histological and immunohistochemical aspects of bile reflux in patients with gastroesophageal reflux disease</w:t>
            </w:r>
          </w:p>
        </w:tc>
        <w:tc>
          <w:tcPr>
            <w:tcW w:w="321" w:type="pct"/>
            <w:shd w:val="clear" w:color="auto" w:fill="auto"/>
            <w:vAlign w:val="center"/>
            <w:hideMark/>
          </w:tcPr>
          <w:p w14:paraId="322E2205"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2011</w:t>
            </w:r>
          </w:p>
        </w:tc>
        <w:tc>
          <w:tcPr>
            <w:tcW w:w="1411" w:type="pct"/>
            <w:shd w:val="clear" w:color="auto" w:fill="auto"/>
            <w:vAlign w:val="center"/>
            <w:hideMark/>
          </w:tcPr>
          <w:p w14:paraId="2EDBDEAD"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Nakos, A., Kouklakis, G., Pitiakoudis, M., Zezos, P., Efraimidou, E., Giatromanolaki, A., Polychronidis, A., Liratzopoulos, N., Sivridis, E. and Simopoulos, K.</w:t>
            </w:r>
          </w:p>
        </w:tc>
        <w:tc>
          <w:tcPr>
            <w:tcW w:w="577" w:type="pct"/>
            <w:shd w:val="clear" w:color="auto" w:fill="auto"/>
            <w:vAlign w:val="center"/>
            <w:hideMark/>
          </w:tcPr>
          <w:p w14:paraId="43FA69EA"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Gastroenterology Research and Practice</w:t>
            </w:r>
          </w:p>
        </w:tc>
        <w:tc>
          <w:tcPr>
            <w:tcW w:w="801" w:type="pct"/>
            <w:shd w:val="clear" w:color="auto" w:fill="auto"/>
            <w:vAlign w:val="center"/>
            <w:hideMark/>
          </w:tcPr>
          <w:p w14:paraId="78BE1264"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http://dx.doi.org/10.1155/2011/905872</w:t>
            </w:r>
          </w:p>
        </w:tc>
      </w:tr>
      <w:tr w:rsidR="008F7B90" w:rsidRPr="006721CC" w14:paraId="7D71F57F" w14:textId="77777777" w:rsidTr="00756179">
        <w:trPr>
          <w:trHeight w:val="20"/>
        </w:trPr>
        <w:tc>
          <w:tcPr>
            <w:tcW w:w="1890" w:type="pct"/>
            <w:shd w:val="clear" w:color="auto" w:fill="auto"/>
            <w:vAlign w:val="center"/>
            <w:hideMark/>
          </w:tcPr>
          <w:p w14:paraId="4CDC2867" w14:textId="33073185"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lastRenderedPageBreak/>
              <w:t>Correlation of serum pepsinogens and gastrin-17 with atrophic gastritis in gastroesophageal reflux patients: A matched-pairs study</w:t>
            </w:r>
          </w:p>
        </w:tc>
        <w:tc>
          <w:tcPr>
            <w:tcW w:w="321" w:type="pct"/>
            <w:shd w:val="clear" w:color="auto" w:fill="auto"/>
            <w:vAlign w:val="center"/>
            <w:hideMark/>
          </w:tcPr>
          <w:p w14:paraId="3506DFB8"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2011</w:t>
            </w:r>
          </w:p>
        </w:tc>
        <w:tc>
          <w:tcPr>
            <w:tcW w:w="1411" w:type="pct"/>
            <w:shd w:val="clear" w:color="auto" w:fill="auto"/>
            <w:vAlign w:val="center"/>
            <w:hideMark/>
          </w:tcPr>
          <w:p w14:paraId="63C169B0"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Peitz, U., Wex, T., Vieth, M., Stolte, M., Willich, S., Labenz, J., Jaspersen, D., Lind, T. and Malfertheiner, P.</w:t>
            </w:r>
          </w:p>
        </w:tc>
        <w:tc>
          <w:tcPr>
            <w:tcW w:w="577" w:type="pct"/>
            <w:shd w:val="clear" w:color="auto" w:fill="auto"/>
            <w:vAlign w:val="center"/>
            <w:hideMark/>
          </w:tcPr>
          <w:p w14:paraId="0E006898"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Journal of Gastroenterology and Hepatology (Australia)</w:t>
            </w:r>
          </w:p>
        </w:tc>
        <w:tc>
          <w:tcPr>
            <w:tcW w:w="801" w:type="pct"/>
            <w:shd w:val="clear" w:color="auto" w:fill="auto"/>
            <w:vAlign w:val="center"/>
            <w:hideMark/>
          </w:tcPr>
          <w:p w14:paraId="40B95906"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http://dx.doi.org/10.1111/j.1440-1746.2010.06413.x</w:t>
            </w:r>
          </w:p>
        </w:tc>
      </w:tr>
      <w:tr w:rsidR="008F7B90" w:rsidRPr="006721CC" w14:paraId="435A498F" w14:textId="77777777" w:rsidTr="00756179">
        <w:trPr>
          <w:trHeight w:val="20"/>
        </w:trPr>
        <w:tc>
          <w:tcPr>
            <w:tcW w:w="1890" w:type="pct"/>
            <w:shd w:val="clear" w:color="auto" w:fill="auto"/>
            <w:vAlign w:val="center"/>
            <w:hideMark/>
          </w:tcPr>
          <w:p w14:paraId="17E413FB" w14:textId="42E56C8C"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Early events during neoplastic progression in Barrett's esophagus</w:t>
            </w:r>
          </w:p>
        </w:tc>
        <w:tc>
          <w:tcPr>
            <w:tcW w:w="321" w:type="pct"/>
            <w:shd w:val="clear" w:color="auto" w:fill="auto"/>
            <w:vAlign w:val="center"/>
            <w:hideMark/>
          </w:tcPr>
          <w:p w14:paraId="23DF4DFD"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2011</w:t>
            </w:r>
          </w:p>
        </w:tc>
        <w:tc>
          <w:tcPr>
            <w:tcW w:w="1411" w:type="pct"/>
            <w:shd w:val="clear" w:color="auto" w:fill="auto"/>
            <w:vAlign w:val="center"/>
            <w:hideMark/>
          </w:tcPr>
          <w:p w14:paraId="48BFB987"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Reid, B. J.</w:t>
            </w:r>
          </w:p>
        </w:tc>
        <w:tc>
          <w:tcPr>
            <w:tcW w:w="577" w:type="pct"/>
            <w:shd w:val="clear" w:color="auto" w:fill="auto"/>
            <w:vAlign w:val="center"/>
            <w:hideMark/>
          </w:tcPr>
          <w:p w14:paraId="7E3D48FB"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Cancer Biomarkers</w:t>
            </w:r>
          </w:p>
        </w:tc>
        <w:tc>
          <w:tcPr>
            <w:tcW w:w="801" w:type="pct"/>
            <w:shd w:val="clear" w:color="auto" w:fill="auto"/>
            <w:vAlign w:val="center"/>
            <w:hideMark/>
          </w:tcPr>
          <w:p w14:paraId="1025B654"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http://dx.doi.org/10.3233/CBM-2011-0162</w:t>
            </w:r>
          </w:p>
        </w:tc>
      </w:tr>
      <w:tr w:rsidR="008F7B90" w:rsidRPr="006721CC" w14:paraId="23EC5FCF" w14:textId="77777777" w:rsidTr="00756179">
        <w:trPr>
          <w:trHeight w:val="20"/>
        </w:trPr>
        <w:tc>
          <w:tcPr>
            <w:tcW w:w="1890" w:type="pct"/>
            <w:shd w:val="clear" w:color="auto" w:fill="auto"/>
            <w:vAlign w:val="center"/>
            <w:hideMark/>
          </w:tcPr>
          <w:p w14:paraId="79C4D0C2" w14:textId="7779ACAE"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Barrett's esophagus: Genetic and cell changes</w:t>
            </w:r>
          </w:p>
        </w:tc>
        <w:tc>
          <w:tcPr>
            <w:tcW w:w="321" w:type="pct"/>
            <w:shd w:val="clear" w:color="auto" w:fill="auto"/>
            <w:vAlign w:val="center"/>
            <w:hideMark/>
          </w:tcPr>
          <w:p w14:paraId="0E898C34"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2011</w:t>
            </w:r>
          </w:p>
        </w:tc>
        <w:tc>
          <w:tcPr>
            <w:tcW w:w="1411" w:type="pct"/>
            <w:shd w:val="clear" w:color="auto" w:fill="auto"/>
            <w:vAlign w:val="center"/>
            <w:hideMark/>
          </w:tcPr>
          <w:p w14:paraId="4DD465C1"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Souza, R. F., Freschi, G., Taddei, A., Ringressi, M. N., Bechi, P., Castiglione, F., Degl'innocenti, D. R., Triadafilopoulos, G., Wang, J. S., Chang, A. C., Barr, H., Bajpai, M., Das, K. M., Schneider, P. M., Krishnadath, K. K., Malhotra, U. and Lynch, J. P.</w:t>
            </w:r>
          </w:p>
        </w:tc>
        <w:tc>
          <w:tcPr>
            <w:tcW w:w="577" w:type="pct"/>
            <w:shd w:val="clear" w:color="auto" w:fill="auto"/>
            <w:vAlign w:val="center"/>
            <w:hideMark/>
          </w:tcPr>
          <w:p w14:paraId="68508629"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Annals of the New York Academy of Sciences</w:t>
            </w:r>
          </w:p>
        </w:tc>
        <w:tc>
          <w:tcPr>
            <w:tcW w:w="801" w:type="pct"/>
            <w:shd w:val="clear" w:color="auto" w:fill="auto"/>
            <w:vAlign w:val="center"/>
            <w:hideMark/>
          </w:tcPr>
          <w:p w14:paraId="7437C60E"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http://dx.doi.org/10.1111/j.1749-6632.2011.06043.x</w:t>
            </w:r>
          </w:p>
        </w:tc>
      </w:tr>
      <w:tr w:rsidR="008F7B90" w:rsidRPr="006721CC" w14:paraId="11CEDBC3" w14:textId="77777777" w:rsidTr="00756179">
        <w:trPr>
          <w:trHeight w:val="20"/>
        </w:trPr>
        <w:tc>
          <w:tcPr>
            <w:tcW w:w="1890" w:type="pct"/>
            <w:shd w:val="clear" w:color="auto" w:fill="auto"/>
            <w:vAlign w:val="center"/>
            <w:hideMark/>
          </w:tcPr>
          <w:p w14:paraId="3E2452E7" w14:textId="37C7D3BE"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Identification of clinical and laboratory markers for predicting eosinophilic esophagitis in adults</w:t>
            </w:r>
          </w:p>
        </w:tc>
        <w:tc>
          <w:tcPr>
            <w:tcW w:w="321" w:type="pct"/>
            <w:shd w:val="clear" w:color="auto" w:fill="auto"/>
            <w:vAlign w:val="center"/>
            <w:hideMark/>
          </w:tcPr>
          <w:p w14:paraId="128D456E"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2011</w:t>
            </w:r>
          </w:p>
        </w:tc>
        <w:tc>
          <w:tcPr>
            <w:tcW w:w="1411" w:type="pct"/>
            <w:shd w:val="clear" w:color="auto" w:fill="auto"/>
            <w:vAlign w:val="center"/>
            <w:hideMark/>
          </w:tcPr>
          <w:p w14:paraId="50AD5AD0"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Von Arnim, U., Wex, T., Rohl, F. W., Neumann, H., Kuster, D., Weigt, J., Monkemuller, K. and Malfertheiner, P.</w:t>
            </w:r>
          </w:p>
        </w:tc>
        <w:tc>
          <w:tcPr>
            <w:tcW w:w="577" w:type="pct"/>
            <w:shd w:val="clear" w:color="auto" w:fill="auto"/>
            <w:vAlign w:val="center"/>
            <w:hideMark/>
          </w:tcPr>
          <w:p w14:paraId="2581ACD7"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Digestion</w:t>
            </w:r>
          </w:p>
        </w:tc>
        <w:tc>
          <w:tcPr>
            <w:tcW w:w="801" w:type="pct"/>
            <w:shd w:val="clear" w:color="auto" w:fill="auto"/>
            <w:vAlign w:val="center"/>
            <w:hideMark/>
          </w:tcPr>
          <w:p w14:paraId="7AD06E52"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http://dx.doi.org/10.1159/000331142</w:t>
            </w:r>
          </w:p>
        </w:tc>
      </w:tr>
      <w:tr w:rsidR="008F7B90" w:rsidRPr="006721CC" w14:paraId="3A4FA171" w14:textId="77777777" w:rsidTr="00756179">
        <w:trPr>
          <w:trHeight w:val="20"/>
        </w:trPr>
        <w:tc>
          <w:tcPr>
            <w:tcW w:w="1890" w:type="pct"/>
            <w:shd w:val="clear" w:color="auto" w:fill="auto"/>
            <w:vAlign w:val="center"/>
            <w:hideMark/>
          </w:tcPr>
          <w:p w14:paraId="47D1898D" w14:textId="5BBD7CCF"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Prolonged exposure to acid and bile induces chromosome abnormalities that precede malignant transformation of benign Barrett's epithelium</w:t>
            </w:r>
          </w:p>
        </w:tc>
        <w:tc>
          <w:tcPr>
            <w:tcW w:w="321" w:type="pct"/>
            <w:shd w:val="clear" w:color="auto" w:fill="auto"/>
            <w:vAlign w:val="center"/>
            <w:hideMark/>
          </w:tcPr>
          <w:p w14:paraId="4C96CB86"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2012</w:t>
            </w:r>
          </w:p>
        </w:tc>
        <w:tc>
          <w:tcPr>
            <w:tcW w:w="1411" w:type="pct"/>
            <w:shd w:val="clear" w:color="auto" w:fill="auto"/>
            <w:vAlign w:val="center"/>
            <w:hideMark/>
          </w:tcPr>
          <w:p w14:paraId="500AC3B2"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Bajpai, M., Aviv, H. and Das, K. M.</w:t>
            </w:r>
          </w:p>
        </w:tc>
        <w:tc>
          <w:tcPr>
            <w:tcW w:w="577" w:type="pct"/>
            <w:shd w:val="clear" w:color="auto" w:fill="auto"/>
            <w:vAlign w:val="center"/>
            <w:hideMark/>
          </w:tcPr>
          <w:p w14:paraId="480272B5"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Molecular Cytogenetics</w:t>
            </w:r>
          </w:p>
        </w:tc>
        <w:tc>
          <w:tcPr>
            <w:tcW w:w="801" w:type="pct"/>
            <w:shd w:val="clear" w:color="auto" w:fill="auto"/>
            <w:vAlign w:val="center"/>
            <w:hideMark/>
          </w:tcPr>
          <w:p w14:paraId="20F76AF0"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http://dx.doi.org/10.1186/1755-8166-5-43</w:t>
            </w:r>
          </w:p>
        </w:tc>
      </w:tr>
      <w:tr w:rsidR="008F7B90" w:rsidRPr="006721CC" w14:paraId="05E8A16A" w14:textId="77777777" w:rsidTr="00756179">
        <w:trPr>
          <w:trHeight w:val="20"/>
        </w:trPr>
        <w:tc>
          <w:tcPr>
            <w:tcW w:w="1890" w:type="pct"/>
            <w:shd w:val="clear" w:color="auto" w:fill="auto"/>
            <w:vAlign w:val="center"/>
            <w:hideMark/>
          </w:tcPr>
          <w:p w14:paraId="1BF137F5" w14:textId="6EAF81B0"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Prevalence and predictors of columnar lined esophagus in Gastroesophageal Reflux Disease (GERD) patients undergoing upper endoscopy</w:t>
            </w:r>
          </w:p>
        </w:tc>
        <w:tc>
          <w:tcPr>
            <w:tcW w:w="321" w:type="pct"/>
            <w:shd w:val="clear" w:color="auto" w:fill="auto"/>
            <w:vAlign w:val="center"/>
            <w:hideMark/>
          </w:tcPr>
          <w:p w14:paraId="0FFC658F"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2012</w:t>
            </w:r>
          </w:p>
        </w:tc>
        <w:tc>
          <w:tcPr>
            <w:tcW w:w="1411" w:type="pct"/>
            <w:shd w:val="clear" w:color="auto" w:fill="auto"/>
            <w:vAlign w:val="center"/>
            <w:hideMark/>
          </w:tcPr>
          <w:p w14:paraId="60D0D139"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Balasubramanian, G., Singh, M., Gupta, N., Gaddam, S., Giacchino, M., Wani, S. B., Moloney, B., Higbee, A. D., Rastogi, A., Bansal, A. and Sharma, P.</w:t>
            </w:r>
          </w:p>
        </w:tc>
        <w:tc>
          <w:tcPr>
            <w:tcW w:w="577" w:type="pct"/>
            <w:shd w:val="clear" w:color="auto" w:fill="auto"/>
            <w:vAlign w:val="center"/>
            <w:hideMark/>
          </w:tcPr>
          <w:p w14:paraId="45F77357"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American Journal of Gastroenterology</w:t>
            </w:r>
          </w:p>
        </w:tc>
        <w:tc>
          <w:tcPr>
            <w:tcW w:w="801" w:type="pct"/>
            <w:shd w:val="clear" w:color="auto" w:fill="auto"/>
            <w:vAlign w:val="center"/>
            <w:hideMark/>
          </w:tcPr>
          <w:p w14:paraId="41109F35"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http://dx.doi.org/10.1038/ajg.2012.299</w:t>
            </w:r>
          </w:p>
        </w:tc>
      </w:tr>
      <w:tr w:rsidR="008F7B90" w:rsidRPr="006721CC" w14:paraId="5879F0BC" w14:textId="77777777" w:rsidTr="00756179">
        <w:trPr>
          <w:trHeight w:val="20"/>
        </w:trPr>
        <w:tc>
          <w:tcPr>
            <w:tcW w:w="1890" w:type="pct"/>
            <w:shd w:val="clear" w:color="auto" w:fill="auto"/>
            <w:vAlign w:val="center"/>
            <w:hideMark/>
          </w:tcPr>
          <w:p w14:paraId="4885226B" w14:textId="08CC09DD"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Activation of the BMP4 Pathway and Early Expression of CDX2 Characterize Non-specialized Columnar Metaplasia in a Human Model of Barrett's Esophagus</w:t>
            </w:r>
          </w:p>
        </w:tc>
        <w:tc>
          <w:tcPr>
            <w:tcW w:w="321" w:type="pct"/>
            <w:shd w:val="clear" w:color="auto" w:fill="auto"/>
            <w:vAlign w:val="center"/>
            <w:hideMark/>
          </w:tcPr>
          <w:p w14:paraId="36865013"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2012</w:t>
            </w:r>
          </w:p>
        </w:tc>
        <w:tc>
          <w:tcPr>
            <w:tcW w:w="1411" w:type="pct"/>
            <w:shd w:val="clear" w:color="auto" w:fill="auto"/>
            <w:vAlign w:val="center"/>
            <w:hideMark/>
          </w:tcPr>
          <w:p w14:paraId="59BAC463"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Castillo, D., Puig, S., Iglesias, M., Seoane, A., De Bolos, C., Munitiz, V., Parrilla, P., Comerma, L., Poulsom, R., Krishnadath, K. K., Grande, L. and Pera, M.</w:t>
            </w:r>
          </w:p>
        </w:tc>
        <w:tc>
          <w:tcPr>
            <w:tcW w:w="577" w:type="pct"/>
            <w:shd w:val="clear" w:color="auto" w:fill="auto"/>
            <w:vAlign w:val="center"/>
            <w:hideMark/>
          </w:tcPr>
          <w:p w14:paraId="6D0D01D9"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Journal of Gastrointestinal Surgery</w:t>
            </w:r>
          </w:p>
        </w:tc>
        <w:tc>
          <w:tcPr>
            <w:tcW w:w="801" w:type="pct"/>
            <w:shd w:val="clear" w:color="auto" w:fill="auto"/>
            <w:vAlign w:val="center"/>
            <w:hideMark/>
          </w:tcPr>
          <w:p w14:paraId="270CD3A6"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http://dx.doi.org/10.1007/s11605-011-1758-5</w:t>
            </w:r>
          </w:p>
        </w:tc>
      </w:tr>
      <w:tr w:rsidR="008F7B90" w:rsidRPr="006721CC" w14:paraId="0C45F5BF" w14:textId="77777777" w:rsidTr="00756179">
        <w:trPr>
          <w:trHeight w:val="20"/>
        </w:trPr>
        <w:tc>
          <w:tcPr>
            <w:tcW w:w="1890" w:type="pct"/>
            <w:shd w:val="clear" w:color="auto" w:fill="auto"/>
            <w:vAlign w:val="center"/>
            <w:hideMark/>
          </w:tcPr>
          <w:p w14:paraId="59154066" w14:textId="0782417A"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Diagnostic utility of major basic protein, eotaxin-3, and leukotriene enzyme staining in eosinophilic esophagitis</w:t>
            </w:r>
          </w:p>
        </w:tc>
        <w:tc>
          <w:tcPr>
            <w:tcW w:w="321" w:type="pct"/>
            <w:shd w:val="clear" w:color="auto" w:fill="auto"/>
            <w:vAlign w:val="center"/>
            <w:hideMark/>
          </w:tcPr>
          <w:p w14:paraId="1F547CAC"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2012</w:t>
            </w:r>
          </w:p>
        </w:tc>
        <w:tc>
          <w:tcPr>
            <w:tcW w:w="1411" w:type="pct"/>
            <w:shd w:val="clear" w:color="auto" w:fill="auto"/>
            <w:vAlign w:val="center"/>
            <w:hideMark/>
          </w:tcPr>
          <w:p w14:paraId="073F9061"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Dellon, E. S., Chen, X., Miller, C. R., Woosley, J. T. and Shaheen, N. J.</w:t>
            </w:r>
          </w:p>
        </w:tc>
        <w:tc>
          <w:tcPr>
            <w:tcW w:w="577" w:type="pct"/>
            <w:shd w:val="clear" w:color="auto" w:fill="auto"/>
            <w:vAlign w:val="center"/>
            <w:hideMark/>
          </w:tcPr>
          <w:p w14:paraId="2C928E10"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American Journal of Gastroenterology</w:t>
            </w:r>
          </w:p>
        </w:tc>
        <w:tc>
          <w:tcPr>
            <w:tcW w:w="801" w:type="pct"/>
            <w:shd w:val="clear" w:color="auto" w:fill="auto"/>
            <w:vAlign w:val="center"/>
            <w:hideMark/>
          </w:tcPr>
          <w:p w14:paraId="0D60D7D4"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http://dx.doi.org/10.1038/ajg.2012.202</w:t>
            </w:r>
          </w:p>
        </w:tc>
      </w:tr>
      <w:tr w:rsidR="008F7B90" w:rsidRPr="006721CC" w14:paraId="67883680" w14:textId="77777777" w:rsidTr="00756179">
        <w:trPr>
          <w:trHeight w:val="20"/>
        </w:trPr>
        <w:tc>
          <w:tcPr>
            <w:tcW w:w="1890" w:type="pct"/>
            <w:shd w:val="clear" w:color="auto" w:fill="auto"/>
            <w:vAlign w:val="center"/>
            <w:hideMark/>
          </w:tcPr>
          <w:p w14:paraId="72F152D0" w14:textId="1B558E4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Eosinophilic esophagitis: Epithelial mesenchymal transition contributes to esophageal remodeling and reverses with treatment</w:t>
            </w:r>
          </w:p>
        </w:tc>
        <w:tc>
          <w:tcPr>
            <w:tcW w:w="321" w:type="pct"/>
            <w:shd w:val="clear" w:color="auto" w:fill="auto"/>
            <w:vAlign w:val="center"/>
            <w:hideMark/>
          </w:tcPr>
          <w:p w14:paraId="2F02D8C5"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2012</w:t>
            </w:r>
          </w:p>
        </w:tc>
        <w:tc>
          <w:tcPr>
            <w:tcW w:w="1411" w:type="pct"/>
            <w:shd w:val="clear" w:color="auto" w:fill="auto"/>
            <w:vAlign w:val="center"/>
            <w:hideMark/>
          </w:tcPr>
          <w:p w14:paraId="1B42C3ED"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Kagalwalla, A. F., Akhtar, N., Woodruff, S. A., Rea, B. A., Masterson, J. C., Mukkada, V., Parashette, K. R., Du, J., Fillon, S., Protheroe, C. A., Lee, J. J., Amsden, K., Melin-Aldana, H., Capocelli, K. E., Furuta, G. T. and Ackerman, S. J.</w:t>
            </w:r>
          </w:p>
        </w:tc>
        <w:tc>
          <w:tcPr>
            <w:tcW w:w="577" w:type="pct"/>
            <w:shd w:val="clear" w:color="auto" w:fill="auto"/>
            <w:vAlign w:val="center"/>
            <w:hideMark/>
          </w:tcPr>
          <w:p w14:paraId="6B632413"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Journal of Allergy and Clinical Immunology</w:t>
            </w:r>
          </w:p>
        </w:tc>
        <w:tc>
          <w:tcPr>
            <w:tcW w:w="801" w:type="pct"/>
            <w:shd w:val="clear" w:color="auto" w:fill="auto"/>
            <w:vAlign w:val="center"/>
            <w:hideMark/>
          </w:tcPr>
          <w:p w14:paraId="556BE9F5"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http://dx.doi.org/10.1016/j.jaci.2012.03.005</w:t>
            </w:r>
          </w:p>
        </w:tc>
      </w:tr>
      <w:tr w:rsidR="008F7B90" w:rsidRPr="006721CC" w14:paraId="07EFBE14" w14:textId="77777777" w:rsidTr="00756179">
        <w:trPr>
          <w:trHeight w:val="20"/>
        </w:trPr>
        <w:tc>
          <w:tcPr>
            <w:tcW w:w="1890" w:type="pct"/>
            <w:shd w:val="clear" w:color="auto" w:fill="auto"/>
            <w:vAlign w:val="center"/>
            <w:hideMark/>
          </w:tcPr>
          <w:p w14:paraId="6F9FB985" w14:textId="7D80CA96"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Oxidative stress in inflammation-based gastrointestinal tract diseases: Challenges and opportunities</w:t>
            </w:r>
          </w:p>
        </w:tc>
        <w:tc>
          <w:tcPr>
            <w:tcW w:w="321" w:type="pct"/>
            <w:shd w:val="clear" w:color="auto" w:fill="auto"/>
            <w:vAlign w:val="center"/>
            <w:hideMark/>
          </w:tcPr>
          <w:p w14:paraId="5D9D082B"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2012</w:t>
            </w:r>
          </w:p>
        </w:tc>
        <w:tc>
          <w:tcPr>
            <w:tcW w:w="1411" w:type="pct"/>
            <w:shd w:val="clear" w:color="auto" w:fill="auto"/>
            <w:vAlign w:val="center"/>
            <w:hideMark/>
          </w:tcPr>
          <w:p w14:paraId="6C4F4657"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Kim, Y. J., Kim, E. H. and Hahm, K. B.</w:t>
            </w:r>
          </w:p>
        </w:tc>
        <w:tc>
          <w:tcPr>
            <w:tcW w:w="577" w:type="pct"/>
            <w:shd w:val="clear" w:color="auto" w:fill="auto"/>
            <w:vAlign w:val="center"/>
            <w:hideMark/>
          </w:tcPr>
          <w:p w14:paraId="384A66F3"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Journal of Gastroenterology and Hepatology (Australia)</w:t>
            </w:r>
          </w:p>
        </w:tc>
        <w:tc>
          <w:tcPr>
            <w:tcW w:w="801" w:type="pct"/>
            <w:shd w:val="clear" w:color="auto" w:fill="auto"/>
            <w:vAlign w:val="center"/>
            <w:hideMark/>
          </w:tcPr>
          <w:p w14:paraId="195C4F1F"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http://dx.doi.org/10.1111/j.1440-1746.2012.07108.x</w:t>
            </w:r>
          </w:p>
        </w:tc>
      </w:tr>
      <w:tr w:rsidR="008F7B90" w:rsidRPr="006721CC" w14:paraId="490656FF" w14:textId="77777777" w:rsidTr="00756179">
        <w:trPr>
          <w:trHeight w:val="20"/>
        </w:trPr>
        <w:tc>
          <w:tcPr>
            <w:tcW w:w="1890" w:type="pct"/>
            <w:shd w:val="clear" w:color="auto" w:fill="auto"/>
            <w:vAlign w:val="center"/>
            <w:hideMark/>
          </w:tcPr>
          <w:p w14:paraId="135BC46F" w14:textId="0F05DA3F"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COX-2 mRNA is increased in oesophageal mucosal cells by a proton pump inhibitor</w:t>
            </w:r>
          </w:p>
        </w:tc>
        <w:tc>
          <w:tcPr>
            <w:tcW w:w="321" w:type="pct"/>
            <w:shd w:val="clear" w:color="auto" w:fill="auto"/>
            <w:vAlign w:val="center"/>
            <w:hideMark/>
          </w:tcPr>
          <w:p w14:paraId="428B8E85"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2012</w:t>
            </w:r>
          </w:p>
        </w:tc>
        <w:tc>
          <w:tcPr>
            <w:tcW w:w="1411" w:type="pct"/>
            <w:shd w:val="clear" w:color="auto" w:fill="auto"/>
            <w:vAlign w:val="center"/>
            <w:hideMark/>
          </w:tcPr>
          <w:p w14:paraId="7EE766FE"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Mayne, G. C., Watson, D. I. and Hussey, D. J.</w:t>
            </w:r>
          </w:p>
        </w:tc>
        <w:tc>
          <w:tcPr>
            <w:tcW w:w="577" w:type="pct"/>
            <w:shd w:val="clear" w:color="auto" w:fill="auto"/>
            <w:vAlign w:val="center"/>
            <w:hideMark/>
          </w:tcPr>
          <w:p w14:paraId="0E6726F2"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ANZ Journal of Surgery</w:t>
            </w:r>
          </w:p>
        </w:tc>
        <w:tc>
          <w:tcPr>
            <w:tcW w:w="801" w:type="pct"/>
            <w:shd w:val="clear" w:color="auto" w:fill="auto"/>
            <w:vAlign w:val="center"/>
            <w:hideMark/>
          </w:tcPr>
          <w:p w14:paraId="264DD161"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http://dx.doi.org/10.1111/j.1445-2197.2012.06124.x</w:t>
            </w:r>
          </w:p>
        </w:tc>
      </w:tr>
      <w:tr w:rsidR="008F7B90" w:rsidRPr="006721CC" w14:paraId="140B5992" w14:textId="77777777" w:rsidTr="00756179">
        <w:trPr>
          <w:trHeight w:val="20"/>
        </w:trPr>
        <w:tc>
          <w:tcPr>
            <w:tcW w:w="1890" w:type="pct"/>
            <w:shd w:val="clear" w:color="auto" w:fill="auto"/>
            <w:vAlign w:val="center"/>
            <w:hideMark/>
          </w:tcPr>
          <w:p w14:paraId="13444C61" w14:textId="00301224"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The presence of pepsin in the lung and its relationship to pathologic gastro-esophageal reflux</w:t>
            </w:r>
          </w:p>
        </w:tc>
        <w:tc>
          <w:tcPr>
            <w:tcW w:w="321" w:type="pct"/>
            <w:shd w:val="clear" w:color="auto" w:fill="auto"/>
            <w:vAlign w:val="center"/>
            <w:hideMark/>
          </w:tcPr>
          <w:p w14:paraId="3E32F39D"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2012</w:t>
            </w:r>
          </w:p>
        </w:tc>
        <w:tc>
          <w:tcPr>
            <w:tcW w:w="1411" w:type="pct"/>
            <w:shd w:val="clear" w:color="auto" w:fill="auto"/>
            <w:vAlign w:val="center"/>
            <w:hideMark/>
          </w:tcPr>
          <w:p w14:paraId="43B8A7B9"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Rosen, R., Johnston, N., Hart, K., Khatwa, U. and Nurko, S.</w:t>
            </w:r>
          </w:p>
        </w:tc>
        <w:tc>
          <w:tcPr>
            <w:tcW w:w="577" w:type="pct"/>
            <w:shd w:val="clear" w:color="auto" w:fill="auto"/>
            <w:vAlign w:val="center"/>
            <w:hideMark/>
          </w:tcPr>
          <w:p w14:paraId="1E074E4F"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Neurogastroenterology and Motility</w:t>
            </w:r>
          </w:p>
        </w:tc>
        <w:tc>
          <w:tcPr>
            <w:tcW w:w="801" w:type="pct"/>
            <w:shd w:val="clear" w:color="auto" w:fill="auto"/>
            <w:vAlign w:val="center"/>
            <w:hideMark/>
          </w:tcPr>
          <w:p w14:paraId="1953E7F8"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http://dx.doi.org/10.1111/j.1365-2982.2011.01826.x</w:t>
            </w:r>
          </w:p>
        </w:tc>
      </w:tr>
      <w:tr w:rsidR="008F7B90" w:rsidRPr="006721CC" w14:paraId="2B87C9DA" w14:textId="2A3DC5C9" w:rsidTr="00756179">
        <w:trPr>
          <w:trHeight w:val="20"/>
        </w:trPr>
        <w:tc>
          <w:tcPr>
            <w:tcW w:w="1890" w:type="pct"/>
            <w:shd w:val="clear" w:color="auto" w:fill="auto"/>
            <w:vAlign w:val="center"/>
            <w:hideMark/>
          </w:tcPr>
          <w:p w14:paraId="1277ECD1" w14:textId="0EA2320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lastRenderedPageBreak/>
              <w:t>Rapid salivary pepsin test: Blinded assessment of test performance in gastroesophageal reflux disease</w:t>
            </w:r>
          </w:p>
        </w:tc>
        <w:tc>
          <w:tcPr>
            <w:tcW w:w="321" w:type="pct"/>
            <w:shd w:val="clear" w:color="auto" w:fill="auto"/>
            <w:vAlign w:val="center"/>
            <w:hideMark/>
          </w:tcPr>
          <w:p w14:paraId="1DC4B8F0" w14:textId="069E3329"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2012</w:t>
            </w:r>
          </w:p>
        </w:tc>
        <w:tc>
          <w:tcPr>
            <w:tcW w:w="1411" w:type="pct"/>
            <w:shd w:val="clear" w:color="auto" w:fill="auto"/>
            <w:vAlign w:val="center"/>
            <w:hideMark/>
          </w:tcPr>
          <w:p w14:paraId="1EF78CB5" w14:textId="57E2B22D"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Saritas Yuksel, E., Hong, S. K. S., Strugala, V., Slaughter, J. C., Goutte, M., Garrett, C. G., Dettmar, P. W. and Vaezi, M. F.</w:t>
            </w:r>
          </w:p>
        </w:tc>
        <w:tc>
          <w:tcPr>
            <w:tcW w:w="577" w:type="pct"/>
            <w:shd w:val="clear" w:color="auto" w:fill="auto"/>
            <w:vAlign w:val="center"/>
            <w:hideMark/>
          </w:tcPr>
          <w:p w14:paraId="19DDB41A" w14:textId="0A546D22"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Laryngoscope</w:t>
            </w:r>
          </w:p>
        </w:tc>
        <w:tc>
          <w:tcPr>
            <w:tcW w:w="801" w:type="pct"/>
            <w:shd w:val="clear" w:color="auto" w:fill="auto"/>
            <w:vAlign w:val="center"/>
            <w:hideMark/>
          </w:tcPr>
          <w:p w14:paraId="695313B2" w14:textId="594E41C3"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http://dx.doi.org/10.1002/lary.23252</w:t>
            </w:r>
          </w:p>
        </w:tc>
      </w:tr>
      <w:tr w:rsidR="008F7B90" w:rsidRPr="006721CC" w14:paraId="1B15B259" w14:textId="77777777" w:rsidTr="00756179">
        <w:trPr>
          <w:trHeight w:val="20"/>
        </w:trPr>
        <w:tc>
          <w:tcPr>
            <w:tcW w:w="1890" w:type="pct"/>
            <w:shd w:val="clear" w:color="auto" w:fill="auto"/>
            <w:vAlign w:val="center"/>
            <w:hideMark/>
          </w:tcPr>
          <w:p w14:paraId="13577F8C" w14:textId="291157D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Influence of genetics on tumoral pathologies: The example of the adenocarcinoma arising in barrett's esophagus</w:t>
            </w:r>
          </w:p>
        </w:tc>
        <w:tc>
          <w:tcPr>
            <w:tcW w:w="321" w:type="pct"/>
            <w:shd w:val="clear" w:color="auto" w:fill="auto"/>
            <w:vAlign w:val="center"/>
            <w:hideMark/>
          </w:tcPr>
          <w:p w14:paraId="1EC4DF0D"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2012</w:t>
            </w:r>
          </w:p>
        </w:tc>
        <w:tc>
          <w:tcPr>
            <w:tcW w:w="1411" w:type="pct"/>
            <w:shd w:val="clear" w:color="auto" w:fill="auto"/>
            <w:vAlign w:val="center"/>
            <w:hideMark/>
          </w:tcPr>
          <w:p w14:paraId="01ADAA40"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Villanacci, V., Bassotti, G., Salemme, M. and Rossi, E.</w:t>
            </w:r>
          </w:p>
        </w:tc>
        <w:tc>
          <w:tcPr>
            <w:tcW w:w="577" w:type="pct"/>
            <w:shd w:val="clear" w:color="auto" w:fill="auto"/>
            <w:vAlign w:val="center"/>
            <w:hideMark/>
          </w:tcPr>
          <w:p w14:paraId="7E691963"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Revista Espanola de Enfermedades Digestivas</w:t>
            </w:r>
          </w:p>
        </w:tc>
        <w:tc>
          <w:tcPr>
            <w:tcW w:w="801" w:type="pct"/>
            <w:shd w:val="clear" w:color="auto" w:fill="auto"/>
            <w:vAlign w:val="center"/>
            <w:hideMark/>
          </w:tcPr>
          <w:p w14:paraId="20FFD764"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http://dx.doi.org/10.4321/s1130-01082012001100007</w:t>
            </w:r>
          </w:p>
        </w:tc>
      </w:tr>
      <w:tr w:rsidR="008F7B90" w:rsidRPr="006721CC" w14:paraId="28381291" w14:textId="77777777" w:rsidTr="00756179">
        <w:trPr>
          <w:trHeight w:val="20"/>
        </w:trPr>
        <w:tc>
          <w:tcPr>
            <w:tcW w:w="1890" w:type="pct"/>
            <w:shd w:val="clear" w:color="auto" w:fill="auto"/>
            <w:vAlign w:val="center"/>
            <w:hideMark/>
          </w:tcPr>
          <w:p w14:paraId="2A67AEA4" w14:textId="1D08F2F4"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Current hurdles in the management of eosinophilic oesophagitis: The next steps</w:t>
            </w:r>
          </w:p>
        </w:tc>
        <w:tc>
          <w:tcPr>
            <w:tcW w:w="321" w:type="pct"/>
            <w:shd w:val="clear" w:color="auto" w:fill="auto"/>
            <w:vAlign w:val="center"/>
            <w:hideMark/>
          </w:tcPr>
          <w:p w14:paraId="66A386CB"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2013</w:t>
            </w:r>
          </w:p>
        </w:tc>
        <w:tc>
          <w:tcPr>
            <w:tcW w:w="1411" w:type="pct"/>
            <w:shd w:val="clear" w:color="auto" w:fill="auto"/>
            <w:vAlign w:val="center"/>
            <w:hideMark/>
          </w:tcPr>
          <w:p w14:paraId="2A7702F2"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Attwood, S. E. A. and Wilson, M. S. J.</w:t>
            </w:r>
          </w:p>
        </w:tc>
        <w:tc>
          <w:tcPr>
            <w:tcW w:w="577" w:type="pct"/>
            <w:shd w:val="clear" w:color="auto" w:fill="auto"/>
            <w:vAlign w:val="center"/>
            <w:hideMark/>
          </w:tcPr>
          <w:p w14:paraId="32B8D8A7"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World Journal of Gastroenterology</w:t>
            </w:r>
          </w:p>
        </w:tc>
        <w:tc>
          <w:tcPr>
            <w:tcW w:w="801" w:type="pct"/>
            <w:shd w:val="clear" w:color="auto" w:fill="auto"/>
            <w:vAlign w:val="center"/>
            <w:hideMark/>
          </w:tcPr>
          <w:p w14:paraId="785C573B"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https://dx.doi.org/10.3748/wjg.v19.i6.790</w:t>
            </w:r>
          </w:p>
        </w:tc>
      </w:tr>
      <w:tr w:rsidR="008F7B90" w:rsidRPr="006721CC" w14:paraId="500A0176" w14:textId="77777777" w:rsidTr="00756179">
        <w:trPr>
          <w:trHeight w:val="20"/>
        </w:trPr>
        <w:tc>
          <w:tcPr>
            <w:tcW w:w="1890" w:type="pct"/>
            <w:shd w:val="clear" w:color="auto" w:fill="auto"/>
            <w:vAlign w:val="center"/>
            <w:hideMark/>
          </w:tcPr>
          <w:p w14:paraId="0A2CFB74" w14:textId="44C9D803"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Barrett's esophagus in 2012: Updates in pathogenesis, treatment, and surveillance</w:t>
            </w:r>
          </w:p>
        </w:tc>
        <w:tc>
          <w:tcPr>
            <w:tcW w:w="321" w:type="pct"/>
            <w:shd w:val="clear" w:color="auto" w:fill="auto"/>
            <w:vAlign w:val="center"/>
            <w:hideMark/>
          </w:tcPr>
          <w:p w14:paraId="7AB73C25"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2013</w:t>
            </w:r>
          </w:p>
        </w:tc>
        <w:tc>
          <w:tcPr>
            <w:tcW w:w="1411" w:type="pct"/>
            <w:shd w:val="clear" w:color="auto" w:fill="auto"/>
            <w:vAlign w:val="center"/>
            <w:hideMark/>
          </w:tcPr>
          <w:p w14:paraId="628B61AF"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Chandra, S., Gorospe, E. C., Leggett, C. L. and Wang, K. K.</w:t>
            </w:r>
          </w:p>
        </w:tc>
        <w:tc>
          <w:tcPr>
            <w:tcW w:w="577" w:type="pct"/>
            <w:shd w:val="clear" w:color="auto" w:fill="auto"/>
            <w:vAlign w:val="center"/>
            <w:hideMark/>
          </w:tcPr>
          <w:p w14:paraId="182F555C"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Current Gastroenterology Reports</w:t>
            </w:r>
          </w:p>
        </w:tc>
        <w:tc>
          <w:tcPr>
            <w:tcW w:w="801" w:type="pct"/>
            <w:shd w:val="clear" w:color="auto" w:fill="auto"/>
            <w:vAlign w:val="center"/>
            <w:hideMark/>
          </w:tcPr>
          <w:p w14:paraId="6AEA7BA4"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http://dx.doi.org/10.1007/s11894-013-0322-8</w:t>
            </w:r>
          </w:p>
        </w:tc>
      </w:tr>
      <w:tr w:rsidR="008F7B90" w:rsidRPr="006721CC" w14:paraId="4009D07D" w14:textId="77777777" w:rsidTr="00756179">
        <w:trPr>
          <w:trHeight w:val="20"/>
        </w:trPr>
        <w:tc>
          <w:tcPr>
            <w:tcW w:w="1890" w:type="pct"/>
            <w:shd w:val="clear" w:color="auto" w:fill="auto"/>
            <w:vAlign w:val="center"/>
            <w:hideMark/>
          </w:tcPr>
          <w:p w14:paraId="2AE6E8DB" w14:textId="19171AED"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Immunoreactivity of p53 and Ki-67 for dysplastic changes in children with eosinophilic esophagitis</w:t>
            </w:r>
          </w:p>
        </w:tc>
        <w:tc>
          <w:tcPr>
            <w:tcW w:w="321" w:type="pct"/>
            <w:shd w:val="clear" w:color="auto" w:fill="auto"/>
            <w:vAlign w:val="center"/>
            <w:hideMark/>
          </w:tcPr>
          <w:p w14:paraId="777FDCFE"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2013</w:t>
            </w:r>
          </w:p>
        </w:tc>
        <w:tc>
          <w:tcPr>
            <w:tcW w:w="1411" w:type="pct"/>
            <w:shd w:val="clear" w:color="auto" w:fill="auto"/>
            <w:vAlign w:val="center"/>
            <w:hideMark/>
          </w:tcPr>
          <w:p w14:paraId="7F4DE864"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Denning, K. L., Al-Subu, A. and Elitsur, Y.</w:t>
            </w:r>
          </w:p>
        </w:tc>
        <w:tc>
          <w:tcPr>
            <w:tcW w:w="577" w:type="pct"/>
            <w:shd w:val="clear" w:color="auto" w:fill="auto"/>
            <w:vAlign w:val="center"/>
            <w:hideMark/>
          </w:tcPr>
          <w:p w14:paraId="6AD948B9"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Pediatric and Developmental Pathology</w:t>
            </w:r>
          </w:p>
        </w:tc>
        <w:tc>
          <w:tcPr>
            <w:tcW w:w="801" w:type="pct"/>
            <w:shd w:val="clear" w:color="auto" w:fill="auto"/>
            <w:vAlign w:val="center"/>
            <w:hideMark/>
          </w:tcPr>
          <w:p w14:paraId="2CC7DFEA"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http://dx.doi.org/10.2350/13-03-1306-OA.1</w:t>
            </w:r>
          </w:p>
        </w:tc>
      </w:tr>
      <w:tr w:rsidR="008F7B90" w:rsidRPr="006721CC" w14:paraId="46E8A130" w14:textId="77777777" w:rsidTr="00756179">
        <w:trPr>
          <w:trHeight w:val="20"/>
        </w:trPr>
        <w:tc>
          <w:tcPr>
            <w:tcW w:w="1890" w:type="pct"/>
            <w:shd w:val="clear" w:color="auto" w:fill="auto"/>
            <w:vAlign w:val="center"/>
            <w:hideMark/>
          </w:tcPr>
          <w:p w14:paraId="5390113E" w14:textId="4D486580"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Research advances in esophageal diseases: Bench to bedside</w:t>
            </w:r>
          </w:p>
        </w:tc>
        <w:tc>
          <w:tcPr>
            <w:tcW w:w="321" w:type="pct"/>
            <w:shd w:val="clear" w:color="auto" w:fill="auto"/>
            <w:vAlign w:val="center"/>
            <w:hideMark/>
          </w:tcPr>
          <w:p w14:paraId="58F25C73"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2013</w:t>
            </w:r>
          </w:p>
        </w:tc>
        <w:tc>
          <w:tcPr>
            <w:tcW w:w="1411" w:type="pct"/>
            <w:shd w:val="clear" w:color="auto" w:fill="auto"/>
            <w:vAlign w:val="center"/>
            <w:hideMark/>
          </w:tcPr>
          <w:p w14:paraId="64D19B51"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Di Pietro, M. and Fitzgerald, R. C.</w:t>
            </w:r>
          </w:p>
        </w:tc>
        <w:tc>
          <w:tcPr>
            <w:tcW w:w="577" w:type="pct"/>
            <w:shd w:val="clear" w:color="auto" w:fill="auto"/>
            <w:vAlign w:val="center"/>
            <w:hideMark/>
          </w:tcPr>
          <w:p w14:paraId="58404FB6"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F1000Prime Reports</w:t>
            </w:r>
          </w:p>
        </w:tc>
        <w:tc>
          <w:tcPr>
            <w:tcW w:w="801" w:type="pct"/>
            <w:shd w:val="clear" w:color="auto" w:fill="auto"/>
            <w:vAlign w:val="center"/>
            <w:hideMark/>
          </w:tcPr>
          <w:p w14:paraId="363ED86D"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http://dx.doi.org/10.12703/P5-44</w:t>
            </w:r>
          </w:p>
        </w:tc>
      </w:tr>
      <w:tr w:rsidR="008F7B90" w:rsidRPr="006721CC" w14:paraId="2C412437" w14:textId="77777777" w:rsidTr="00756179">
        <w:trPr>
          <w:trHeight w:val="20"/>
        </w:trPr>
        <w:tc>
          <w:tcPr>
            <w:tcW w:w="1890" w:type="pct"/>
            <w:shd w:val="clear" w:color="auto" w:fill="auto"/>
            <w:vAlign w:val="center"/>
            <w:hideMark/>
          </w:tcPr>
          <w:p w14:paraId="657C85BA" w14:textId="35A7E9FF"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The oesophageal string test: A novel, minimally invasive method measures mucosal inflammation in eosinophilic oesophagitis</w:t>
            </w:r>
          </w:p>
        </w:tc>
        <w:tc>
          <w:tcPr>
            <w:tcW w:w="321" w:type="pct"/>
            <w:shd w:val="clear" w:color="auto" w:fill="auto"/>
            <w:vAlign w:val="center"/>
            <w:hideMark/>
          </w:tcPr>
          <w:p w14:paraId="752321DC"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2013</w:t>
            </w:r>
          </w:p>
        </w:tc>
        <w:tc>
          <w:tcPr>
            <w:tcW w:w="1411" w:type="pct"/>
            <w:shd w:val="clear" w:color="auto" w:fill="auto"/>
            <w:vAlign w:val="center"/>
            <w:hideMark/>
          </w:tcPr>
          <w:p w14:paraId="5FD6E756"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Furuta, G. T., Kagalwalla, A. F., Lee, J. J., Alumkal, P., Maybruck, B. T., Fillon, S., Masterson, J. C., Ochkur, S., Protheroe, C., Moore, W., Pan, Z., Amsden, K., Robinson, Z., Capocelli, K., Mukkada, V., Atkins, D., Fleischer, D., Hosford, L., Kwatia, M. A., Schroeder, S., Kelly, C., Lovell, M., Melin-Aldana, H. and Ackerman, S. J.</w:t>
            </w:r>
          </w:p>
        </w:tc>
        <w:tc>
          <w:tcPr>
            <w:tcW w:w="577" w:type="pct"/>
            <w:shd w:val="clear" w:color="auto" w:fill="auto"/>
            <w:vAlign w:val="center"/>
            <w:hideMark/>
          </w:tcPr>
          <w:p w14:paraId="5275B62B"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Gut</w:t>
            </w:r>
          </w:p>
        </w:tc>
        <w:tc>
          <w:tcPr>
            <w:tcW w:w="801" w:type="pct"/>
            <w:shd w:val="clear" w:color="auto" w:fill="auto"/>
            <w:vAlign w:val="center"/>
            <w:hideMark/>
          </w:tcPr>
          <w:p w14:paraId="08DA66FE"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http://dx.doi.org/10.1136/gutjnl-2012-303171</w:t>
            </w:r>
          </w:p>
        </w:tc>
      </w:tr>
      <w:tr w:rsidR="008F7B90" w:rsidRPr="006721CC" w14:paraId="2757722E" w14:textId="77777777" w:rsidTr="00756179">
        <w:trPr>
          <w:trHeight w:val="20"/>
        </w:trPr>
        <w:tc>
          <w:tcPr>
            <w:tcW w:w="1890" w:type="pct"/>
            <w:shd w:val="clear" w:color="auto" w:fill="auto"/>
            <w:vAlign w:val="center"/>
            <w:hideMark/>
          </w:tcPr>
          <w:p w14:paraId="5A171EDB" w14:textId="01064E10"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Aspiration and allograft injury secondary to gastroesophageal reflux occur in the immediate post-lung transplantation period (Prospective Clinical Trial)</w:t>
            </w:r>
          </w:p>
        </w:tc>
        <w:tc>
          <w:tcPr>
            <w:tcW w:w="321" w:type="pct"/>
            <w:shd w:val="clear" w:color="auto" w:fill="auto"/>
            <w:vAlign w:val="center"/>
            <w:hideMark/>
          </w:tcPr>
          <w:p w14:paraId="44079F56"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2013</w:t>
            </w:r>
          </w:p>
        </w:tc>
        <w:tc>
          <w:tcPr>
            <w:tcW w:w="1411" w:type="pct"/>
            <w:shd w:val="clear" w:color="auto" w:fill="auto"/>
            <w:vAlign w:val="center"/>
            <w:hideMark/>
          </w:tcPr>
          <w:p w14:paraId="73786FAB"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Griffin, S. M., Robertson, A. G. N., Bredenoord, A. J., Brownlee, I. A., Stovold, R., Brodlie, M., Forrest, I., Dark, J. H., Pearson, J. P. and Ward, C.</w:t>
            </w:r>
          </w:p>
        </w:tc>
        <w:tc>
          <w:tcPr>
            <w:tcW w:w="577" w:type="pct"/>
            <w:shd w:val="clear" w:color="auto" w:fill="auto"/>
            <w:vAlign w:val="center"/>
            <w:hideMark/>
          </w:tcPr>
          <w:p w14:paraId="6E60F39F"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Annals of Surgery</w:t>
            </w:r>
          </w:p>
        </w:tc>
        <w:tc>
          <w:tcPr>
            <w:tcW w:w="801" w:type="pct"/>
            <w:shd w:val="clear" w:color="auto" w:fill="auto"/>
            <w:vAlign w:val="center"/>
            <w:hideMark/>
          </w:tcPr>
          <w:p w14:paraId="186F0862"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http://dx.doi.org/10.1097/SLA.0b013e3182a6589b</w:t>
            </w:r>
          </w:p>
        </w:tc>
      </w:tr>
      <w:tr w:rsidR="008F7B90" w:rsidRPr="006721CC" w14:paraId="61ECDC61" w14:textId="77777777" w:rsidTr="00756179">
        <w:trPr>
          <w:trHeight w:val="20"/>
        </w:trPr>
        <w:tc>
          <w:tcPr>
            <w:tcW w:w="1890" w:type="pct"/>
            <w:shd w:val="clear" w:color="auto" w:fill="auto"/>
            <w:vAlign w:val="center"/>
            <w:hideMark/>
          </w:tcPr>
          <w:p w14:paraId="60C41FC8" w14:textId="563D6B42"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Urease and Helicobacter spp. Antigens in Pulmonary Granuloma</w:t>
            </w:r>
          </w:p>
        </w:tc>
        <w:tc>
          <w:tcPr>
            <w:tcW w:w="321" w:type="pct"/>
            <w:shd w:val="clear" w:color="auto" w:fill="auto"/>
            <w:vAlign w:val="center"/>
            <w:hideMark/>
          </w:tcPr>
          <w:p w14:paraId="5F042A06"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2013</w:t>
            </w:r>
          </w:p>
        </w:tc>
        <w:tc>
          <w:tcPr>
            <w:tcW w:w="1411" w:type="pct"/>
            <w:shd w:val="clear" w:color="auto" w:fill="auto"/>
            <w:vAlign w:val="center"/>
            <w:hideMark/>
          </w:tcPr>
          <w:p w14:paraId="3DCD1760"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Herndon, B., Quinn, T., Wasson, N., Nzabi, M. and Molteni, A.</w:t>
            </w:r>
          </w:p>
        </w:tc>
        <w:tc>
          <w:tcPr>
            <w:tcW w:w="577" w:type="pct"/>
            <w:shd w:val="clear" w:color="auto" w:fill="auto"/>
            <w:vAlign w:val="center"/>
            <w:hideMark/>
          </w:tcPr>
          <w:p w14:paraId="000686A2"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Journal of Comparative Pathology</w:t>
            </w:r>
          </w:p>
        </w:tc>
        <w:tc>
          <w:tcPr>
            <w:tcW w:w="801" w:type="pct"/>
            <w:shd w:val="clear" w:color="auto" w:fill="auto"/>
            <w:vAlign w:val="center"/>
            <w:hideMark/>
          </w:tcPr>
          <w:p w14:paraId="1567B6A4"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http://dx.doi.org/10.1016/j.jcpa.2012.06.011</w:t>
            </w:r>
          </w:p>
        </w:tc>
      </w:tr>
      <w:tr w:rsidR="008F7B90" w:rsidRPr="006721CC" w14:paraId="41EA7EA7" w14:textId="77777777" w:rsidTr="00756179">
        <w:trPr>
          <w:trHeight w:val="20"/>
        </w:trPr>
        <w:tc>
          <w:tcPr>
            <w:tcW w:w="1890" w:type="pct"/>
            <w:shd w:val="clear" w:color="auto" w:fill="auto"/>
            <w:vAlign w:val="center"/>
            <w:hideMark/>
          </w:tcPr>
          <w:p w14:paraId="56CF615C" w14:textId="3A077DCF"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Markers of antigen presentation and activation on eosinophils and T cells in the esophageal tissue of patients with eosinophilic esophagitis</w:t>
            </w:r>
          </w:p>
        </w:tc>
        <w:tc>
          <w:tcPr>
            <w:tcW w:w="321" w:type="pct"/>
            <w:shd w:val="clear" w:color="auto" w:fill="auto"/>
            <w:vAlign w:val="center"/>
            <w:hideMark/>
          </w:tcPr>
          <w:p w14:paraId="6CD6E461"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2013</w:t>
            </w:r>
          </w:p>
        </w:tc>
        <w:tc>
          <w:tcPr>
            <w:tcW w:w="1411" w:type="pct"/>
            <w:shd w:val="clear" w:color="auto" w:fill="auto"/>
            <w:vAlign w:val="center"/>
            <w:hideMark/>
          </w:tcPr>
          <w:p w14:paraId="0B0454E7"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Le-Carlson, M., Seki, S., Abarbanel, D., Quiros, A., Cox, K. and Nadeau, K. C.</w:t>
            </w:r>
          </w:p>
        </w:tc>
        <w:tc>
          <w:tcPr>
            <w:tcW w:w="577" w:type="pct"/>
            <w:shd w:val="clear" w:color="auto" w:fill="auto"/>
            <w:vAlign w:val="center"/>
            <w:hideMark/>
          </w:tcPr>
          <w:p w14:paraId="4039D88A"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Journal of Pediatric Gastroenterology and Nutrition</w:t>
            </w:r>
          </w:p>
        </w:tc>
        <w:tc>
          <w:tcPr>
            <w:tcW w:w="801" w:type="pct"/>
            <w:shd w:val="clear" w:color="auto" w:fill="auto"/>
            <w:vAlign w:val="center"/>
            <w:hideMark/>
          </w:tcPr>
          <w:p w14:paraId="06350FEF"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http://dx.doi.org/10.1097/MPG.0b013e3182758d49</w:t>
            </w:r>
          </w:p>
        </w:tc>
      </w:tr>
      <w:tr w:rsidR="008F7B90" w:rsidRPr="006721CC" w14:paraId="4B530A14" w14:textId="77777777" w:rsidTr="00756179">
        <w:trPr>
          <w:trHeight w:val="20"/>
        </w:trPr>
        <w:tc>
          <w:tcPr>
            <w:tcW w:w="1890" w:type="pct"/>
            <w:shd w:val="clear" w:color="auto" w:fill="auto"/>
            <w:vAlign w:val="center"/>
            <w:hideMark/>
          </w:tcPr>
          <w:p w14:paraId="5C09A9A7" w14:textId="552331BF"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Gastroesophageal reflux and metabolic syndrome</w:t>
            </w:r>
          </w:p>
        </w:tc>
        <w:tc>
          <w:tcPr>
            <w:tcW w:w="321" w:type="pct"/>
            <w:shd w:val="clear" w:color="auto" w:fill="auto"/>
            <w:vAlign w:val="center"/>
            <w:hideMark/>
          </w:tcPr>
          <w:p w14:paraId="79BE5577"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2013</w:t>
            </w:r>
          </w:p>
        </w:tc>
        <w:tc>
          <w:tcPr>
            <w:tcW w:w="1411" w:type="pct"/>
            <w:shd w:val="clear" w:color="auto" w:fill="auto"/>
            <w:vAlign w:val="center"/>
            <w:hideMark/>
          </w:tcPr>
          <w:p w14:paraId="15E1A25B"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Mocanu, M. A., Diculescu, M. and Dumitrescu, M.</w:t>
            </w:r>
          </w:p>
        </w:tc>
        <w:tc>
          <w:tcPr>
            <w:tcW w:w="577" w:type="pct"/>
            <w:shd w:val="clear" w:color="auto" w:fill="auto"/>
            <w:vAlign w:val="center"/>
            <w:hideMark/>
          </w:tcPr>
          <w:p w14:paraId="0C1E34BC"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Revista medico-chirurgicala a Societatii de Medici si Naturalisti din Iasi</w:t>
            </w:r>
          </w:p>
        </w:tc>
        <w:tc>
          <w:tcPr>
            <w:tcW w:w="801" w:type="pct"/>
            <w:shd w:val="clear" w:color="auto" w:fill="auto"/>
            <w:vAlign w:val="center"/>
            <w:hideMark/>
          </w:tcPr>
          <w:p w14:paraId="7DD9C232" w14:textId="77777777" w:rsidR="008F7B90" w:rsidRPr="008F7B90" w:rsidRDefault="008F7B90" w:rsidP="00756179">
            <w:pPr>
              <w:spacing w:line="220" w:lineRule="exact"/>
              <w:rPr>
                <w:rFonts w:ascii="Arial" w:hAnsi="Arial" w:cs="Arial"/>
                <w:color w:val="000000"/>
                <w:sz w:val="16"/>
                <w:szCs w:val="16"/>
              </w:rPr>
            </w:pPr>
          </w:p>
        </w:tc>
      </w:tr>
      <w:tr w:rsidR="008F7B90" w:rsidRPr="006721CC" w14:paraId="469A51C8" w14:textId="77777777" w:rsidTr="00756179">
        <w:trPr>
          <w:trHeight w:val="20"/>
        </w:trPr>
        <w:tc>
          <w:tcPr>
            <w:tcW w:w="1890" w:type="pct"/>
            <w:shd w:val="clear" w:color="auto" w:fill="auto"/>
            <w:vAlign w:val="center"/>
            <w:hideMark/>
          </w:tcPr>
          <w:p w14:paraId="4BB68C7D" w14:textId="05973D7A"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Reflux-Associated Oxygen Desaturations: Usefulness in Diagnosing Reflux-Related Respiratory Symptoms</w:t>
            </w:r>
          </w:p>
        </w:tc>
        <w:tc>
          <w:tcPr>
            <w:tcW w:w="321" w:type="pct"/>
            <w:shd w:val="clear" w:color="auto" w:fill="auto"/>
            <w:vAlign w:val="center"/>
            <w:hideMark/>
          </w:tcPr>
          <w:p w14:paraId="35386E7A"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2013</w:t>
            </w:r>
          </w:p>
        </w:tc>
        <w:tc>
          <w:tcPr>
            <w:tcW w:w="1411" w:type="pct"/>
            <w:shd w:val="clear" w:color="auto" w:fill="auto"/>
            <w:vAlign w:val="center"/>
            <w:hideMark/>
          </w:tcPr>
          <w:p w14:paraId="50F31AB5"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Wilshire, C. L., Salvador, R., Sepesi, B., Niebisch, S., Watson, T. J., Litle, V. R., Peyre, C. G., Jones, C. E. and Peters, J. H.</w:t>
            </w:r>
          </w:p>
        </w:tc>
        <w:tc>
          <w:tcPr>
            <w:tcW w:w="577" w:type="pct"/>
            <w:shd w:val="clear" w:color="auto" w:fill="auto"/>
            <w:vAlign w:val="center"/>
            <w:hideMark/>
          </w:tcPr>
          <w:p w14:paraId="19546A2C"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Journal of Gastrointestinal Surgery</w:t>
            </w:r>
          </w:p>
        </w:tc>
        <w:tc>
          <w:tcPr>
            <w:tcW w:w="801" w:type="pct"/>
            <w:shd w:val="clear" w:color="auto" w:fill="auto"/>
            <w:vAlign w:val="center"/>
            <w:hideMark/>
          </w:tcPr>
          <w:p w14:paraId="5679DA59"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http://dx.doi.org/10.1007/s11605-012-2065-5</w:t>
            </w:r>
          </w:p>
        </w:tc>
      </w:tr>
      <w:tr w:rsidR="008F7B90" w:rsidRPr="006721CC" w14:paraId="316789FA" w14:textId="77777777" w:rsidTr="00756179">
        <w:trPr>
          <w:trHeight w:val="20"/>
        </w:trPr>
        <w:tc>
          <w:tcPr>
            <w:tcW w:w="1890" w:type="pct"/>
            <w:shd w:val="clear" w:color="auto" w:fill="auto"/>
            <w:vAlign w:val="center"/>
            <w:hideMark/>
          </w:tcPr>
          <w:p w14:paraId="29403981" w14:textId="1D5C98F3"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lastRenderedPageBreak/>
              <w:t>MicroRNA expression can be a promising strategy for the detection of barrett's esophagus: A pilot study</w:t>
            </w:r>
          </w:p>
        </w:tc>
        <w:tc>
          <w:tcPr>
            <w:tcW w:w="321" w:type="pct"/>
            <w:shd w:val="clear" w:color="auto" w:fill="auto"/>
            <w:vAlign w:val="center"/>
            <w:hideMark/>
          </w:tcPr>
          <w:p w14:paraId="1FEAC728"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2014</w:t>
            </w:r>
          </w:p>
        </w:tc>
        <w:tc>
          <w:tcPr>
            <w:tcW w:w="1411" w:type="pct"/>
            <w:shd w:val="clear" w:color="auto" w:fill="auto"/>
            <w:vAlign w:val="center"/>
            <w:hideMark/>
          </w:tcPr>
          <w:p w14:paraId="0CE71357"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Bansal, A., Hong, X., Lee, I. H., Krishnadath, K. K., Mathur, S. C., Gunewardena, S., Rastogi, A., Sharma, P. and Christenson, L. K.</w:t>
            </w:r>
          </w:p>
        </w:tc>
        <w:tc>
          <w:tcPr>
            <w:tcW w:w="577" w:type="pct"/>
            <w:shd w:val="clear" w:color="auto" w:fill="auto"/>
            <w:vAlign w:val="center"/>
            <w:hideMark/>
          </w:tcPr>
          <w:p w14:paraId="17DDA0DD"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Clinical and Translational Gastroenterology</w:t>
            </w:r>
          </w:p>
        </w:tc>
        <w:tc>
          <w:tcPr>
            <w:tcW w:w="801" w:type="pct"/>
            <w:shd w:val="clear" w:color="auto" w:fill="auto"/>
            <w:vAlign w:val="center"/>
            <w:hideMark/>
          </w:tcPr>
          <w:p w14:paraId="2C70F0DD"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http://dx.doi.org/10.1038/ctg.2014.17</w:t>
            </w:r>
          </w:p>
        </w:tc>
      </w:tr>
      <w:tr w:rsidR="008F7B90" w:rsidRPr="006721CC" w14:paraId="0544E099" w14:textId="77777777" w:rsidTr="00756179">
        <w:trPr>
          <w:trHeight w:val="20"/>
        </w:trPr>
        <w:tc>
          <w:tcPr>
            <w:tcW w:w="1890" w:type="pct"/>
            <w:shd w:val="clear" w:color="auto" w:fill="auto"/>
            <w:vAlign w:val="center"/>
            <w:hideMark/>
          </w:tcPr>
          <w:p w14:paraId="6C250B77" w14:textId="17F881C3"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Immunohistochemistry for CDX2 expression in non-goblet-cell Barrett's oesophagus</w:t>
            </w:r>
          </w:p>
        </w:tc>
        <w:tc>
          <w:tcPr>
            <w:tcW w:w="321" w:type="pct"/>
            <w:shd w:val="clear" w:color="auto" w:fill="auto"/>
            <w:vAlign w:val="center"/>
            <w:hideMark/>
          </w:tcPr>
          <w:p w14:paraId="6435D7A7"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2014</w:t>
            </w:r>
          </w:p>
        </w:tc>
        <w:tc>
          <w:tcPr>
            <w:tcW w:w="1411" w:type="pct"/>
            <w:shd w:val="clear" w:color="auto" w:fill="auto"/>
            <w:vAlign w:val="center"/>
            <w:hideMark/>
          </w:tcPr>
          <w:p w14:paraId="009F1297"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Behan, M., Gledhill, A. and Hayes, S.</w:t>
            </w:r>
          </w:p>
        </w:tc>
        <w:tc>
          <w:tcPr>
            <w:tcW w:w="577" w:type="pct"/>
            <w:shd w:val="clear" w:color="auto" w:fill="auto"/>
            <w:vAlign w:val="center"/>
            <w:hideMark/>
          </w:tcPr>
          <w:p w14:paraId="7198D410"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British journal of biomedical science</w:t>
            </w:r>
          </w:p>
        </w:tc>
        <w:tc>
          <w:tcPr>
            <w:tcW w:w="801" w:type="pct"/>
            <w:shd w:val="clear" w:color="auto" w:fill="auto"/>
            <w:vAlign w:val="center"/>
            <w:hideMark/>
          </w:tcPr>
          <w:p w14:paraId="0F0C6646" w14:textId="77777777" w:rsidR="008F7B90" w:rsidRPr="008F7B90" w:rsidRDefault="008F7B90" w:rsidP="00756179">
            <w:pPr>
              <w:spacing w:line="220" w:lineRule="exact"/>
              <w:rPr>
                <w:rFonts w:ascii="Arial" w:hAnsi="Arial" w:cs="Arial"/>
                <w:color w:val="000000"/>
                <w:sz w:val="16"/>
                <w:szCs w:val="16"/>
              </w:rPr>
            </w:pPr>
          </w:p>
        </w:tc>
      </w:tr>
      <w:tr w:rsidR="008F7B90" w:rsidRPr="006721CC" w14:paraId="7275AAB3" w14:textId="77777777" w:rsidTr="00756179">
        <w:trPr>
          <w:trHeight w:val="20"/>
        </w:trPr>
        <w:tc>
          <w:tcPr>
            <w:tcW w:w="1890" w:type="pct"/>
            <w:shd w:val="clear" w:color="auto" w:fill="auto"/>
            <w:vAlign w:val="center"/>
            <w:hideMark/>
          </w:tcPr>
          <w:p w14:paraId="3E68F705" w14:textId="3D597BB5"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Pharmacologic treatments for esophageal disorders</w:t>
            </w:r>
          </w:p>
        </w:tc>
        <w:tc>
          <w:tcPr>
            <w:tcW w:w="321" w:type="pct"/>
            <w:shd w:val="clear" w:color="auto" w:fill="auto"/>
            <w:vAlign w:val="center"/>
            <w:hideMark/>
          </w:tcPr>
          <w:p w14:paraId="5BD93F73"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2014</w:t>
            </w:r>
          </w:p>
        </w:tc>
        <w:tc>
          <w:tcPr>
            <w:tcW w:w="1411" w:type="pct"/>
            <w:shd w:val="clear" w:color="auto" w:fill="auto"/>
            <w:vAlign w:val="center"/>
            <w:hideMark/>
          </w:tcPr>
          <w:p w14:paraId="3864074E"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Blackshaw, L. A., Bordin, D. S., Brock, C., Brokjaer, A., Drewes, A. M., Farmer, A. D., Krarup, A. L., Lottrup, C., Masharova, A. A., Moawad, F. J. and Olesen, A. E.</w:t>
            </w:r>
          </w:p>
        </w:tc>
        <w:tc>
          <w:tcPr>
            <w:tcW w:w="577" w:type="pct"/>
            <w:shd w:val="clear" w:color="auto" w:fill="auto"/>
            <w:vAlign w:val="center"/>
            <w:hideMark/>
          </w:tcPr>
          <w:p w14:paraId="7078FDB8"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Annals of the New York Academy of Sciences</w:t>
            </w:r>
          </w:p>
        </w:tc>
        <w:tc>
          <w:tcPr>
            <w:tcW w:w="801" w:type="pct"/>
            <w:shd w:val="clear" w:color="auto" w:fill="auto"/>
            <w:vAlign w:val="center"/>
            <w:hideMark/>
          </w:tcPr>
          <w:p w14:paraId="6CAA797F"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http://dx.doi.org/10.1111/nyas.12520</w:t>
            </w:r>
          </w:p>
        </w:tc>
      </w:tr>
      <w:tr w:rsidR="008F7B90" w:rsidRPr="006721CC" w14:paraId="39E32CAC" w14:textId="77777777" w:rsidTr="00756179">
        <w:trPr>
          <w:trHeight w:val="20"/>
        </w:trPr>
        <w:tc>
          <w:tcPr>
            <w:tcW w:w="1890" w:type="pct"/>
            <w:shd w:val="clear" w:color="auto" w:fill="auto"/>
            <w:vAlign w:val="center"/>
            <w:hideMark/>
          </w:tcPr>
          <w:p w14:paraId="2722880B" w14:textId="663711D5"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Exhaled breath concentrations of acetic acid vapour in gastro-esophageal reflux disease</w:t>
            </w:r>
          </w:p>
        </w:tc>
        <w:tc>
          <w:tcPr>
            <w:tcW w:w="321" w:type="pct"/>
            <w:shd w:val="clear" w:color="auto" w:fill="auto"/>
            <w:vAlign w:val="center"/>
            <w:hideMark/>
          </w:tcPr>
          <w:p w14:paraId="72C9E0F0"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2014</w:t>
            </w:r>
          </w:p>
        </w:tc>
        <w:tc>
          <w:tcPr>
            <w:tcW w:w="1411" w:type="pct"/>
            <w:shd w:val="clear" w:color="auto" w:fill="auto"/>
            <w:vAlign w:val="center"/>
            <w:hideMark/>
          </w:tcPr>
          <w:p w14:paraId="45C75A50"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Dryahina, K., Pospisilova, V., Sovova, K., Shestivska, V., Kubista, J., Spesyvyi, A., Pehal, F., Turzikova, J., Votruba, J. and Spanel, P.</w:t>
            </w:r>
          </w:p>
        </w:tc>
        <w:tc>
          <w:tcPr>
            <w:tcW w:w="577" w:type="pct"/>
            <w:shd w:val="clear" w:color="auto" w:fill="auto"/>
            <w:vAlign w:val="center"/>
            <w:hideMark/>
          </w:tcPr>
          <w:p w14:paraId="0BE0841C"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Journal of Breath Research</w:t>
            </w:r>
          </w:p>
        </w:tc>
        <w:tc>
          <w:tcPr>
            <w:tcW w:w="801" w:type="pct"/>
            <w:shd w:val="clear" w:color="auto" w:fill="auto"/>
            <w:vAlign w:val="center"/>
            <w:hideMark/>
          </w:tcPr>
          <w:p w14:paraId="3F38DFDE"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http://dx.doi.org/10.1088/1752-7155/8/3/037109</w:t>
            </w:r>
          </w:p>
        </w:tc>
      </w:tr>
      <w:tr w:rsidR="008F7B90" w:rsidRPr="006721CC" w14:paraId="628157AD" w14:textId="77777777" w:rsidTr="00756179">
        <w:trPr>
          <w:trHeight w:val="20"/>
        </w:trPr>
        <w:tc>
          <w:tcPr>
            <w:tcW w:w="1890" w:type="pct"/>
            <w:shd w:val="clear" w:color="auto" w:fill="auto"/>
            <w:vAlign w:val="center"/>
            <w:hideMark/>
          </w:tcPr>
          <w:p w14:paraId="5B359CD9" w14:textId="37B93C02"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Assessment of cricopharyngeal muscle aging with apoptotic markers</w:t>
            </w:r>
          </w:p>
        </w:tc>
        <w:tc>
          <w:tcPr>
            <w:tcW w:w="321" w:type="pct"/>
            <w:shd w:val="clear" w:color="auto" w:fill="auto"/>
            <w:vAlign w:val="center"/>
            <w:hideMark/>
          </w:tcPr>
          <w:p w14:paraId="32CF0CEC"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2014</w:t>
            </w:r>
          </w:p>
        </w:tc>
        <w:tc>
          <w:tcPr>
            <w:tcW w:w="1411" w:type="pct"/>
            <w:shd w:val="clear" w:color="auto" w:fill="auto"/>
            <w:vAlign w:val="center"/>
            <w:hideMark/>
          </w:tcPr>
          <w:p w14:paraId="4C2F7647"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Gor, A. P., Alkan, Z., Yigit, O., Dursun, N., Engin, A., Akin, S. M. and Sam, B.</w:t>
            </w:r>
          </w:p>
        </w:tc>
        <w:tc>
          <w:tcPr>
            <w:tcW w:w="577" w:type="pct"/>
            <w:shd w:val="clear" w:color="auto" w:fill="auto"/>
            <w:vAlign w:val="center"/>
            <w:hideMark/>
          </w:tcPr>
          <w:p w14:paraId="53D952A4"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The Journal of craniofacial surgery</w:t>
            </w:r>
          </w:p>
        </w:tc>
        <w:tc>
          <w:tcPr>
            <w:tcW w:w="801" w:type="pct"/>
            <w:shd w:val="clear" w:color="auto" w:fill="auto"/>
            <w:vAlign w:val="center"/>
            <w:hideMark/>
          </w:tcPr>
          <w:p w14:paraId="5344370B"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http://dx.doi.org/10.1097/SCS.0000000000000940</w:t>
            </w:r>
          </w:p>
        </w:tc>
      </w:tr>
      <w:tr w:rsidR="008F7B90" w:rsidRPr="006721CC" w14:paraId="2F0F403B" w14:textId="77777777" w:rsidTr="00756179">
        <w:trPr>
          <w:trHeight w:val="20"/>
        </w:trPr>
        <w:tc>
          <w:tcPr>
            <w:tcW w:w="1890" w:type="pct"/>
            <w:shd w:val="clear" w:color="auto" w:fill="auto"/>
            <w:vAlign w:val="center"/>
            <w:hideMark/>
          </w:tcPr>
          <w:p w14:paraId="170D6536" w14:textId="26526CFB"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Cost-effectiveness of endoscopic surveillance of non-dysplastic Barrett's esophagus</w:t>
            </w:r>
          </w:p>
        </w:tc>
        <w:tc>
          <w:tcPr>
            <w:tcW w:w="321" w:type="pct"/>
            <w:shd w:val="clear" w:color="auto" w:fill="auto"/>
            <w:vAlign w:val="center"/>
            <w:hideMark/>
          </w:tcPr>
          <w:p w14:paraId="77F08887"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2014</w:t>
            </w:r>
          </w:p>
        </w:tc>
        <w:tc>
          <w:tcPr>
            <w:tcW w:w="1411" w:type="pct"/>
            <w:shd w:val="clear" w:color="auto" w:fill="auto"/>
            <w:vAlign w:val="center"/>
            <w:hideMark/>
          </w:tcPr>
          <w:p w14:paraId="61B2A0EC"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Gordon, L. G., Mayne, G. C., Hirst, N. G., Bright, T., Whiteman, D. C. and Watson, D. I.</w:t>
            </w:r>
          </w:p>
        </w:tc>
        <w:tc>
          <w:tcPr>
            <w:tcW w:w="577" w:type="pct"/>
            <w:shd w:val="clear" w:color="auto" w:fill="auto"/>
            <w:vAlign w:val="center"/>
            <w:hideMark/>
          </w:tcPr>
          <w:p w14:paraId="1CD45D92"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Gastrointestinal Endoscopy</w:t>
            </w:r>
          </w:p>
        </w:tc>
        <w:tc>
          <w:tcPr>
            <w:tcW w:w="801" w:type="pct"/>
            <w:shd w:val="clear" w:color="auto" w:fill="auto"/>
            <w:vAlign w:val="center"/>
            <w:hideMark/>
          </w:tcPr>
          <w:p w14:paraId="1A1669BB"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http://dx.doi.org/10.1016/j.gie.2013.07.046</w:t>
            </w:r>
          </w:p>
        </w:tc>
      </w:tr>
      <w:tr w:rsidR="008F7B90" w:rsidRPr="006721CC" w14:paraId="0F10AD0E" w14:textId="77777777" w:rsidTr="00756179">
        <w:trPr>
          <w:trHeight w:val="20"/>
        </w:trPr>
        <w:tc>
          <w:tcPr>
            <w:tcW w:w="1890" w:type="pct"/>
            <w:shd w:val="clear" w:color="auto" w:fill="auto"/>
            <w:vAlign w:val="center"/>
            <w:hideMark/>
          </w:tcPr>
          <w:p w14:paraId="771FE49B" w14:textId="7D466CF2"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Correlation between the serum pepsinogen I level and the symptom degree in proton pump inhibitor-users administered with a probiotic</w:t>
            </w:r>
          </w:p>
        </w:tc>
        <w:tc>
          <w:tcPr>
            <w:tcW w:w="321" w:type="pct"/>
            <w:shd w:val="clear" w:color="auto" w:fill="auto"/>
            <w:vAlign w:val="center"/>
            <w:hideMark/>
          </w:tcPr>
          <w:p w14:paraId="1D9211F6"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2014</w:t>
            </w:r>
          </w:p>
        </w:tc>
        <w:tc>
          <w:tcPr>
            <w:tcW w:w="1411" w:type="pct"/>
            <w:shd w:val="clear" w:color="auto" w:fill="auto"/>
            <w:vAlign w:val="center"/>
            <w:hideMark/>
          </w:tcPr>
          <w:p w14:paraId="07C7C364"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Igarashi, M., Nagano, J., Tsuda, A., Suzuki, T., Koike, J., Uchida, T., Matsushima, M., Mine, T. and Koga, Y.</w:t>
            </w:r>
          </w:p>
        </w:tc>
        <w:tc>
          <w:tcPr>
            <w:tcW w:w="577" w:type="pct"/>
            <w:shd w:val="clear" w:color="auto" w:fill="auto"/>
            <w:vAlign w:val="center"/>
            <w:hideMark/>
          </w:tcPr>
          <w:p w14:paraId="159F8F93"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Pharmaceuticals</w:t>
            </w:r>
          </w:p>
        </w:tc>
        <w:tc>
          <w:tcPr>
            <w:tcW w:w="801" w:type="pct"/>
            <w:shd w:val="clear" w:color="auto" w:fill="auto"/>
            <w:vAlign w:val="center"/>
            <w:hideMark/>
          </w:tcPr>
          <w:p w14:paraId="2553AF61"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http://dx.doi.org/10.3390/ph7070754</w:t>
            </w:r>
          </w:p>
        </w:tc>
      </w:tr>
      <w:tr w:rsidR="008F7B90" w:rsidRPr="006721CC" w14:paraId="2D5DF238" w14:textId="77777777" w:rsidTr="00756179">
        <w:trPr>
          <w:trHeight w:val="20"/>
        </w:trPr>
        <w:tc>
          <w:tcPr>
            <w:tcW w:w="1890" w:type="pct"/>
            <w:shd w:val="clear" w:color="auto" w:fill="auto"/>
            <w:vAlign w:val="center"/>
            <w:hideMark/>
          </w:tcPr>
          <w:p w14:paraId="0DCB9DC6" w14:textId="3858449E"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Correlation of ALOX15 expression with eosinophilic or reflux esophagitis in a cohort of pediatric patients with esophageal eosinophilia</w:t>
            </w:r>
          </w:p>
        </w:tc>
        <w:tc>
          <w:tcPr>
            <w:tcW w:w="321" w:type="pct"/>
            <w:shd w:val="clear" w:color="auto" w:fill="auto"/>
            <w:vAlign w:val="center"/>
            <w:hideMark/>
          </w:tcPr>
          <w:p w14:paraId="5770646F"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2014</w:t>
            </w:r>
          </w:p>
        </w:tc>
        <w:tc>
          <w:tcPr>
            <w:tcW w:w="1411" w:type="pct"/>
            <w:shd w:val="clear" w:color="auto" w:fill="auto"/>
            <w:vAlign w:val="center"/>
            <w:hideMark/>
          </w:tcPr>
          <w:p w14:paraId="0DC9D650"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Matoso, A., Allen, D., Herzlinger, M., Ferreira, J., Chen, S., Lu, S., Fabre, V., Monahan, R., Yang, D., Noble, L., Mangray, S. and Resnick, M. B.</w:t>
            </w:r>
          </w:p>
        </w:tc>
        <w:tc>
          <w:tcPr>
            <w:tcW w:w="577" w:type="pct"/>
            <w:shd w:val="clear" w:color="auto" w:fill="auto"/>
            <w:vAlign w:val="center"/>
            <w:hideMark/>
          </w:tcPr>
          <w:p w14:paraId="132F6254"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Human Pathology</w:t>
            </w:r>
          </w:p>
        </w:tc>
        <w:tc>
          <w:tcPr>
            <w:tcW w:w="801" w:type="pct"/>
            <w:shd w:val="clear" w:color="auto" w:fill="auto"/>
            <w:vAlign w:val="center"/>
            <w:hideMark/>
          </w:tcPr>
          <w:p w14:paraId="1BDBEAE3"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http://dx.doi.org/10.1016/j.humpath.2014.01.021</w:t>
            </w:r>
          </w:p>
        </w:tc>
      </w:tr>
      <w:tr w:rsidR="008F7B90" w:rsidRPr="006721CC" w14:paraId="342AFA40" w14:textId="77777777" w:rsidTr="00756179">
        <w:trPr>
          <w:trHeight w:val="20"/>
        </w:trPr>
        <w:tc>
          <w:tcPr>
            <w:tcW w:w="1890" w:type="pct"/>
            <w:shd w:val="clear" w:color="auto" w:fill="auto"/>
            <w:vAlign w:val="center"/>
            <w:hideMark/>
          </w:tcPr>
          <w:p w14:paraId="08220904" w14:textId="04D29CC3"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A PCR blood test outperforms chromogranin A in carcinoid detection and is unaffected by proton pump inhibitors</w:t>
            </w:r>
          </w:p>
        </w:tc>
        <w:tc>
          <w:tcPr>
            <w:tcW w:w="321" w:type="pct"/>
            <w:shd w:val="clear" w:color="auto" w:fill="auto"/>
            <w:vAlign w:val="center"/>
            <w:hideMark/>
          </w:tcPr>
          <w:p w14:paraId="1CC09A8C"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2014</w:t>
            </w:r>
          </w:p>
        </w:tc>
        <w:tc>
          <w:tcPr>
            <w:tcW w:w="1411" w:type="pct"/>
            <w:shd w:val="clear" w:color="auto" w:fill="auto"/>
            <w:vAlign w:val="center"/>
            <w:hideMark/>
          </w:tcPr>
          <w:p w14:paraId="23F5BA43"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Modlin, I. M., Aslanian, H., Bodei, L., Drozdov, I. and Kidd, M.</w:t>
            </w:r>
          </w:p>
        </w:tc>
        <w:tc>
          <w:tcPr>
            <w:tcW w:w="577" w:type="pct"/>
            <w:shd w:val="clear" w:color="auto" w:fill="auto"/>
            <w:vAlign w:val="center"/>
            <w:hideMark/>
          </w:tcPr>
          <w:p w14:paraId="24F7682B"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Endocrine Connections</w:t>
            </w:r>
          </w:p>
        </w:tc>
        <w:tc>
          <w:tcPr>
            <w:tcW w:w="801" w:type="pct"/>
            <w:shd w:val="clear" w:color="auto" w:fill="auto"/>
            <w:vAlign w:val="center"/>
            <w:hideMark/>
          </w:tcPr>
          <w:p w14:paraId="42640C91"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http://dx.doi.org/10.1530/EC-14-0100</w:t>
            </w:r>
          </w:p>
        </w:tc>
      </w:tr>
      <w:tr w:rsidR="008F7B90" w:rsidRPr="006721CC" w14:paraId="08052967" w14:textId="77777777" w:rsidTr="00756179">
        <w:trPr>
          <w:trHeight w:val="20"/>
        </w:trPr>
        <w:tc>
          <w:tcPr>
            <w:tcW w:w="1890" w:type="pct"/>
            <w:shd w:val="clear" w:color="auto" w:fill="auto"/>
            <w:vAlign w:val="center"/>
            <w:hideMark/>
          </w:tcPr>
          <w:p w14:paraId="6FCF4615" w14:textId="5C18164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Sensiprobe - A miniature thermal device incorporating Peltier technology as a diagnostic tool for studying human oesophageal sensitivity</w:t>
            </w:r>
          </w:p>
        </w:tc>
        <w:tc>
          <w:tcPr>
            <w:tcW w:w="321" w:type="pct"/>
            <w:shd w:val="clear" w:color="auto" w:fill="auto"/>
            <w:vAlign w:val="center"/>
            <w:hideMark/>
          </w:tcPr>
          <w:p w14:paraId="7DC095DA"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2014</w:t>
            </w:r>
          </w:p>
        </w:tc>
        <w:tc>
          <w:tcPr>
            <w:tcW w:w="1411" w:type="pct"/>
            <w:shd w:val="clear" w:color="auto" w:fill="auto"/>
            <w:vAlign w:val="center"/>
            <w:hideMark/>
          </w:tcPr>
          <w:p w14:paraId="6041C0B5"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Reeves, J. W., Al-Zinaty, M., Woodland, P., Sifrim, D., Aziz, Q. and Birch, M. J.</w:t>
            </w:r>
          </w:p>
        </w:tc>
        <w:tc>
          <w:tcPr>
            <w:tcW w:w="577" w:type="pct"/>
            <w:shd w:val="clear" w:color="auto" w:fill="auto"/>
            <w:vAlign w:val="center"/>
            <w:hideMark/>
          </w:tcPr>
          <w:p w14:paraId="558ACAFA"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Physiological Measurement</w:t>
            </w:r>
          </w:p>
        </w:tc>
        <w:tc>
          <w:tcPr>
            <w:tcW w:w="801" w:type="pct"/>
            <w:shd w:val="clear" w:color="auto" w:fill="auto"/>
            <w:vAlign w:val="center"/>
            <w:hideMark/>
          </w:tcPr>
          <w:p w14:paraId="4899AFE3"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http://dx.doi.org/10.1088/0967-3334/35/7/1265</w:t>
            </w:r>
          </w:p>
        </w:tc>
      </w:tr>
      <w:tr w:rsidR="008F7B90" w:rsidRPr="006721CC" w14:paraId="39554CF6" w14:textId="77777777" w:rsidTr="00756179">
        <w:trPr>
          <w:trHeight w:val="20"/>
        </w:trPr>
        <w:tc>
          <w:tcPr>
            <w:tcW w:w="1890" w:type="pct"/>
            <w:shd w:val="clear" w:color="auto" w:fill="auto"/>
            <w:vAlign w:val="center"/>
            <w:hideMark/>
          </w:tcPr>
          <w:p w14:paraId="49120918" w14:textId="73EC3EC8"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A Multibiomarker Risk Score Helps Predict Risk for Barrett's Esophagus</w:t>
            </w:r>
          </w:p>
        </w:tc>
        <w:tc>
          <w:tcPr>
            <w:tcW w:w="321" w:type="pct"/>
            <w:shd w:val="clear" w:color="auto" w:fill="auto"/>
            <w:vAlign w:val="center"/>
            <w:hideMark/>
          </w:tcPr>
          <w:p w14:paraId="53F3ABCB"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2014</w:t>
            </w:r>
          </w:p>
        </w:tc>
        <w:tc>
          <w:tcPr>
            <w:tcW w:w="1411" w:type="pct"/>
            <w:shd w:val="clear" w:color="auto" w:fill="auto"/>
            <w:vAlign w:val="center"/>
            <w:hideMark/>
          </w:tcPr>
          <w:p w14:paraId="46126EED"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Thrift, A. P., Garcia, J. M. and El-Serag, H. B.</w:t>
            </w:r>
          </w:p>
        </w:tc>
        <w:tc>
          <w:tcPr>
            <w:tcW w:w="577" w:type="pct"/>
            <w:shd w:val="clear" w:color="auto" w:fill="auto"/>
            <w:vAlign w:val="center"/>
            <w:hideMark/>
          </w:tcPr>
          <w:p w14:paraId="4C364E51"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Clinical Gastroenterology and Hepatology</w:t>
            </w:r>
          </w:p>
        </w:tc>
        <w:tc>
          <w:tcPr>
            <w:tcW w:w="801" w:type="pct"/>
            <w:shd w:val="clear" w:color="auto" w:fill="auto"/>
            <w:vAlign w:val="center"/>
            <w:hideMark/>
          </w:tcPr>
          <w:p w14:paraId="5A67598F"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http://dx.doi.org/10.1016/j.cgh.2013.12.014</w:t>
            </w:r>
          </w:p>
        </w:tc>
      </w:tr>
      <w:tr w:rsidR="008F7B90" w:rsidRPr="006721CC" w14:paraId="3C5F56D4" w14:textId="77777777" w:rsidTr="00756179">
        <w:trPr>
          <w:trHeight w:val="20"/>
        </w:trPr>
        <w:tc>
          <w:tcPr>
            <w:tcW w:w="1890" w:type="pct"/>
            <w:shd w:val="clear" w:color="auto" w:fill="auto"/>
            <w:vAlign w:val="center"/>
            <w:hideMark/>
          </w:tcPr>
          <w:p w14:paraId="18765036" w14:textId="0BB9E5A4"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A Multibiomarker Risk Score Helps Predict Risk for Barrett'sEsophagus</w:t>
            </w:r>
          </w:p>
        </w:tc>
        <w:tc>
          <w:tcPr>
            <w:tcW w:w="321" w:type="pct"/>
            <w:shd w:val="clear" w:color="auto" w:fill="auto"/>
            <w:vAlign w:val="center"/>
            <w:hideMark/>
          </w:tcPr>
          <w:p w14:paraId="0DEFEF1A"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2014</w:t>
            </w:r>
          </w:p>
        </w:tc>
        <w:tc>
          <w:tcPr>
            <w:tcW w:w="1411" w:type="pct"/>
            <w:shd w:val="clear" w:color="auto" w:fill="auto"/>
            <w:vAlign w:val="center"/>
            <w:hideMark/>
          </w:tcPr>
          <w:p w14:paraId="48B476DC"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Thrift, A. P., Garcia, J. M. and El-Serag, H. B.</w:t>
            </w:r>
          </w:p>
        </w:tc>
        <w:tc>
          <w:tcPr>
            <w:tcW w:w="577" w:type="pct"/>
            <w:shd w:val="clear" w:color="auto" w:fill="auto"/>
            <w:vAlign w:val="center"/>
            <w:hideMark/>
          </w:tcPr>
          <w:p w14:paraId="4E40BB86"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Clinical Gastroenterology and Hepatology</w:t>
            </w:r>
          </w:p>
        </w:tc>
        <w:tc>
          <w:tcPr>
            <w:tcW w:w="801" w:type="pct"/>
            <w:shd w:val="clear" w:color="auto" w:fill="auto"/>
            <w:vAlign w:val="center"/>
            <w:hideMark/>
          </w:tcPr>
          <w:p w14:paraId="2466E936"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http://dx.doi.org/10.1016/j.cgh.2013.12.014</w:t>
            </w:r>
          </w:p>
        </w:tc>
      </w:tr>
      <w:tr w:rsidR="008F7B90" w:rsidRPr="006721CC" w14:paraId="126FF412" w14:textId="77777777" w:rsidTr="00756179">
        <w:trPr>
          <w:trHeight w:val="20"/>
        </w:trPr>
        <w:tc>
          <w:tcPr>
            <w:tcW w:w="1890" w:type="pct"/>
            <w:shd w:val="clear" w:color="auto" w:fill="auto"/>
            <w:vAlign w:val="center"/>
            <w:hideMark/>
          </w:tcPr>
          <w:p w14:paraId="3092E8D8" w14:textId="4C88B582"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Changes in obesity-related diseases and biochemical variables after laparoscopic sleeve gastrectomy: a two-year follow-up study</w:t>
            </w:r>
          </w:p>
        </w:tc>
        <w:tc>
          <w:tcPr>
            <w:tcW w:w="321" w:type="pct"/>
            <w:shd w:val="clear" w:color="auto" w:fill="auto"/>
            <w:vAlign w:val="center"/>
            <w:hideMark/>
          </w:tcPr>
          <w:p w14:paraId="0EFB7A8B"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2014</w:t>
            </w:r>
          </w:p>
        </w:tc>
        <w:tc>
          <w:tcPr>
            <w:tcW w:w="1411" w:type="pct"/>
            <w:shd w:val="clear" w:color="auto" w:fill="auto"/>
            <w:vAlign w:val="center"/>
            <w:hideMark/>
          </w:tcPr>
          <w:p w14:paraId="6098D254"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Vage, V., Sande, V. A., Mellgren, G., Laukeland, C., Behme, J. and Andersen, J. R.</w:t>
            </w:r>
          </w:p>
        </w:tc>
        <w:tc>
          <w:tcPr>
            <w:tcW w:w="577" w:type="pct"/>
            <w:shd w:val="clear" w:color="auto" w:fill="auto"/>
            <w:vAlign w:val="center"/>
            <w:hideMark/>
          </w:tcPr>
          <w:p w14:paraId="61C9C452"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BMC surgery</w:t>
            </w:r>
          </w:p>
        </w:tc>
        <w:tc>
          <w:tcPr>
            <w:tcW w:w="801" w:type="pct"/>
            <w:shd w:val="clear" w:color="auto" w:fill="auto"/>
            <w:vAlign w:val="center"/>
            <w:hideMark/>
          </w:tcPr>
          <w:p w14:paraId="147D5588"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http://dx.doi.org/10.1186/1471-2482-14-8</w:t>
            </w:r>
          </w:p>
        </w:tc>
      </w:tr>
      <w:tr w:rsidR="008F7B90" w:rsidRPr="006721CC" w14:paraId="6A22018C" w14:textId="77777777" w:rsidTr="00756179">
        <w:trPr>
          <w:trHeight w:val="20"/>
        </w:trPr>
        <w:tc>
          <w:tcPr>
            <w:tcW w:w="1890" w:type="pct"/>
            <w:shd w:val="clear" w:color="auto" w:fill="auto"/>
            <w:vAlign w:val="center"/>
            <w:hideMark/>
          </w:tcPr>
          <w:p w14:paraId="6BF311CE" w14:textId="55A4F658"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Bronchoalveolar pH and inflammatory biomarkers in newly diagnosed IPF and GERD patients: A case-control study</w:t>
            </w:r>
          </w:p>
        </w:tc>
        <w:tc>
          <w:tcPr>
            <w:tcW w:w="321" w:type="pct"/>
            <w:shd w:val="clear" w:color="auto" w:fill="auto"/>
            <w:vAlign w:val="center"/>
            <w:hideMark/>
          </w:tcPr>
          <w:p w14:paraId="66FEFFAC"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2014</w:t>
            </w:r>
          </w:p>
        </w:tc>
        <w:tc>
          <w:tcPr>
            <w:tcW w:w="1411" w:type="pct"/>
            <w:shd w:val="clear" w:color="auto" w:fill="auto"/>
            <w:vAlign w:val="center"/>
            <w:hideMark/>
          </w:tcPr>
          <w:p w14:paraId="5FA362CB"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Vukovac, E. L., Lozo, M., Mise, K., Gudelj, I., Puljiz, Z., Jurcev-Savicevic, A., Bradaric, A., Kokeza, J. and Mise, J.</w:t>
            </w:r>
          </w:p>
        </w:tc>
        <w:tc>
          <w:tcPr>
            <w:tcW w:w="577" w:type="pct"/>
            <w:shd w:val="clear" w:color="auto" w:fill="auto"/>
            <w:vAlign w:val="center"/>
            <w:hideMark/>
          </w:tcPr>
          <w:p w14:paraId="1A11E283"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Medical Science Monitor</w:t>
            </w:r>
          </w:p>
        </w:tc>
        <w:tc>
          <w:tcPr>
            <w:tcW w:w="801" w:type="pct"/>
            <w:shd w:val="clear" w:color="auto" w:fill="auto"/>
            <w:vAlign w:val="center"/>
            <w:hideMark/>
          </w:tcPr>
          <w:p w14:paraId="3B2B6A1F"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http://dx.doi.org/10.12659/MSM.889800</w:t>
            </w:r>
          </w:p>
        </w:tc>
      </w:tr>
      <w:tr w:rsidR="008F7B90" w:rsidRPr="006721CC" w14:paraId="21341551" w14:textId="77777777" w:rsidTr="00756179">
        <w:trPr>
          <w:trHeight w:val="20"/>
        </w:trPr>
        <w:tc>
          <w:tcPr>
            <w:tcW w:w="1890" w:type="pct"/>
            <w:shd w:val="clear" w:color="auto" w:fill="auto"/>
            <w:vAlign w:val="center"/>
            <w:hideMark/>
          </w:tcPr>
          <w:p w14:paraId="35A24C39" w14:textId="6228CCBC"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Eosinophilic oesophagitis: A paediatric update</w:t>
            </w:r>
          </w:p>
        </w:tc>
        <w:tc>
          <w:tcPr>
            <w:tcW w:w="321" w:type="pct"/>
            <w:shd w:val="clear" w:color="auto" w:fill="auto"/>
            <w:vAlign w:val="center"/>
            <w:hideMark/>
          </w:tcPr>
          <w:p w14:paraId="2E5303EB"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2015</w:t>
            </w:r>
          </w:p>
        </w:tc>
        <w:tc>
          <w:tcPr>
            <w:tcW w:w="1411" w:type="pct"/>
            <w:shd w:val="clear" w:color="auto" w:fill="auto"/>
            <w:vAlign w:val="center"/>
            <w:hideMark/>
          </w:tcPr>
          <w:p w14:paraId="41CA26B6"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Allen, K. J. and Heine, R. G.</w:t>
            </w:r>
          </w:p>
        </w:tc>
        <w:tc>
          <w:tcPr>
            <w:tcW w:w="577" w:type="pct"/>
            <w:shd w:val="clear" w:color="auto" w:fill="auto"/>
            <w:vAlign w:val="center"/>
            <w:hideMark/>
          </w:tcPr>
          <w:p w14:paraId="033BF3E1"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Journal of Paediatrics and Child Health</w:t>
            </w:r>
          </w:p>
        </w:tc>
        <w:tc>
          <w:tcPr>
            <w:tcW w:w="801" w:type="pct"/>
            <w:shd w:val="clear" w:color="auto" w:fill="auto"/>
            <w:vAlign w:val="center"/>
            <w:hideMark/>
          </w:tcPr>
          <w:p w14:paraId="2E07B776"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http://dx.doi.org/10.1111/jpc.12757</w:t>
            </w:r>
          </w:p>
        </w:tc>
      </w:tr>
      <w:tr w:rsidR="008F7B90" w:rsidRPr="006721CC" w14:paraId="2B1E4842" w14:textId="77777777" w:rsidTr="00756179">
        <w:trPr>
          <w:trHeight w:val="20"/>
        </w:trPr>
        <w:tc>
          <w:tcPr>
            <w:tcW w:w="1890" w:type="pct"/>
            <w:shd w:val="clear" w:color="auto" w:fill="auto"/>
            <w:vAlign w:val="center"/>
            <w:hideMark/>
          </w:tcPr>
          <w:p w14:paraId="66228E9A" w14:textId="7492A99C"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lastRenderedPageBreak/>
              <w:t>Exhaled Breath Condensate pH in Lung Cancer, the Impact of Clinical Factors</w:t>
            </w:r>
          </w:p>
        </w:tc>
        <w:tc>
          <w:tcPr>
            <w:tcW w:w="321" w:type="pct"/>
            <w:shd w:val="clear" w:color="auto" w:fill="auto"/>
            <w:vAlign w:val="center"/>
            <w:hideMark/>
          </w:tcPr>
          <w:p w14:paraId="56C5A367"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2015</w:t>
            </w:r>
          </w:p>
        </w:tc>
        <w:tc>
          <w:tcPr>
            <w:tcW w:w="1411" w:type="pct"/>
            <w:shd w:val="clear" w:color="auto" w:fill="auto"/>
            <w:vAlign w:val="center"/>
            <w:hideMark/>
          </w:tcPr>
          <w:p w14:paraId="771A911D"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Bikov, A., Lazar, Z., Gyulai, N., Szentkereszty, M., Losonczy, G., Horvath, I. and Galffy, G.</w:t>
            </w:r>
          </w:p>
        </w:tc>
        <w:tc>
          <w:tcPr>
            <w:tcW w:w="577" w:type="pct"/>
            <w:shd w:val="clear" w:color="auto" w:fill="auto"/>
            <w:vAlign w:val="center"/>
            <w:hideMark/>
          </w:tcPr>
          <w:p w14:paraId="513DF88D"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Lung</w:t>
            </w:r>
          </w:p>
        </w:tc>
        <w:tc>
          <w:tcPr>
            <w:tcW w:w="801" w:type="pct"/>
            <w:shd w:val="clear" w:color="auto" w:fill="auto"/>
            <w:vAlign w:val="center"/>
            <w:hideMark/>
          </w:tcPr>
          <w:p w14:paraId="51750C2B"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http://dx.doi.org/10.1007/s00408-015-9778-7</w:t>
            </w:r>
          </w:p>
        </w:tc>
      </w:tr>
      <w:tr w:rsidR="008F7B90" w:rsidRPr="006721CC" w14:paraId="661F8B79" w14:textId="77777777" w:rsidTr="00756179">
        <w:trPr>
          <w:trHeight w:val="20"/>
        </w:trPr>
        <w:tc>
          <w:tcPr>
            <w:tcW w:w="1890" w:type="pct"/>
            <w:shd w:val="clear" w:color="auto" w:fill="auto"/>
            <w:vAlign w:val="center"/>
            <w:hideMark/>
          </w:tcPr>
          <w:p w14:paraId="43C6E8D0" w14:textId="3ECB1F93"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Central obesity and other factors associated with uncontrolled asthma in women</w:t>
            </w:r>
          </w:p>
        </w:tc>
        <w:tc>
          <w:tcPr>
            <w:tcW w:w="321" w:type="pct"/>
            <w:shd w:val="clear" w:color="auto" w:fill="auto"/>
            <w:vAlign w:val="center"/>
            <w:hideMark/>
          </w:tcPr>
          <w:p w14:paraId="40DE4F6D"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2015</w:t>
            </w:r>
          </w:p>
        </w:tc>
        <w:tc>
          <w:tcPr>
            <w:tcW w:w="1411" w:type="pct"/>
            <w:shd w:val="clear" w:color="auto" w:fill="auto"/>
            <w:vAlign w:val="center"/>
            <w:hideMark/>
          </w:tcPr>
          <w:p w14:paraId="2B99D699"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Capelo, A. V., De Fonseca, V. M., Peixoto, M. V. M., De Carvalho, S. R. and Guerino, L. G.</w:t>
            </w:r>
          </w:p>
        </w:tc>
        <w:tc>
          <w:tcPr>
            <w:tcW w:w="577" w:type="pct"/>
            <w:shd w:val="clear" w:color="auto" w:fill="auto"/>
            <w:vAlign w:val="center"/>
            <w:hideMark/>
          </w:tcPr>
          <w:p w14:paraId="47CA88CB"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Allergy, Asthma and Clinical Immunology</w:t>
            </w:r>
          </w:p>
        </w:tc>
        <w:tc>
          <w:tcPr>
            <w:tcW w:w="801" w:type="pct"/>
            <w:shd w:val="clear" w:color="auto" w:fill="auto"/>
            <w:vAlign w:val="center"/>
            <w:hideMark/>
          </w:tcPr>
          <w:p w14:paraId="3FEEAC16"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http://dx.doi.org/10.1186/s13223-015-0076-y</w:t>
            </w:r>
          </w:p>
        </w:tc>
      </w:tr>
      <w:tr w:rsidR="008F7B90" w:rsidRPr="006721CC" w14:paraId="3DFF51AF" w14:textId="77777777" w:rsidTr="00756179">
        <w:trPr>
          <w:trHeight w:val="20"/>
        </w:trPr>
        <w:tc>
          <w:tcPr>
            <w:tcW w:w="1890" w:type="pct"/>
            <w:shd w:val="clear" w:color="auto" w:fill="auto"/>
            <w:vAlign w:val="center"/>
            <w:hideMark/>
          </w:tcPr>
          <w:p w14:paraId="63368CC7" w14:textId="0A0A3EBD"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Utility of a noninvasive serum biomarker panel for diagnosis and monitoring of eosinophilic esophagitis: A prospective study</w:t>
            </w:r>
          </w:p>
        </w:tc>
        <w:tc>
          <w:tcPr>
            <w:tcW w:w="321" w:type="pct"/>
            <w:shd w:val="clear" w:color="auto" w:fill="auto"/>
            <w:vAlign w:val="center"/>
            <w:hideMark/>
          </w:tcPr>
          <w:p w14:paraId="3EC396BE"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2015</w:t>
            </w:r>
          </w:p>
        </w:tc>
        <w:tc>
          <w:tcPr>
            <w:tcW w:w="1411" w:type="pct"/>
            <w:shd w:val="clear" w:color="auto" w:fill="auto"/>
            <w:vAlign w:val="center"/>
            <w:hideMark/>
          </w:tcPr>
          <w:p w14:paraId="707AD8CD"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Dellon, E. S., Rusin, S., Gebhart, J. H., Covey, S., Higgins, L. L., Beitia, R., Speck, O., Woodward, K., Woosley, J. T. and Shaheen, N. J.</w:t>
            </w:r>
          </w:p>
        </w:tc>
        <w:tc>
          <w:tcPr>
            <w:tcW w:w="577" w:type="pct"/>
            <w:shd w:val="clear" w:color="auto" w:fill="auto"/>
            <w:vAlign w:val="center"/>
            <w:hideMark/>
          </w:tcPr>
          <w:p w14:paraId="33DC3240"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American Journal of Gastroenterology</w:t>
            </w:r>
          </w:p>
        </w:tc>
        <w:tc>
          <w:tcPr>
            <w:tcW w:w="801" w:type="pct"/>
            <w:shd w:val="clear" w:color="auto" w:fill="auto"/>
            <w:vAlign w:val="center"/>
            <w:hideMark/>
          </w:tcPr>
          <w:p w14:paraId="21808BCE"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http://dx.doi.org/10.1038/ajg.2015.57</w:t>
            </w:r>
          </w:p>
        </w:tc>
      </w:tr>
      <w:tr w:rsidR="008F7B90" w:rsidRPr="006721CC" w14:paraId="5850B607" w14:textId="77777777" w:rsidTr="00756179">
        <w:trPr>
          <w:trHeight w:val="20"/>
        </w:trPr>
        <w:tc>
          <w:tcPr>
            <w:tcW w:w="1890" w:type="pct"/>
            <w:shd w:val="clear" w:color="auto" w:fill="auto"/>
            <w:vAlign w:val="center"/>
            <w:hideMark/>
          </w:tcPr>
          <w:p w14:paraId="06ED8E34" w14:textId="4679AC2F"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Pediatric Eosinophilic Esophagitis Symptom Scores (PEESS v2.0) identify histologic and molecular correlates of the key clinical features of disease</w:t>
            </w:r>
          </w:p>
        </w:tc>
        <w:tc>
          <w:tcPr>
            <w:tcW w:w="321" w:type="pct"/>
            <w:shd w:val="clear" w:color="auto" w:fill="auto"/>
            <w:vAlign w:val="center"/>
            <w:hideMark/>
          </w:tcPr>
          <w:p w14:paraId="62751C62"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2015</w:t>
            </w:r>
          </w:p>
        </w:tc>
        <w:tc>
          <w:tcPr>
            <w:tcW w:w="1411" w:type="pct"/>
            <w:shd w:val="clear" w:color="auto" w:fill="auto"/>
            <w:vAlign w:val="center"/>
            <w:hideMark/>
          </w:tcPr>
          <w:p w14:paraId="41CEBDFC"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Martin, L. J., Franciosi, J. P., Collins, M. H., Abonia, J. P., Lee, J. J., Hommel, K. A., Varni, J. W., Grotjan, J. T., Eby, M., He, H., Marsolo, K., Putnam, P. E., Garza, J. M., Kaul, A., Wen, T. and Rothenberg, M. E.</w:t>
            </w:r>
          </w:p>
        </w:tc>
        <w:tc>
          <w:tcPr>
            <w:tcW w:w="577" w:type="pct"/>
            <w:shd w:val="clear" w:color="auto" w:fill="auto"/>
            <w:vAlign w:val="center"/>
            <w:hideMark/>
          </w:tcPr>
          <w:p w14:paraId="335B32FB"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Journal of Allergy and Clinical Immunology</w:t>
            </w:r>
          </w:p>
        </w:tc>
        <w:tc>
          <w:tcPr>
            <w:tcW w:w="801" w:type="pct"/>
            <w:shd w:val="clear" w:color="auto" w:fill="auto"/>
            <w:vAlign w:val="center"/>
            <w:hideMark/>
          </w:tcPr>
          <w:p w14:paraId="4CBF9722"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http://dx.doi.org/10.1016/j.jaci.2015.03.004</w:t>
            </w:r>
          </w:p>
        </w:tc>
      </w:tr>
      <w:tr w:rsidR="008F7B90" w:rsidRPr="006721CC" w14:paraId="3169D010" w14:textId="77777777" w:rsidTr="00756179">
        <w:trPr>
          <w:trHeight w:val="20"/>
        </w:trPr>
        <w:tc>
          <w:tcPr>
            <w:tcW w:w="1890" w:type="pct"/>
            <w:shd w:val="clear" w:color="auto" w:fill="auto"/>
            <w:vAlign w:val="center"/>
            <w:hideMark/>
          </w:tcPr>
          <w:p w14:paraId="2B6401D6" w14:textId="642752C5"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Comparison of eotaxin-3 biomarker in patients with eosinophilic oesophagitis, proton pump inhibitor-responsive oesophageal eosinophilia and gastro-oesophageal reflux disease</w:t>
            </w:r>
          </w:p>
        </w:tc>
        <w:tc>
          <w:tcPr>
            <w:tcW w:w="321" w:type="pct"/>
            <w:shd w:val="clear" w:color="auto" w:fill="auto"/>
            <w:vAlign w:val="center"/>
            <w:hideMark/>
          </w:tcPr>
          <w:p w14:paraId="36A739AC"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2015</w:t>
            </w:r>
          </w:p>
        </w:tc>
        <w:tc>
          <w:tcPr>
            <w:tcW w:w="1411" w:type="pct"/>
            <w:shd w:val="clear" w:color="auto" w:fill="auto"/>
            <w:vAlign w:val="center"/>
            <w:hideMark/>
          </w:tcPr>
          <w:p w14:paraId="485C4789"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Moawad, F. J., Wells, J. M., Johnson, R. L., Reinhardt, B. J., Maydonovitch, C. L. and Baker, T. P.</w:t>
            </w:r>
          </w:p>
        </w:tc>
        <w:tc>
          <w:tcPr>
            <w:tcW w:w="577" w:type="pct"/>
            <w:shd w:val="clear" w:color="auto" w:fill="auto"/>
            <w:vAlign w:val="center"/>
            <w:hideMark/>
          </w:tcPr>
          <w:p w14:paraId="17313A9F"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Alimentary Pharmacology and Therapeutics</w:t>
            </w:r>
          </w:p>
        </w:tc>
        <w:tc>
          <w:tcPr>
            <w:tcW w:w="801" w:type="pct"/>
            <w:shd w:val="clear" w:color="auto" w:fill="auto"/>
            <w:vAlign w:val="center"/>
            <w:hideMark/>
          </w:tcPr>
          <w:p w14:paraId="56A2B629"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http://dx.doi.org/10.1111/apt.13258</w:t>
            </w:r>
          </w:p>
        </w:tc>
      </w:tr>
      <w:tr w:rsidR="008F7B90" w:rsidRPr="006721CC" w14:paraId="4D45D822" w14:textId="77777777" w:rsidTr="00756179">
        <w:trPr>
          <w:trHeight w:val="20"/>
        </w:trPr>
        <w:tc>
          <w:tcPr>
            <w:tcW w:w="1890" w:type="pct"/>
            <w:shd w:val="clear" w:color="auto" w:fill="auto"/>
            <w:vAlign w:val="center"/>
            <w:hideMark/>
          </w:tcPr>
          <w:p w14:paraId="435FB0EE" w14:textId="2079791D"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The Cologne-Bonn cohort: lessons learned</w:t>
            </w:r>
          </w:p>
        </w:tc>
        <w:tc>
          <w:tcPr>
            <w:tcW w:w="321" w:type="pct"/>
            <w:shd w:val="clear" w:color="auto" w:fill="auto"/>
            <w:vAlign w:val="center"/>
            <w:hideMark/>
          </w:tcPr>
          <w:p w14:paraId="4913805D"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2015</w:t>
            </w:r>
          </w:p>
        </w:tc>
        <w:tc>
          <w:tcPr>
            <w:tcW w:w="1411" w:type="pct"/>
            <w:shd w:val="clear" w:color="auto" w:fill="auto"/>
            <w:vAlign w:val="center"/>
            <w:hideMark/>
          </w:tcPr>
          <w:p w14:paraId="0C304AD4"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Rockstroh, J. K.</w:t>
            </w:r>
          </w:p>
        </w:tc>
        <w:tc>
          <w:tcPr>
            <w:tcW w:w="577" w:type="pct"/>
            <w:shd w:val="clear" w:color="auto" w:fill="auto"/>
            <w:vAlign w:val="center"/>
            <w:hideMark/>
          </w:tcPr>
          <w:p w14:paraId="33B34EBB"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Infection.</w:t>
            </w:r>
          </w:p>
        </w:tc>
        <w:tc>
          <w:tcPr>
            <w:tcW w:w="801" w:type="pct"/>
            <w:shd w:val="clear" w:color="auto" w:fill="auto"/>
            <w:vAlign w:val="center"/>
            <w:hideMark/>
          </w:tcPr>
          <w:p w14:paraId="00E019C1"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http://dx.doi.org/10.1007/s15010-015-0745-2</w:t>
            </w:r>
          </w:p>
        </w:tc>
      </w:tr>
      <w:tr w:rsidR="008F7B90" w:rsidRPr="006721CC" w14:paraId="56552DC3" w14:textId="77777777" w:rsidTr="00756179">
        <w:trPr>
          <w:trHeight w:val="20"/>
        </w:trPr>
        <w:tc>
          <w:tcPr>
            <w:tcW w:w="1890" w:type="pct"/>
            <w:shd w:val="clear" w:color="auto" w:fill="auto"/>
            <w:vAlign w:val="center"/>
            <w:hideMark/>
          </w:tcPr>
          <w:p w14:paraId="0B817788" w14:textId="6EB2AB21"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Clinical and autoantibody profile in systemic sclerosis: Baseline characteristics from a West Malaysian cohort</w:t>
            </w:r>
          </w:p>
        </w:tc>
        <w:tc>
          <w:tcPr>
            <w:tcW w:w="321" w:type="pct"/>
            <w:shd w:val="clear" w:color="auto" w:fill="auto"/>
            <w:vAlign w:val="center"/>
            <w:hideMark/>
          </w:tcPr>
          <w:p w14:paraId="00D35475"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2015</w:t>
            </w:r>
          </w:p>
        </w:tc>
        <w:tc>
          <w:tcPr>
            <w:tcW w:w="1411" w:type="pct"/>
            <w:shd w:val="clear" w:color="auto" w:fill="auto"/>
            <w:vAlign w:val="center"/>
            <w:hideMark/>
          </w:tcPr>
          <w:p w14:paraId="465BBAE2"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Sujau, I., Ng, C. T., Sthaneshwar, P., Sockalingam, S., Cheah, T. E., Yahya, F. and Jasmin, R.</w:t>
            </w:r>
          </w:p>
        </w:tc>
        <w:tc>
          <w:tcPr>
            <w:tcW w:w="577" w:type="pct"/>
            <w:shd w:val="clear" w:color="auto" w:fill="auto"/>
            <w:vAlign w:val="center"/>
            <w:hideMark/>
          </w:tcPr>
          <w:p w14:paraId="481D5AA7"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International Journal of Rheumatic Diseases</w:t>
            </w:r>
          </w:p>
        </w:tc>
        <w:tc>
          <w:tcPr>
            <w:tcW w:w="801" w:type="pct"/>
            <w:shd w:val="clear" w:color="auto" w:fill="auto"/>
            <w:vAlign w:val="center"/>
            <w:hideMark/>
          </w:tcPr>
          <w:p w14:paraId="292B82D9"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http://dx.doi.org/10.1111/1756-185X.12322</w:t>
            </w:r>
          </w:p>
        </w:tc>
      </w:tr>
      <w:tr w:rsidR="008F7B90" w:rsidRPr="006721CC" w14:paraId="2B8BB69D" w14:textId="77777777" w:rsidTr="00756179">
        <w:trPr>
          <w:trHeight w:val="20"/>
        </w:trPr>
        <w:tc>
          <w:tcPr>
            <w:tcW w:w="1890" w:type="pct"/>
            <w:shd w:val="clear" w:color="auto" w:fill="auto"/>
            <w:vAlign w:val="center"/>
            <w:hideMark/>
          </w:tcPr>
          <w:p w14:paraId="1CC964B7" w14:textId="7D664C16"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Pepsinogen identification in the middle ear fluid of children with otitis media with effusion</w:t>
            </w:r>
          </w:p>
        </w:tc>
        <w:tc>
          <w:tcPr>
            <w:tcW w:w="321" w:type="pct"/>
            <w:shd w:val="clear" w:color="auto" w:fill="auto"/>
            <w:vAlign w:val="center"/>
            <w:hideMark/>
          </w:tcPr>
          <w:p w14:paraId="75296FE8"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2016</w:t>
            </w:r>
          </w:p>
        </w:tc>
        <w:tc>
          <w:tcPr>
            <w:tcW w:w="1411" w:type="pct"/>
            <w:shd w:val="clear" w:color="auto" w:fill="auto"/>
            <w:vAlign w:val="center"/>
            <w:hideMark/>
          </w:tcPr>
          <w:p w14:paraId="51B716A9"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Buyruk, A., Osma, U., Yilmaz, M. D. and Eyigor, H.</w:t>
            </w:r>
          </w:p>
        </w:tc>
        <w:tc>
          <w:tcPr>
            <w:tcW w:w="577" w:type="pct"/>
            <w:shd w:val="clear" w:color="auto" w:fill="auto"/>
            <w:vAlign w:val="center"/>
            <w:hideMark/>
          </w:tcPr>
          <w:p w14:paraId="77ED2323"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Kulak burun bogaz ihtisas dergisi : KBB = Journal of ear, nose, and throat</w:t>
            </w:r>
          </w:p>
        </w:tc>
        <w:tc>
          <w:tcPr>
            <w:tcW w:w="801" w:type="pct"/>
            <w:shd w:val="clear" w:color="auto" w:fill="auto"/>
            <w:vAlign w:val="center"/>
            <w:hideMark/>
          </w:tcPr>
          <w:p w14:paraId="5F69FC6F"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http://dx.doi.org/10.5606/kbbihtisas.2016.83669</w:t>
            </w:r>
          </w:p>
        </w:tc>
      </w:tr>
      <w:tr w:rsidR="008F7B90" w:rsidRPr="006721CC" w14:paraId="7AFBB2ED" w14:textId="77777777" w:rsidTr="00756179">
        <w:trPr>
          <w:trHeight w:val="20"/>
        </w:trPr>
        <w:tc>
          <w:tcPr>
            <w:tcW w:w="1890" w:type="pct"/>
            <w:shd w:val="clear" w:color="auto" w:fill="auto"/>
            <w:vAlign w:val="center"/>
            <w:hideMark/>
          </w:tcPr>
          <w:p w14:paraId="29E97FB8" w14:textId="08A78F82"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Proteomic Analysis in Esophageal Eosinophilia Reveals Differential Galectin-3 Expression and S-Nitrosylation</w:t>
            </w:r>
          </w:p>
        </w:tc>
        <w:tc>
          <w:tcPr>
            <w:tcW w:w="321" w:type="pct"/>
            <w:shd w:val="clear" w:color="auto" w:fill="auto"/>
            <w:vAlign w:val="center"/>
            <w:hideMark/>
          </w:tcPr>
          <w:p w14:paraId="7DD57F92"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2016</w:t>
            </w:r>
          </w:p>
        </w:tc>
        <w:tc>
          <w:tcPr>
            <w:tcW w:w="1411" w:type="pct"/>
            <w:shd w:val="clear" w:color="auto" w:fill="auto"/>
            <w:vAlign w:val="center"/>
            <w:hideMark/>
          </w:tcPr>
          <w:p w14:paraId="028BFA0E"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Davis, C. M., Hiremath, G., Wiktorowicz, J. E., Soman, K. V., Straub, C., Nance, C., Quintanilla, N., Pazdrak, K., Thakkar, K., Olive, A. P. and Kurosky, A.</w:t>
            </w:r>
          </w:p>
        </w:tc>
        <w:tc>
          <w:tcPr>
            <w:tcW w:w="577" w:type="pct"/>
            <w:shd w:val="clear" w:color="auto" w:fill="auto"/>
            <w:vAlign w:val="center"/>
            <w:hideMark/>
          </w:tcPr>
          <w:p w14:paraId="4F04A1DC"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Digestion</w:t>
            </w:r>
          </w:p>
        </w:tc>
        <w:tc>
          <w:tcPr>
            <w:tcW w:w="801" w:type="pct"/>
            <w:shd w:val="clear" w:color="auto" w:fill="auto"/>
            <w:vAlign w:val="center"/>
            <w:hideMark/>
          </w:tcPr>
          <w:p w14:paraId="7FC2464B"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http://dx.doi.org/10.1159/000444675</w:t>
            </w:r>
          </w:p>
        </w:tc>
      </w:tr>
      <w:tr w:rsidR="008F7B90" w:rsidRPr="006721CC" w14:paraId="51BE65DB" w14:textId="77777777" w:rsidTr="00756179">
        <w:trPr>
          <w:trHeight w:val="20"/>
        </w:trPr>
        <w:tc>
          <w:tcPr>
            <w:tcW w:w="1890" w:type="pct"/>
            <w:shd w:val="clear" w:color="auto" w:fill="auto"/>
            <w:vAlign w:val="center"/>
            <w:hideMark/>
          </w:tcPr>
          <w:p w14:paraId="250C2E74" w14:textId="6BC67F78"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Prospective assessment of serum periostin as a biomarker for diagnosis and monitoring of eosinophilic oesophagitis</w:t>
            </w:r>
          </w:p>
        </w:tc>
        <w:tc>
          <w:tcPr>
            <w:tcW w:w="321" w:type="pct"/>
            <w:shd w:val="clear" w:color="auto" w:fill="auto"/>
            <w:vAlign w:val="center"/>
            <w:hideMark/>
          </w:tcPr>
          <w:p w14:paraId="5F5EE863"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2016</w:t>
            </w:r>
          </w:p>
        </w:tc>
        <w:tc>
          <w:tcPr>
            <w:tcW w:w="1411" w:type="pct"/>
            <w:shd w:val="clear" w:color="auto" w:fill="auto"/>
            <w:vAlign w:val="center"/>
            <w:hideMark/>
          </w:tcPr>
          <w:p w14:paraId="57060C68"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Dellon, E. S., Higgins, L. L., Beitia, R., Rusin, S., Woosley, J. T., Veerappan, R., Selitsky, S. R., Parker, J. S., Genta, R. M., Lash, R. H., Aranda, R., Peach, R. J. and Grimm, M.</w:t>
            </w:r>
          </w:p>
        </w:tc>
        <w:tc>
          <w:tcPr>
            <w:tcW w:w="577" w:type="pct"/>
            <w:shd w:val="clear" w:color="auto" w:fill="auto"/>
            <w:vAlign w:val="center"/>
            <w:hideMark/>
          </w:tcPr>
          <w:p w14:paraId="1E16E7F2"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Alimentary Pharmacology and Therapeutics</w:t>
            </w:r>
          </w:p>
        </w:tc>
        <w:tc>
          <w:tcPr>
            <w:tcW w:w="801" w:type="pct"/>
            <w:shd w:val="clear" w:color="auto" w:fill="auto"/>
            <w:vAlign w:val="center"/>
            <w:hideMark/>
          </w:tcPr>
          <w:p w14:paraId="6FCCF38C"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http://dx.doi.org/10.1111/apt.13672</w:t>
            </w:r>
          </w:p>
        </w:tc>
      </w:tr>
      <w:tr w:rsidR="008F7B90" w:rsidRPr="006721CC" w14:paraId="0CEE2258" w14:textId="77777777" w:rsidTr="00756179">
        <w:trPr>
          <w:trHeight w:val="20"/>
        </w:trPr>
        <w:tc>
          <w:tcPr>
            <w:tcW w:w="1890" w:type="pct"/>
            <w:shd w:val="clear" w:color="auto" w:fill="auto"/>
            <w:vAlign w:val="center"/>
            <w:hideMark/>
          </w:tcPr>
          <w:p w14:paraId="10566FBB" w14:textId="7706CF69"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Characterization of oncocytes in deep esophageal glands</w:t>
            </w:r>
          </w:p>
        </w:tc>
        <w:tc>
          <w:tcPr>
            <w:tcW w:w="321" w:type="pct"/>
            <w:shd w:val="clear" w:color="auto" w:fill="auto"/>
            <w:vAlign w:val="center"/>
            <w:hideMark/>
          </w:tcPr>
          <w:p w14:paraId="5F09255C"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2016</w:t>
            </w:r>
          </w:p>
        </w:tc>
        <w:tc>
          <w:tcPr>
            <w:tcW w:w="1411" w:type="pct"/>
            <w:shd w:val="clear" w:color="auto" w:fill="auto"/>
            <w:vAlign w:val="center"/>
            <w:hideMark/>
          </w:tcPr>
          <w:p w14:paraId="7CEB1EBF"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Gonzalez, G., Huang, Q. and Mashimo, H.</w:t>
            </w:r>
          </w:p>
        </w:tc>
        <w:tc>
          <w:tcPr>
            <w:tcW w:w="577" w:type="pct"/>
            <w:shd w:val="clear" w:color="auto" w:fill="auto"/>
            <w:vAlign w:val="center"/>
            <w:hideMark/>
          </w:tcPr>
          <w:p w14:paraId="63078DE7"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Diseases of the Esophagus</w:t>
            </w:r>
          </w:p>
        </w:tc>
        <w:tc>
          <w:tcPr>
            <w:tcW w:w="801" w:type="pct"/>
            <w:shd w:val="clear" w:color="auto" w:fill="auto"/>
            <w:vAlign w:val="center"/>
            <w:hideMark/>
          </w:tcPr>
          <w:p w14:paraId="33DBD553"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http://dx.doi.org/10.1111/dote.12382</w:t>
            </w:r>
          </w:p>
        </w:tc>
      </w:tr>
      <w:tr w:rsidR="008F7B90" w:rsidRPr="006721CC" w14:paraId="38D5121C" w14:textId="77777777" w:rsidTr="00756179">
        <w:trPr>
          <w:trHeight w:val="20"/>
        </w:trPr>
        <w:tc>
          <w:tcPr>
            <w:tcW w:w="1890" w:type="pct"/>
            <w:shd w:val="clear" w:color="auto" w:fill="auto"/>
            <w:vAlign w:val="center"/>
            <w:hideMark/>
          </w:tcPr>
          <w:p w14:paraId="26A83727" w14:textId="260B0ABB"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Biomarkers of Reflux Disease</w:t>
            </w:r>
          </w:p>
        </w:tc>
        <w:tc>
          <w:tcPr>
            <w:tcW w:w="321" w:type="pct"/>
            <w:shd w:val="clear" w:color="auto" w:fill="auto"/>
            <w:vAlign w:val="center"/>
            <w:hideMark/>
          </w:tcPr>
          <w:p w14:paraId="1E589AF4"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2016</w:t>
            </w:r>
          </w:p>
        </w:tc>
        <w:tc>
          <w:tcPr>
            <w:tcW w:w="1411" w:type="pct"/>
            <w:shd w:val="clear" w:color="auto" w:fill="auto"/>
            <w:vAlign w:val="center"/>
            <w:hideMark/>
          </w:tcPr>
          <w:p w14:paraId="483D3691"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Kia, L., Pandolfino, J. E. and Kahrilas, P. J.</w:t>
            </w:r>
          </w:p>
        </w:tc>
        <w:tc>
          <w:tcPr>
            <w:tcW w:w="577" w:type="pct"/>
            <w:shd w:val="clear" w:color="auto" w:fill="auto"/>
            <w:vAlign w:val="center"/>
            <w:hideMark/>
          </w:tcPr>
          <w:p w14:paraId="6F632DCB"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Clinical Gastroenterology and Hepatology</w:t>
            </w:r>
          </w:p>
        </w:tc>
        <w:tc>
          <w:tcPr>
            <w:tcW w:w="801" w:type="pct"/>
            <w:shd w:val="clear" w:color="auto" w:fill="auto"/>
            <w:vAlign w:val="center"/>
            <w:hideMark/>
          </w:tcPr>
          <w:p w14:paraId="4AE0ABC6"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http://dx.doi.org/10.1016/j.cgh.2015.09.014</w:t>
            </w:r>
          </w:p>
        </w:tc>
      </w:tr>
      <w:tr w:rsidR="008F7B90" w:rsidRPr="006721CC" w14:paraId="7BA0C1E0" w14:textId="77777777" w:rsidTr="00756179">
        <w:trPr>
          <w:trHeight w:val="20"/>
        </w:trPr>
        <w:tc>
          <w:tcPr>
            <w:tcW w:w="1890" w:type="pct"/>
            <w:shd w:val="clear" w:color="auto" w:fill="auto"/>
            <w:vAlign w:val="center"/>
            <w:hideMark/>
          </w:tcPr>
          <w:p w14:paraId="6124824E" w14:textId="037E0DE0"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lastRenderedPageBreak/>
              <w:t>Differential protein expression and oncogenic gene network link tyrosine kinase ephrin B4 receptor to aggressive gastric and gastroesophageal junction cancers</w:t>
            </w:r>
          </w:p>
        </w:tc>
        <w:tc>
          <w:tcPr>
            <w:tcW w:w="321" w:type="pct"/>
            <w:shd w:val="clear" w:color="auto" w:fill="auto"/>
            <w:vAlign w:val="center"/>
            <w:hideMark/>
          </w:tcPr>
          <w:p w14:paraId="50A7C4C6"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2016</w:t>
            </w:r>
          </w:p>
        </w:tc>
        <w:tc>
          <w:tcPr>
            <w:tcW w:w="1411" w:type="pct"/>
            <w:shd w:val="clear" w:color="auto" w:fill="auto"/>
            <w:vAlign w:val="center"/>
            <w:hideMark/>
          </w:tcPr>
          <w:p w14:paraId="4F34C2FC"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Liersch-Lohn, B., Slavova, N., Buhr, H. J. and Bennani-Baiti, I. M.</w:t>
            </w:r>
          </w:p>
        </w:tc>
        <w:tc>
          <w:tcPr>
            <w:tcW w:w="577" w:type="pct"/>
            <w:shd w:val="clear" w:color="auto" w:fill="auto"/>
            <w:vAlign w:val="center"/>
            <w:hideMark/>
          </w:tcPr>
          <w:p w14:paraId="36291C55"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International Journal of Cancer</w:t>
            </w:r>
          </w:p>
        </w:tc>
        <w:tc>
          <w:tcPr>
            <w:tcW w:w="801" w:type="pct"/>
            <w:shd w:val="clear" w:color="auto" w:fill="auto"/>
            <w:vAlign w:val="center"/>
            <w:hideMark/>
          </w:tcPr>
          <w:p w14:paraId="6230BA19"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http://dx.doi.org/10.1002/ijc.29865</w:t>
            </w:r>
          </w:p>
        </w:tc>
      </w:tr>
      <w:tr w:rsidR="008F7B90" w:rsidRPr="006721CC" w14:paraId="3E17F802" w14:textId="77777777" w:rsidTr="00756179">
        <w:trPr>
          <w:trHeight w:val="20"/>
        </w:trPr>
        <w:tc>
          <w:tcPr>
            <w:tcW w:w="1890" w:type="pct"/>
            <w:shd w:val="clear" w:color="auto" w:fill="auto"/>
            <w:vAlign w:val="center"/>
            <w:hideMark/>
          </w:tcPr>
          <w:p w14:paraId="613AA67C" w14:textId="599CC641"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A Systematic Review of Esophageal MicroRNA Markers for Diagnosis and Monitoring of Barrett's Esophagus</w:t>
            </w:r>
          </w:p>
        </w:tc>
        <w:tc>
          <w:tcPr>
            <w:tcW w:w="321" w:type="pct"/>
            <w:shd w:val="clear" w:color="auto" w:fill="auto"/>
            <w:vAlign w:val="center"/>
            <w:hideMark/>
          </w:tcPr>
          <w:p w14:paraId="2211C37B"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2016</w:t>
            </w:r>
          </w:p>
        </w:tc>
        <w:tc>
          <w:tcPr>
            <w:tcW w:w="1411" w:type="pct"/>
            <w:shd w:val="clear" w:color="auto" w:fill="auto"/>
            <w:vAlign w:val="center"/>
            <w:hideMark/>
          </w:tcPr>
          <w:p w14:paraId="1E8516C2"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Mallick, R., Patnaik, S. K., Wani, S. and Bansal, A.</w:t>
            </w:r>
          </w:p>
        </w:tc>
        <w:tc>
          <w:tcPr>
            <w:tcW w:w="577" w:type="pct"/>
            <w:shd w:val="clear" w:color="auto" w:fill="auto"/>
            <w:vAlign w:val="center"/>
            <w:hideMark/>
          </w:tcPr>
          <w:p w14:paraId="72C6D87B"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Digestive Diseases and Sciences</w:t>
            </w:r>
          </w:p>
        </w:tc>
        <w:tc>
          <w:tcPr>
            <w:tcW w:w="801" w:type="pct"/>
            <w:shd w:val="clear" w:color="auto" w:fill="auto"/>
            <w:vAlign w:val="center"/>
            <w:hideMark/>
          </w:tcPr>
          <w:p w14:paraId="516BD5E0"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http://dx.doi.org/10.1007/s10620-015-3959-3</w:t>
            </w:r>
          </w:p>
        </w:tc>
      </w:tr>
      <w:tr w:rsidR="008F7B90" w:rsidRPr="006721CC" w14:paraId="2E725058" w14:textId="77777777" w:rsidTr="00756179">
        <w:trPr>
          <w:trHeight w:val="20"/>
        </w:trPr>
        <w:tc>
          <w:tcPr>
            <w:tcW w:w="1890" w:type="pct"/>
            <w:shd w:val="clear" w:color="auto" w:fill="auto"/>
            <w:vAlign w:val="center"/>
            <w:hideMark/>
          </w:tcPr>
          <w:p w14:paraId="38922A43" w14:textId="22CB9040"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Epidemiology</w:t>
            </w:r>
          </w:p>
        </w:tc>
        <w:tc>
          <w:tcPr>
            <w:tcW w:w="321" w:type="pct"/>
            <w:shd w:val="clear" w:color="auto" w:fill="auto"/>
            <w:vAlign w:val="center"/>
            <w:hideMark/>
          </w:tcPr>
          <w:p w14:paraId="5A6C1565"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2016</w:t>
            </w:r>
          </w:p>
        </w:tc>
        <w:tc>
          <w:tcPr>
            <w:tcW w:w="1411" w:type="pct"/>
            <w:shd w:val="clear" w:color="auto" w:fill="auto"/>
            <w:vAlign w:val="center"/>
            <w:hideMark/>
          </w:tcPr>
          <w:p w14:paraId="7F7DA159"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Navaratnam, V., Forrester, D. L. and Hubbard, R. B.</w:t>
            </w:r>
          </w:p>
        </w:tc>
        <w:tc>
          <w:tcPr>
            <w:tcW w:w="577" w:type="pct"/>
            <w:shd w:val="clear" w:color="auto" w:fill="auto"/>
            <w:vAlign w:val="center"/>
            <w:hideMark/>
          </w:tcPr>
          <w:p w14:paraId="11A3D57C"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ERS Monograph</w:t>
            </w:r>
          </w:p>
        </w:tc>
        <w:tc>
          <w:tcPr>
            <w:tcW w:w="801" w:type="pct"/>
            <w:shd w:val="clear" w:color="auto" w:fill="auto"/>
            <w:vAlign w:val="center"/>
            <w:hideMark/>
          </w:tcPr>
          <w:p w14:paraId="5541BD27"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http://dx.doi.org/10.1183/2312508X.10004615</w:t>
            </w:r>
          </w:p>
        </w:tc>
      </w:tr>
      <w:tr w:rsidR="008F7B90" w:rsidRPr="006721CC" w14:paraId="64E39ED7" w14:textId="77777777" w:rsidTr="00756179">
        <w:trPr>
          <w:trHeight w:val="20"/>
        </w:trPr>
        <w:tc>
          <w:tcPr>
            <w:tcW w:w="1890" w:type="pct"/>
            <w:shd w:val="clear" w:color="auto" w:fill="auto"/>
            <w:vAlign w:val="center"/>
            <w:hideMark/>
          </w:tcPr>
          <w:p w14:paraId="728109C5" w14:textId="519D26FA"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Distal mean nocturnal baseline impedance on pH-impedance monitoring predicts reflux burden and symptomatic outcome in gastro-oesophageal reflux disease</w:t>
            </w:r>
          </w:p>
        </w:tc>
        <w:tc>
          <w:tcPr>
            <w:tcW w:w="321" w:type="pct"/>
            <w:shd w:val="clear" w:color="auto" w:fill="auto"/>
            <w:vAlign w:val="center"/>
            <w:hideMark/>
          </w:tcPr>
          <w:p w14:paraId="5B60C78C"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2016</w:t>
            </w:r>
          </w:p>
        </w:tc>
        <w:tc>
          <w:tcPr>
            <w:tcW w:w="1411" w:type="pct"/>
            <w:shd w:val="clear" w:color="auto" w:fill="auto"/>
            <w:vAlign w:val="center"/>
            <w:hideMark/>
          </w:tcPr>
          <w:p w14:paraId="2AD41ECD"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Patel, A., Wang, D., Sainani, N., Sayuk, G. S. and Gyawali, C. P.</w:t>
            </w:r>
          </w:p>
        </w:tc>
        <w:tc>
          <w:tcPr>
            <w:tcW w:w="577" w:type="pct"/>
            <w:shd w:val="clear" w:color="auto" w:fill="auto"/>
            <w:vAlign w:val="center"/>
            <w:hideMark/>
          </w:tcPr>
          <w:p w14:paraId="26AE6941"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Alimentary Pharmacology and Therapeutics</w:t>
            </w:r>
          </w:p>
        </w:tc>
        <w:tc>
          <w:tcPr>
            <w:tcW w:w="801" w:type="pct"/>
            <w:shd w:val="clear" w:color="auto" w:fill="auto"/>
            <w:vAlign w:val="center"/>
            <w:hideMark/>
          </w:tcPr>
          <w:p w14:paraId="0C08A0BB"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http://dx.doi.org/10.1111/apt.13777</w:t>
            </w:r>
          </w:p>
        </w:tc>
      </w:tr>
      <w:tr w:rsidR="008F7B90" w:rsidRPr="006721CC" w14:paraId="5F5F64BA" w14:textId="77777777" w:rsidTr="00756179">
        <w:trPr>
          <w:trHeight w:val="20"/>
        </w:trPr>
        <w:tc>
          <w:tcPr>
            <w:tcW w:w="1890" w:type="pct"/>
            <w:shd w:val="clear" w:color="auto" w:fill="auto"/>
            <w:vAlign w:val="center"/>
            <w:hideMark/>
          </w:tcPr>
          <w:p w14:paraId="0B518EE0" w14:textId="67568FB8"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Lymphocytic Esophagitis in Nonachalasia Primary Esophageal Motility Disorders: Improved Criteria, Prevalence, Strength of Association, and Natural History</w:t>
            </w:r>
          </w:p>
        </w:tc>
        <w:tc>
          <w:tcPr>
            <w:tcW w:w="321" w:type="pct"/>
            <w:shd w:val="clear" w:color="auto" w:fill="auto"/>
            <w:vAlign w:val="center"/>
            <w:hideMark/>
          </w:tcPr>
          <w:p w14:paraId="52E2E903"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2016</w:t>
            </w:r>
          </w:p>
        </w:tc>
        <w:tc>
          <w:tcPr>
            <w:tcW w:w="1411" w:type="pct"/>
            <w:shd w:val="clear" w:color="auto" w:fill="auto"/>
            <w:vAlign w:val="center"/>
            <w:hideMark/>
          </w:tcPr>
          <w:p w14:paraId="6611F66C"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Putra, J., Muller, K. E., Hussain, Z. H., Parker, S., Gabbard, S., Brickley, E. B., Lacy, B. E., Rothstein, R. and Lisovsky, M.</w:t>
            </w:r>
          </w:p>
        </w:tc>
        <w:tc>
          <w:tcPr>
            <w:tcW w:w="577" w:type="pct"/>
            <w:shd w:val="clear" w:color="auto" w:fill="auto"/>
            <w:vAlign w:val="center"/>
            <w:hideMark/>
          </w:tcPr>
          <w:p w14:paraId="5A27815F"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The American journal of surgical pathology</w:t>
            </w:r>
          </w:p>
        </w:tc>
        <w:tc>
          <w:tcPr>
            <w:tcW w:w="801" w:type="pct"/>
            <w:shd w:val="clear" w:color="auto" w:fill="auto"/>
            <w:vAlign w:val="center"/>
            <w:hideMark/>
          </w:tcPr>
          <w:p w14:paraId="389B082E" w14:textId="77777777" w:rsidR="008F7B90" w:rsidRPr="008F7B90" w:rsidRDefault="008F7B90" w:rsidP="00756179">
            <w:pPr>
              <w:spacing w:line="220" w:lineRule="exact"/>
              <w:rPr>
                <w:rFonts w:ascii="Arial" w:hAnsi="Arial" w:cs="Arial"/>
                <w:color w:val="000000"/>
                <w:sz w:val="16"/>
                <w:szCs w:val="16"/>
              </w:rPr>
            </w:pPr>
          </w:p>
        </w:tc>
      </w:tr>
      <w:tr w:rsidR="008F7B90" w:rsidRPr="006721CC" w14:paraId="6E8AB2ED" w14:textId="77777777" w:rsidTr="00756179">
        <w:trPr>
          <w:trHeight w:val="20"/>
        </w:trPr>
        <w:tc>
          <w:tcPr>
            <w:tcW w:w="1890" w:type="pct"/>
            <w:shd w:val="clear" w:color="auto" w:fill="auto"/>
            <w:vAlign w:val="center"/>
            <w:hideMark/>
          </w:tcPr>
          <w:p w14:paraId="69A811C1" w14:textId="3952959A"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Exhaled nitric oxide in relation to asthma control: A real-life survey</w:t>
            </w:r>
          </w:p>
        </w:tc>
        <w:tc>
          <w:tcPr>
            <w:tcW w:w="321" w:type="pct"/>
            <w:shd w:val="clear" w:color="auto" w:fill="auto"/>
            <w:vAlign w:val="center"/>
            <w:hideMark/>
          </w:tcPr>
          <w:p w14:paraId="6FBDFF50"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2016</w:t>
            </w:r>
          </w:p>
        </w:tc>
        <w:tc>
          <w:tcPr>
            <w:tcW w:w="1411" w:type="pct"/>
            <w:shd w:val="clear" w:color="auto" w:fill="auto"/>
            <w:vAlign w:val="center"/>
            <w:hideMark/>
          </w:tcPr>
          <w:p w14:paraId="66F896F9"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Ricciardolo, F. L. M., Sorbello, V., Bellezza Fontana, R., Schiavetti, I. and Ciprandi, G.</w:t>
            </w:r>
          </w:p>
        </w:tc>
        <w:tc>
          <w:tcPr>
            <w:tcW w:w="577" w:type="pct"/>
            <w:shd w:val="clear" w:color="auto" w:fill="auto"/>
            <w:vAlign w:val="center"/>
            <w:hideMark/>
          </w:tcPr>
          <w:p w14:paraId="69C4B27C"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Allergologia et Immunopathologia</w:t>
            </w:r>
          </w:p>
        </w:tc>
        <w:tc>
          <w:tcPr>
            <w:tcW w:w="801" w:type="pct"/>
            <w:shd w:val="clear" w:color="auto" w:fill="auto"/>
            <w:vAlign w:val="center"/>
            <w:hideMark/>
          </w:tcPr>
          <w:p w14:paraId="3A002BB2"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http://dx.doi.org/10.1016/j.aller.2015.05.012</w:t>
            </w:r>
          </w:p>
        </w:tc>
      </w:tr>
      <w:tr w:rsidR="008F7B90" w:rsidRPr="006721CC" w14:paraId="2506101B" w14:textId="77777777" w:rsidTr="00756179">
        <w:trPr>
          <w:trHeight w:val="20"/>
        </w:trPr>
        <w:tc>
          <w:tcPr>
            <w:tcW w:w="1890" w:type="pct"/>
            <w:shd w:val="clear" w:color="auto" w:fill="auto"/>
            <w:vAlign w:val="center"/>
            <w:hideMark/>
          </w:tcPr>
          <w:p w14:paraId="59FF1EA4" w14:textId="70E20AD4"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Leukocyte telomere length in relation to the risk of Barrett's esophagus and esophageal adenocarcinoma</w:t>
            </w:r>
          </w:p>
        </w:tc>
        <w:tc>
          <w:tcPr>
            <w:tcW w:w="321" w:type="pct"/>
            <w:shd w:val="clear" w:color="auto" w:fill="auto"/>
            <w:vAlign w:val="center"/>
            <w:hideMark/>
          </w:tcPr>
          <w:p w14:paraId="2B474CD3"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2016</w:t>
            </w:r>
          </w:p>
        </w:tc>
        <w:tc>
          <w:tcPr>
            <w:tcW w:w="1411" w:type="pct"/>
            <w:shd w:val="clear" w:color="auto" w:fill="auto"/>
            <w:vAlign w:val="center"/>
            <w:hideMark/>
          </w:tcPr>
          <w:p w14:paraId="695B0CEC"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Wennerstrom, E. C. M., Risques, R. A., Prunkard, D., Giffen, C., Corley, D. A., Murray, L. J., Whiteman, D. C., Wu, A. H., Bernstein, L., Ye, W., Chow, W., Vaughan, T. L. and Liao, L. M.</w:t>
            </w:r>
          </w:p>
        </w:tc>
        <w:tc>
          <w:tcPr>
            <w:tcW w:w="577" w:type="pct"/>
            <w:shd w:val="clear" w:color="auto" w:fill="auto"/>
            <w:vAlign w:val="center"/>
            <w:hideMark/>
          </w:tcPr>
          <w:p w14:paraId="650BA481"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Cancer Medicine</w:t>
            </w:r>
          </w:p>
        </w:tc>
        <w:tc>
          <w:tcPr>
            <w:tcW w:w="801" w:type="pct"/>
            <w:shd w:val="clear" w:color="auto" w:fill="auto"/>
            <w:vAlign w:val="center"/>
            <w:hideMark/>
          </w:tcPr>
          <w:p w14:paraId="0AB2E2DA"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http://dx.doi.org/10.1002/cam4.810</w:t>
            </w:r>
          </w:p>
        </w:tc>
      </w:tr>
      <w:tr w:rsidR="008F7B90" w:rsidRPr="006721CC" w14:paraId="2473DB62" w14:textId="77777777" w:rsidTr="00756179">
        <w:trPr>
          <w:trHeight w:val="20"/>
        </w:trPr>
        <w:tc>
          <w:tcPr>
            <w:tcW w:w="1890" w:type="pct"/>
            <w:shd w:val="clear" w:color="auto" w:fill="auto"/>
            <w:vAlign w:val="center"/>
            <w:hideMark/>
          </w:tcPr>
          <w:p w14:paraId="74A498F2" w14:textId="1525871E"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MiR-203 Expression in Exfoliated Cells of Tongue Coating Represents a Sensitive and Specific Biomarker of Gastroesophageal Reflux Disease</w:t>
            </w:r>
          </w:p>
        </w:tc>
        <w:tc>
          <w:tcPr>
            <w:tcW w:w="321" w:type="pct"/>
            <w:shd w:val="clear" w:color="auto" w:fill="auto"/>
            <w:vAlign w:val="center"/>
            <w:hideMark/>
          </w:tcPr>
          <w:p w14:paraId="698C8482"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2016</w:t>
            </w:r>
          </w:p>
        </w:tc>
        <w:tc>
          <w:tcPr>
            <w:tcW w:w="1411" w:type="pct"/>
            <w:shd w:val="clear" w:color="auto" w:fill="auto"/>
            <w:vAlign w:val="center"/>
            <w:hideMark/>
          </w:tcPr>
          <w:p w14:paraId="4EC44E29"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Yan, X., Zhu, S. and Zhang, H.</w:t>
            </w:r>
          </w:p>
        </w:tc>
        <w:tc>
          <w:tcPr>
            <w:tcW w:w="577" w:type="pct"/>
            <w:shd w:val="clear" w:color="auto" w:fill="auto"/>
            <w:vAlign w:val="center"/>
            <w:hideMark/>
          </w:tcPr>
          <w:p w14:paraId="5BF75A0D"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Gastroenterology Research and Practice</w:t>
            </w:r>
          </w:p>
        </w:tc>
        <w:tc>
          <w:tcPr>
            <w:tcW w:w="801" w:type="pct"/>
            <w:shd w:val="clear" w:color="auto" w:fill="auto"/>
            <w:vAlign w:val="center"/>
            <w:hideMark/>
          </w:tcPr>
          <w:p w14:paraId="3B4698CA"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http://dx.doi.org/10.1155/2016/2349453</w:t>
            </w:r>
          </w:p>
        </w:tc>
      </w:tr>
      <w:tr w:rsidR="008F7B90" w:rsidRPr="006721CC" w14:paraId="3F9C1EE4" w14:textId="77777777" w:rsidTr="00756179">
        <w:trPr>
          <w:trHeight w:val="20"/>
        </w:trPr>
        <w:tc>
          <w:tcPr>
            <w:tcW w:w="1890" w:type="pct"/>
            <w:shd w:val="clear" w:color="auto" w:fill="auto"/>
            <w:vAlign w:val="center"/>
            <w:hideMark/>
          </w:tcPr>
          <w:p w14:paraId="0BB40590" w14:textId="047B4DFA"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Candidate serum metabolite biomarkers for differentiating gastroesophageal reflux disease, Barrett's esophagus, and high-grade dysplasia/esophageal adenocarcinoma</w:t>
            </w:r>
          </w:p>
        </w:tc>
        <w:tc>
          <w:tcPr>
            <w:tcW w:w="321" w:type="pct"/>
            <w:shd w:val="clear" w:color="auto" w:fill="auto"/>
            <w:vAlign w:val="center"/>
            <w:hideMark/>
          </w:tcPr>
          <w:p w14:paraId="14461951"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2017</w:t>
            </w:r>
          </w:p>
        </w:tc>
        <w:tc>
          <w:tcPr>
            <w:tcW w:w="1411" w:type="pct"/>
            <w:shd w:val="clear" w:color="auto" w:fill="auto"/>
            <w:vAlign w:val="center"/>
            <w:hideMark/>
          </w:tcPr>
          <w:p w14:paraId="6045EE26"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Buas, M. F., Gu, H., Djukovic, D., Zhu, J., Onstad, L., Reid, B. J., Raftery, D. and Vaughan, T. L.</w:t>
            </w:r>
          </w:p>
        </w:tc>
        <w:tc>
          <w:tcPr>
            <w:tcW w:w="577" w:type="pct"/>
            <w:shd w:val="clear" w:color="auto" w:fill="auto"/>
            <w:vAlign w:val="center"/>
            <w:hideMark/>
          </w:tcPr>
          <w:p w14:paraId="75CE0AB5"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Metabolomics</w:t>
            </w:r>
          </w:p>
        </w:tc>
        <w:tc>
          <w:tcPr>
            <w:tcW w:w="801" w:type="pct"/>
            <w:shd w:val="clear" w:color="auto" w:fill="auto"/>
            <w:vAlign w:val="center"/>
            <w:hideMark/>
          </w:tcPr>
          <w:p w14:paraId="7C7DB8F6"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http://dx.doi.org/10.1007/s11306-016-1154-y</w:t>
            </w:r>
          </w:p>
        </w:tc>
      </w:tr>
      <w:tr w:rsidR="008F7B90" w:rsidRPr="006721CC" w14:paraId="4CD7A7F8" w14:textId="77777777" w:rsidTr="00756179">
        <w:trPr>
          <w:trHeight w:val="20"/>
        </w:trPr>
        <w:tc>
          <w:tcPr>
            <w:tcW w:w="1890" w:type="pct"/>
            <w:shd w:val="clear" w:color="auto" w:fill="auto"/>
            <w:vAlign w:val="center"/>
            <w:hideMark/>
          </w:tcPr>
          <w:p w14:paraId="6359E066" w14:textId="6C16A4B9"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The diagnostic value of pepsin detection in saliva for gastro-esophageal reflux disease: A preliminary study from China</w:t>
            </w:r>
          </w:p>
        </w:tc>
        <w:tc>
          <w:tcPr>
            <w:tcW w:w="321" w:type="pct"/>
            <w:shd w:val="clear" w:color="auto" w:fill="auto"/>
            <w:vAlign w:val="center"/>
            <w:hideMark/>
          </w:tcPr>
          <w:p w14:paraId="0A02A584"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2017</w:t>
            </w:r>
          </w:p>
        </w:tc>
        <w:tc>
          <w:tcPr>
            <w:tcW w:w="1411" w:type="pct"/>
            <w:shd w:val="clear" w:color="auto" w:fill="auto"/>
            <w:vAlign w:val="center"/>
            <w:hideMark/>
          </w:tcPr>
          <w:p w14:paraId="2294611E"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Du, X., Wang, F., Hu, Z., Wu, J., Wang, Z., Yan, C., Zhang, C. and Tang, J.</w:t>
            </w:r>
          </w:p>
        </w:tc>
        <w:tc>
          <w:tcPr>
            <w:tcW w:w="577" w:type="pct"/>
            <w:shd w:val="clear" w:color="auto" w:fill="auto"/>
            <w:vAlign w:val="center"/>
            <w:hideMark/>
          </w:tcPr>
          <w:p w14:paraId="315E7D2A"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BMC Gastroenterology</w:t>
            </w:r>
          </w:p>
        </w:tc>
        <w:tc>
          <w:tcPr>
            <w:tcW w:w="801" w:type="pct"/>
            <w:shd w:val="clear" w:color="auto" w:fill="auto"/>
            <w:vAlign w:val="center"/>
            <w:hideMark/>
          </w:tcPr>
          <w:p w14:paraId="10F46FC1"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http://dx.doi.org/10.1186/s12876-017-0667-9</w:t>
            </w:r>
          </w:p>
        </w:tc>
      </w:tr>
      <w:tr w:rsidR="008F7B90" w:rsidRPr="006721CC" w14:paraId="2958C279" w14:textId="77777777" w:rsidTr="00756179">
        <w:trPr>
          <w:trHeight w:val="20"/>
        </w:trPr>
        <w:tc>
          <w:tcPr>
            <w:tcW w:w="1890" w:type="pct"/>
            <w:shd w:val="clear" w:color="auto" w:fill="auto"/>
            <w:vAlign w:val="center"/>
            <w:hideMark/>
          </w:tcPr>
          <w:p w14:paraId="0853A7AB" w14:textId="712515C2"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Esomeprazole FDA Approval in Children with GERD: Exposure-Matching and Exposure-Response</w:t>
            </w:r>
          </w:p>
        </w:tc>
        <w:tc>
          <w:tcPr>
            <w:tcW w:w="321" w:type="pct"/>
            <w:shd w:val="clear" w:color="auto" w:fill="auto"/>
            <w:vAlign w:val="center"/>
            <w:hideMark/>
          </w:tcPr>
          <w:p w14:paraId="0C54050B"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2017</w:t>
            </w:r>
          </w:p>
        </w:tc>
        <w:tc>
          <w:tcPr>
            <w:tcW w:w="1411" w:type="pct"/>
            <w:shd w:val="clear" w:color="auto" w:fill="auto"/>
            <w:vAlign w:val="center"/>
            <w:hideMark/>
          </w:tcPr>
          <w:p w14:paraId="0E523A23"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Earp, J. C., Mehrotra, N., Peters, K. E., Fiorentino, R. P., Griebel, D., Lee, S. C., Mulberg, A., Rohss, K., Sandstrom, M., Taylor, A., Tornoe, C. W., Wynn, E. L., Van Der Walt, J. S. and Garnett, C.</w:t>
            </w:r>
          </w:p>
        </w:tc>
        <w:tc>
          <w:tcPr>
            <w:tcW w:w="577" w:type="pct"/>
            <w:shd w:val="clear" w:color="auto" w:fill="auto"/>
            <w:vAlign w:val="center"/>
            <w:hideMark/>
          </w:tcPr>
          <w:p w14:paraId="038CFA9B"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Journal of Pediatric Gastroenterology and Nutrition</w:t>
            </w:r>
          </w:p>
        </w:tc>
        <w:tc>
          <w:tcPr>
            <w:tcW w:w="801" w:type="pct"/>
            <w:shd w:val="clear" w:color="auto" w:fill="auto"/>
            <w:vAlign w:val="center"/>
            <w:hideMark/>
          </w:tcPr>
          <w:p w14:paraId="5276AE07"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http://dx.doi.org/10.1097/MPG.0000000000001467</w:t>
            </w:r>
          </w:p>
        </w:tc>
      </w:tr>
      <w:tr w:rsidR="008F7B90" w:rsidRPr="006721CC" w14:paraId="45893E14" w14:textId="77777777" w:rsidTr="00756179">
        <w:trPr>
          <w:trHeight w:val="20"/>
        </w:trPr>
        <w:tc>
          <w:tcPr>
            <w:tcW w:w="1890" w:type="pct"/>
            <w:shd w:val="clear" w:color="auto" w:fill="auto"/>
            <w:vAlign w:val="center"/>
            <w:hideMark/>
          </w:tcPr>
          <w:p w14:paraId="4D295E58" w14:textId="19A00D33"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Pepsin in saliva as a biomarker for oropharyngeal reflux compared with 24-hour esophageal impedance/pH monitoring in pediatric patients</w:t>
            </w:r>
          </w:p>
        </w:tc>
        <w:tc>
          <w:tcPr>
            <w:tcW w:w="321" w:type="pct"/>
            <w:shd w:val="clear" w:color="auto" w:fill="auto"/>
            <w:vAlign w:val="center"/>
            <w:hideMark/>
          </w:tcPr>
          <w:p w14:paraId="47152D43"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2017</w:t>
            </w:r>
          </w:p>
        </w:tc>
        <w:tc>
          <w:tcPr>
            <w:tcW w:w="1411" w:type="pct"/>
            <w:shd w:val="clear" w:color="auto" w:fill="auto"/>
            <w:vAlign w:val="center"/>
            <w:hideMark/>
          </w:tcPr>
          <w:p w14:paraId="12762E45"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Fortunato, J. E., D'agostino, R. B. and Lively, M. O.</w:t>
            </w:r>
          </w:p>
        </w:tc>
        <w:tc>
          <w:tcPr>
            <w:tcW w:w="577" w:type="pct"/>
            <w:shd w:val="clear" w:color="auto" w:fill="auto"/>
            <w:vAlign w:val="center"/>
            <w:hideMark/>
          </w:tcPr>
          <w:p w14:paraId="5AD9D91E"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Neurogastroenterology and Motility</w:t>
            </w:r>
          </w:p>
        </w:tc>
        <w:tc>
          <w:tcPr>
            <w:tcW w:w="801" w:type="pct"/>
            <w:shd w:val="clear" w:color="auto" w:fill="auto"/>
            <w:vAlign w:val="center"/>
            <w:hideMark/>
          </w:tcPr>
          <w:p w14:paraId="726B3BBF"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http://dx.doi.org/10.1111/nmo.12936</w:t>
            </w:r>
          </w:p>
        </w:tc>
      </w:tr>
      <w:tr w:rsidR="008F7B90" w:rsidRPr="006721CC" w14:paraId="664170FD" w14:textId="77777777" w:rsidTr="00756179">
        <w:trPr>
          <w:trHeight w:val="20"/>
        </w:trPr>
        <w:tc>
          <w:tcPr>
            <w:tcW w:w="1890" w:type="pct"/>
            <w:shd w:val="clear" w:color="auto" w:fill="auto"/>
            <w:vAlign w:val="center"/>
            <w:hideMark/>
          </w:tcPr>
          <w:p w14:paraId="3D1F6CE4" w14:textId="7398AFF4"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Promising Modalities to Identify and Monitor Eosinophilic Esophagitis</w:t>
            </w:r>
          </w:p>
        </w:tc>
        <w:tc>
          <w:tcPr>
            <w:tcW w:w="321" w:type="pct"/>
            <w:shd w:val="clear" w:color="auto" w:fill="auto"/>
            <w:vAlign w:val="center"/>
            <w:hideMark/>
          </w:tcPr>
          <w:p w14:paraId="79A148AE"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2017</w:t>
            </w:r>
          </w:p>
        </w:tc>
        <w:tc>
          <w:tcPr>
            <w:tcW w:w="1411" w:type="pct"/>
            <w:shd w:val="clear" w:color="auto" w:fill="auto"/>
            <w:vAlign w:val="center"/>
            <w:hideMark/>
          </w:tcPr>
          <w:p w14:paraId="3B6E43F5"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Hiremath, G. and Gupta, S. K.</w:t>
            </w:r>
          </w:p>
        </w:tc>
        <w:tc>
          <w:tcPr>
            <w:tcW w:w="577" w:type="pct"/>
            <w:shd w:val="clear" w:color="auto" w:fill="auto"/>
            <w:vAlign w:val="center"/>
            <w:hideMark/>
          </w:tcPr>
          <w:p w14:paraId="1031D484"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Clinical Gastroenterology and Hepatology</w:t>
            </w:r>
          </w:p>
        </w:tc>
        <w:tc>
          <w:tcPr>
            <w:tcW w:w="801" w:type="pct"/>
            <w:shd w:val="clear" w:color="auto" w:fill="auto"/>
            <w:vAlign w:val="center"/>
            <w:hideMark/>
          </w:tcPr>
          <w:p w14:paraId="62B27C81"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http://dx.doi.org/10.1016/j.cgh.2017.05.004</w:t>
            </w:r>
          </w:p>
        </w:tc>
      </w:tr>
      <w:tr w:rsidR="008F7B90" w:rsidRPr="006721CC" w14:paraId="0AE6DD46" w14:textId="77777777" w:rsidTr="00756179">
        <w:trPr>
          <w:trHeight w:val="20"/>
        </w:trPr>
        <w:tc>
          <w:tcPr>
            <w:tcW w:w="1890" w:type="pct"/>
            <w:shd w:val="clear" w:color="auto" w:fill="auto"/>
            <w:vAlign w:val="center"/>
            <w:hideMark/>
          </w:tcPr>
          <w:p w14:paraId="779889DA" w14:textId="61A369AB"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Diagnostic value of a pattern of exhaled breath condensate biomarkers in asthmatic children</w:t>
            </w:r>
          </w:p>
        </w:tc>
        <w:tc>
          <w:tcPr>
            <w:tcW w:w="321" w:type="pct"/>
            <w:shd w:val="clear" w:color="auto" w:fill="auto"/>
            <w:vAlign w:val="center"/>
            <w:hideMark/>
          </w:tcPr>
          <w:p w14:paraId="31ED5846"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2017</w:t>
            </w:r>
          </w:p>
        </w:tc>
        <w:tc>
          <w:tcPr>
            <w:tcW w:w="1411" w:type="pct"/>
            <w:shd w:val="clear" w:color="auto" w:fill="auto"/>
            <w:vAlign w:val="center"/>
            <w:hideMark/>
          </w:tcPr>
          <w:p w14:paraId="79603471"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Maloca Vuljanko, I., Turkalj, M., Nogalo, B., Bulat Lokas, S. and Plavec, D.</w:t>
            </w:r>
          </w:p>
        </w:tc>
        <w:tc>
          <w:tcPr>
            <w:tcW w:w="577" w:type="pct"/>
            <w:shd w:val="clear" w:color="auto" w:fill="auto"/>
            <w:vAlign w:val="center"/>
            <w:hideMark/>
          </w:tcPr>
          <w:p w14:paraId="7AC8CA09"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Allergologia et Immunopathologia</w:t>
            </w:r>
          </w:p>
        </w:tc>
        <w:tc>
          <w:tcPr>
            <w:tcW w:w="801" w:type="pct"/>
            <w:shd w:val="clear" w:color="auto" w:fill="auto"/>
            <w:vAlign w:val="center"/>
            <w:hideMark/>
          </w:tcPr>
          <w:p w14:paraId="03FBA632"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http://dx.doi.org/10.1016/j.aller.2016.05.001</w:t>
            </w:r>
          </w:p>
        </w:tc>
      </w:tr>
      <w:tr w:rsidR="008F7B90" w:rsidRPr="006721CC" w14:paraId="379A599D" w14:textId="77777777" w:rsidTr="00756179">
        <w:trPr>
          <w:trHeight w:val="20"/>
        </w:trPr>
        <w:tc>
          <w:tcPr>
            <w:tcW w:w="1890" w:type="pct"/>
            <w:shd w:val="clear" w:color="auto" w:fill="auto"/>
            <w:vAlign w:val="center"/>
            <w:hideMark/>
          </w:tcPr>
          <w:p w14:paraId="55C36EE4" w14:textId="56CE08AE"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Improved Cough and Cough-Specific Quality of Life in Patients Treated for Scleroderma-Related Interstitial Lung Disease: Results of Scleroderma Lung Study II</w:t>
            </w:r>
          </w:p>
        </w:tc>
        <w:tc>
          <w:tcPr>
            <w:tcW w:w="321" w:type="pct"/>
            <w:shd w:val="clear" w:color="auto" w:fill="auto"/>
            <w:vAlign w:val="center"/>
            <w:hideMark/>
          </w:tcPr>
          <w:p w14:paraId="4581FDF7"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2017</w:t>
            </w:r>
          </w:p>
        </w:tc>
        <w:tc>
          <w:tcPr>
            <w:tcW w:w="1411" w:type="pct"/>
            <w:shd w:val="clear" w:color="auto" w:fill="auto"/>
            <w:vAlign w:val="center"/>
            <w:hideMark/>
          </w:tcPr>
          <w:p w14:paraId="26F8BE1B"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Tashkin, D. P., Volkmann, E. R., Tseng, C. H., Roth, M. D., Khanna, D., Furst, D. E., Clements, P. J., Theodore, A., Kafaja, S., Kim, G. H., Goldin, J., Ariolla, E. and Elashoff, R. M.</w:t>
            </w:r>
          </w:p>
        </w:tc>
        <w:tc>
          <w:tcPr>
            <w:tcW w:w="577" w:type="pct"/>
            <w:shd w:val="clear" w:color="auto" w:fill="auto"/>
            <w:vAlign w:val="center"/>
            <w:hideMark/>
          </w:tcPr>
          <w:p w14:paraId="2FA1CF53"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Chest</w:t>
            </w:r>
          </w:p>
        </w:tc>
        <w:tc>
          <w:tcPr>
            <w:tcW w:w="801" w:type="pct"/>
            <w:shd w:val="clear" w:color="auto" w:fill="auto"/>
            <w:vAlign w:val="center"/>
            <w:hideMark/>
          </w:tcPr>
          <w:p w14:paraId="6D9B81DC"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http://dx.doi.org/10.1016/j.chest.2016.11.052</w:t>
            </w:r>
          </w:p>
        </w:tc>
      </w:tr>
      <w:tr w:rsidR="008F7B90" w:rsidRPr="006721CC" w14:paraId="01F0EF8E" w14:textId="77777777" w:rsidTr="00756179">
        <w:trPr>
          <w:trHeight w:val="20"/>
        </w:trPr>
        <w:tc>
          <w:tcPr>
            <w:tcW w:w="1890" w:type="pct"/>
            <w:shd w:val="clear" w:color="auto" w:fill="auto"/>
            <w:vAlign w:val="center"/>
            <w:hideMark/>
          </w:tcPr>
          <w:p w14:paraId="376CBBF2" w14:textId="7BDEFBF3"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lastRenderedPageBreak/>
              <w:t>Clinical symptom tool that raises the index of suspicion for eosinophilic oesophagitis in adults and drives earlier biopsy for definitive diagnosis</w:t>
            </w:r>
          </w:p>
        </w:tc>
        <w:tc>
          <w:tcPr>
            <w:tcW w:w="321" w:type="pct"/>
            <w:shd w:val="clear" w:color="auto" w:fill="auto"/>
            <w:vAlign w:val="center"/>
            <w:hideMark/>
          </w:tcPr>
          <w:p w14:paraId="6172F992"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2017</w:t>
            </w:r>
          </w:p>
        </w:tc>
        <w:tc>
          <w:tcPr>
            <w:tcW w:w="1411" w:type="pct"/>
            <w:shd w:val="clear" w:color="auto" w:fill="auto"/>
            <w:vAlign w:val="center"/>
            <w:hideMark/>
          </w:tcPr>
          <w:p w14:paraId="12DD3AE5"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Von Arnim, U., Rohl, F. W., Miehlke, S., Jechorek, D., Reinhold, D., Wex, T. and Malfertheiner, P.</w:t>
            </w:r>
          </w:p>
        </w:tc>
        <w:tc>
          <w:tcPr>
            <w:tcW w:w="577" w:type="pct"/>
            <w:shd w:val="clear" w:color="auto" w:fill="auto"/>
            <w:vAlign w:val="center"/>
            <w:hideMark/>
          </w:tcPr>
          <w:p w14:paraId="4C292966"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Alimentary Pharmacology and Therapeutics</w:t>
            </w:r>
          </w:p>
        </w:tc>
        <w:tc>
          <w:tcPr>
            <w:tcW w:w="801" w:type="pct"/>
            <w:shd w:val="clear" w:color="auto" w:fill="auto"/>
            <w:vAlign w:val="center"/>
            <w:hideMark/>
          </w:tcPr>
          <w:p w14:paraId="62260F76"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http://dx.doi.org/10.1111/apt.13869</w:t>
            </w:r>
          </w:p>
        </w:tc>
      </w:tr>
      <w:tr w:rsidR="008F7B90" w:rsidRPr="006721CC" w14:paraId="525837C5" w14:textId="77777777" w:rsidTr="00756179">
        <w:trPr>
          <w:trHeight w:val="20"/>
        </w:trPr>
        <w:tc>
          <w:tcPr>
            <w:tcW w:w="1890" w:type="pct"/>
            <w:shd w:val="clear" w:color="auto" w:fill="auto"/>
            <w:vAlign w:val="center"/>
            <w:hideMark/>
          </w:tcPr>
          <w:p w14:paraId="1322DBED" w14:textId="79086BCD"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A pilot randomized clinical trial assessing the effect of cricoid pressure on risk of aspiration</w:t>
            </w:r>
          </w:p>
        </w:tc>
        <w:tc>
          <w:tcPr>
            <w:tcW w:w="321" w:type="pct"/>
            <w:shd w:val="clear" w:color="auto" w:fill="auto"/>
            <w:vAlign w:val="center"/>
            <w:hideMark/>
          </w:tcPr>
          <w:p w14:paraId="3B5BD590"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2018</w:t>
            </w:r>
          </w:p>
        </w:tc>
        <w:tc>
          <w:tcPr>
            <w:tcW w:w="1411" w:type="pct"/>
            <w:shd w:val="clear" w:color="auto" w:fill="auto"/>
            <w:vAlign w:val="center"/>
            <w:hideMark/>
          </w:tcPr>
          <w:p w14:paraId="4D1CC436"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Bohman, J. K., Kashyap, R., Lee, A., He, Z., Soundar, S., Bolling, L. L. and Kor, D. J.</w:t>
            </w:r>
          </w:p>
        </w:tc>
        <w:tc>
          <w:tcPr>
            <w:tcW w:w="577" w:type="pct"/>
            <w:shd w:val="clear" w:color="auto" w:fill="auto"/>
            <w:vAlign w:val="center"/>
            <w:hideMark/>
          </w:tcPr>
          <w:p w14:paraId="63A02FB8"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Clinical Respiratory Journal</w:t>
            </w:r>
          </w:p>
        </w:tc>
        <w:tc>
          <w:tcPr>
            <w:tcW w:w="801" w:type="pct"/>
            <w:shd w:val="clear" w:color="auto" w:fill="auto"/>
            <w:vAlign w:val="center"/>
            <w:hideMark/>
          </w:tcPr>
          <w:p w14:paraId="13539976"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http://dx.doi.org/10.1111/crj.12508</w:t>
            </w:r>
          </w:p>
        </w:tc>
      </w:tr>
      <w:tr w:rsidR="008F7B90" w:rsidRPr="006721CC" w14:paraId="7EBB03AC" w14:textId="77777777" w:rsidTr="00756179">
        <w:trPr>
          <w:trHeight w:val="20"/>
        </w:trPr>
        <w:tc>
          <w:tcPr>
            <w:tcW w:w="1890" w:type="pct"/>
            <w:shd w:val="clear" w:color="auto" w:fill="auto"/>
            <w:vAlign w:val="center"/>
            <w:hideMark/>
          </w:tcPr>
          <w:p w14:paraId="1D605C81" w14:textId="0CA5A625"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OPCML is hypermethylated in a subset of patients with metaplastic changes in their esophagus</w:t>
            </w:r>
          </w:p>
        </w:tc>
        <w:tc>
          <w:tcPr>
            <w:tcW w:w="321" w:type="pct"/>
            <w:shd w:val="clear" w:color="auto" w:fill="auto"/>
            <w:vAlign w:val="center"/>
            <w:hideMark/>
          </w:tcPr>
          <w:p w14:paraId="14C995D6"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2018</w:t>
            </w:r>
          </w:p>
        </w:tc>
        <w:tc>
          <w:tcPr>
            <w:tcW w:w="1411" w:type="pct"/>
            <w:shd w:val="clear" w:color="auto" w:fill="auto"/>
            <w:vAlign w:val="center"/>
            <w:hideMark/>
          </w:tcPr>
          <w:p w14:paraId="1485E579"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Castano-Rodriguez, N., Popple, G. L., Porras-Hurtado, G. L., Cardona-Deazza, J. L., Montoya-Martinez, J. J., Cadavid-Velez, A. J., Toro-Hidalgo, H. W., Cobo-Alvarado, A. R., Del Socorro Hincapie-Rincon, O., Riordan, S. M. and Kaakoush, N. O.</w:t>
            </w:r>
          </w:p>
        </w:tc>
        <w:tc>
          <w:tcPr>
            <w:tcW w:w="577" w:type="pct"/>
            <w:shd w:val="clear" w:color="auto" w:fill="auto"/>
            <w:vAlign w:val="center"/>
            <w:hideMark/>
          </w:tcPr>
          <w:p w14:paraId="6FC1054E"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Biomarker Research</w:t>
            </w:r>
          </w:p>
        </w:tc>
        <w:tc>
          <w:tcPr>
            <w:tcW w:w="801" w:type="pct"/>
            <w:shd w:val="clear" w:color="auto" w:fill="auto"/>
            <w:vAlign w:val="center"/>
            <w:hideMark/>
          </w:tcPr>
          <w:p w14:paraId="5AF583EF"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http://dx.doi.org/10.1186/s40364-018-0150-y</w:t>
            </w:r>
          </w:p>
        </w:tc>
      </w:tr>
      <w:tr w:rsidR="008F7B90" w:rsidRPr="006721CC" w14:paraId="59A0FDA8" w14:textId="77777777" w:rsidTr="00756179">
        <w:trPr>
          <w:trHeight w:val="20"/>
        </w:trPr>
        <w:tc>
          <w:tcPr>
            <w:tcW w:w="1890" w:type="pct"/>
            <w:shd w:val="clear" w:color="auto" w:fill="auto"/>
            <w:vAlign w:val="center"/>
            <w:hideMark/>
          </w:tcPr>
          <w:p w14:paraId="6788D25F" w14:textId="3A627C61"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Methylation panel is a diagnostic biomarker for Barrett's oesophagus in endoscopic biopsies and non-endoscopic cytology specimens</w:t>
            </w:r>
          </w:p>
        </w:tc>
        <w:tc>
          <w:tcPr>
            <w:tcW w:w="321" w:type="pct"/>
            <w:shd w:val="clear" w:color="auto" w:fill="auto"/>
            <w:vAlign w:val="center"/>
            <w:hideMark/>
          </w:tcPr>
          <w:p w14:paraId="06FB6E24"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2018</w:t>
            </w:r>
          </w:p>
        </w:tc>
        <w:tc>
          <w:tcPr>
            <w:tcW w:w="1411" w:type="pct"/>
            <w:shd w:val="clear" w:color="auto" w:fill="auto"/>
            <w:vAlign w:val="center"/>
            <w:hideMark/>
          </w:tcPr>
          <w:p w14:paraId="76BD1691"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Chettouh, H., Mowforth, O., Galeano-Dalmau, N., Bezawada, N., Ross-Innes, C., Macrae, S., Debiram-Beecham, I., O'donovan, M. and Fitzgerald, R. C.</w:t>
            </w:r>
          </w:p>
        </w:tc>
        <w:tc>
          <w:tcPr>
            <w:tcW w:w="577" w:type="pct"/>
            <w:shd w:val="clear" w:color="auto" w:fill="auto"/>
            <w:vAlign w:val="center"/>
            <w:hideMark/>
          </w:tcPr>
          <w:p w14:paraId="4F17C16B"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Gut</w:t>
            </w:r>
          </w:p>
        </w:tc>
        <w:tc>
          <w:tcPr>
            <w:tcW w:w="801" w:type="pct"/>
            <w:shd w:val="clear" w:color="auto" w:fill="auto"/>
            <w:vAlign w:val="center"/>
            <w:hideMark/>
          </w:tcPr>
          <w:p w14:paraId="5D6412BE"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http://dx.doi.org/10.1136/gutjnl-2017-314026</w:t>
            </w:r>
          </w:p>
        </w:tc>
      </w:tr>
      <w:tr w:rsidR="008F7B90" w:rsidRPr="006721CC" w14:paraId="1F50193E" w14:textId="77777777" w:rsidTr="00756179">
        <w:trPr>
          <w:trHeight w:val="20"/>
        </w:trPr>
        <w:tc>
          <w:tcPr>
            <w:tcW w:w="1890" w:type="pct"/>
            <w:shd w:val="clear" w:color="auto" w:fill="auto"/>
            <w:vAlign w:val="center"/>
            <w:hideMark/>
          </w:tcPr>
          <w:p w14:paraId="102FFC03" w14:textId="146091C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Short-Term Neurodevelopmental Outcome in Children Born With High-Risk Congenital Lung Lesions</w:t>
            </w:r>
          </w:p>
        </w:tc>
        <w:tc>
          <w:tcPr>
            <w:tcW w:w="321" w:type="pct"/>
            <w:shd w:val="clear" w:color="auto" w:fill="auto"/>
            <w:vAlign w:val="center"/>
            <w:hideMark/>
          </w:tcPr>
          <w:p w14:paraId="1BE3BABC"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2018</w:t>
            </w:r>
          </w:p>
        </w:tc>
        <w:tc>
          <w:tcPr>
            <w:tcW w:w="1411" w:type="pct"/>
            <w:shd w:val="clear" w:color="auto" w:fill="auto"/>
            <w:vAlign w:val="center"/>
            <w:hideMark/>
          </w:tcPr>
          <w:p w14:paraId="0A7F8841"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Danzer, E., Hoffman, C., D'agostino, J. A., Boelig, M. M., Gerdes, M., Bernbaum, J. C., Rosenthal, H., Waqar, L. N., Rintoul, N. E., Herkert, L. M., Kallan, M. J., Peranteau, W. H., Flake, A. W., Adzick, N. S. and Hedrick, H. L.</w:t>
            </w:r>
          </w:p>
        </w:tc>
        <w:tc>
          <w:tcPr>
            <w:tcW w:w="577" w:type="pct"/>
            <w:shd w:val="clear" w:color="auto" w:fill="auto"/>
            <w:vAlign w:val="center"/>
            <w:hideMark/>
          </w:tcPr>
          <w:p w14:paraId="599AE3CD"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Annals of Thoracic Surgery</w:t>
            </w:r>
          </w:p>
        </w:tc>
        <w:tc>
          <w:tcPr>
            <w:tcW w:w="801" w:type="pct"/>
            <w:shd w:val="clear" w:color="auto" w:fill="auto"/>
            <w:vAlign w:val="center"/>
            <w:hideMark/>
          </w:tcPr>
          <w:p w14:paraId="26222689"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http://dx.doi.org/10.1016/j.athoracsur.2018.01.033</w:t>
            </w:r>
          </w:p>
        </w:tc>
      </w:tr>
      <w:tr w:rsidR="008F7B90" w:rsidRPr="006721CC" w14:paraId="3BAD7DA6" w14:textId="77777777" w:rsidTr="00756179">
        <w:trPr>
          <w:trHeight w:val="20"/>
        </w:trPr>
        <w:tc>
          <w:tcPr>
            <w:tcW w:w="1890" w:type="pct"/>
            <w:shd w:val="clear" w:color="auto" w:fill="auto"/>
            <w:vAlign w:val="center"/>
            <w:hideMark/>
          </w:tcPr>
          <w:p w14:paraId="5EE532EB" w14:textId="4602612A"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Interchangeable Use of Proton Pump Inhibitors Based on Relative Potency</w:t>
            </w:r>
          </w:p>
        </w:tc>
        <w:tc>
          <w:tcPr>
            <w:tcW w:w="321" w:type="pct"/>
            <w:shd w:val="clear" w:color="auto" w:fill="auto"/>
            <w:vAlign w:val="center"/>
            <w:hideMark/>
          </w:tcPr>
          <w:p w14:paraId="19DF4195"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2018</w:t>
            </w:r>
          </w:p>
        </w:tc>
        <w:tc>
          <w:tcPr>
            <w:tcW w:w="1411" w:type="pct"/>
            <w:shd w:val="clear" w:color="auto" w:fill="auto"/>
            <w:vAlign w:val="center"/>
            <w:hideMark/>
          </w:tcPr>
          <w:p w14:paraId="24E3AD4C"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Graham, D. Y. and Tansel, A.</w:t>
            </w:r>
          </w:p>
        </w:tc>
        <w:tc>
          <w:tcPr>
            <w:tcW w:w="577" w:type="pct"/>
            <w:shd w:val="clear" w:color="auto" w:fill="auto"/>
            <w:vAlign w:val="center"/>
            <w:hideMark/>
          </w:tcPr>
          <w:p w14:paraId="4D7C10FA"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Clinical Gastroenterology and Hepatology</w:t>
            </w:r>
          </w:p>
        </w:tc>
        <w:tc>
          <w:tcPr>
            <w:tcW w:w="801" w:type="pct"/>
            <w:shd w:val="clear" w:color="auto" w:fill="auto"/>
            <w:vAlign w:val="center"/>
            <w:hideMark/>
          </w:tcPr>
          <w:p w14:paraId="2BA434E4"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http://dx.doi.org/10.1016/j.cgh.2017.09.033</w:t>
            </w:r>
          </w:p>
        </w:tc>
      </w:tr>
      <w:tr w:rsidR="008F7B90" w:rsidRPr="006721CC" w14:paraId="37C6CA71" w14:textId="77777777" w:rsidTr="00756179">
        <w:trPr>
          <w:trHeight w:val="20"/>
        </w:trPr>
        <w:tc>
          <w:tcPr>
            <w:tcW w:w="1890" w:type="pct"/>
            <w:shd w:val="clear" w:color="auto" w:fill="auto"/>
            <w:vAlign w:val="center"/>
            <w:hideMark/>
          </w:tcPr>
          <w:p w14:paraId="09BA1D4E" w14:textId="62FDD3BB"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Pepsin in saliva as a diagnostic marker for gastroesophageal reflux disease: A meta-analysis</w:t>
            </w:r>
          </w:p>
        </w:tc>
        <w:tc>
          <w:tcPr>
            <w:tcW w:w="321" w:type="pct"/>
            <w:shd w:val="clear" w:color="auto" w:fill="auto"/>
            <w:vAlign w:val="center"/>
            <w:hideMark/>
          </w:tcPr>
          <w:p w14:paraId="4402DE33"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2018</w:t>
            </w:r>
          </w:p>
        </w:tc>
        <w:tc>
          <w:tcPr>
            <w:tcW w:w="1411" w:type="pct"/>
            <w:shd w:val="clear" w:color="auto" w:fill="auto"/>
            <w:vAlign w:val="center"/>
            <w:hideMark/>
          </w:tcPr>
          <w:p w14:paraId="3D133274"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Guo, Z., Wu, H., Jiang, J. and Zhang, C.</w:t>
            </w:r>
          </w:p>
        </w:tc>
        <w:tc>
          <w:tcPr>
            <w:tcW w:w="577" w:type="pct"/>
            <w:shd w:val="clear" w:color="auto" w:fill="auto"/>
            <w:vAlign w:val="center"/>
            <w:hideMark/>
          </w:tcPr>
          <w:p w14:paraId="24836382"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Medical Science Monitor</w:t>
            </w:r>
          </w:p>
        </w:tc>
        <w:tc>
          <w:tcPr>
            <w:tcW w:w="801" w:type="pct"/>
            <w:shd w:val="clear" w:color="auto" w:fill="auto"/>
            <w:vAlign w:val="center"/>
            <w:hideMark/>
          </w:tcPr>
          <w:p w14:paraId="5F8D441F"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http://dx.doi.org/10.12659/MSM.913978</w:t>
            </w:r>
          </w:p>
        </w:tc>
      </w:tr>
      <w:tr w:rsidR="008F7B90" w:rsidRPr="006721CC" w14:paraId="1B254312" w14:textId="77777777" w:rsidTr="00756179">
        <w:trPr>
          <w:trHeight w:val="20"/>
        </w:trPr>
        <w:tc>
          <w:tcPr>
            <w:tcW w:w="1890" w:type="pct"/>
            <w:shd w:val="clear" w:color="auto" w:fill="auto"/>
            <w:vAlign w:val="center"/>
            <w:hideMark/>
          </w:tcPr>
          <w:p w14:paraId="60511276" w14:textId="1A2B722F"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Predictive Biomarkers of Gastroesophageal Reflux Disease and Barrett's Esophagus in World Trade Center Exposed Firefighters: a 15 Year Longitudinal Study</w:t>
            </w:r>
          </w:p>
        </w:tc>
        <w:tc>
          <w:tcPr>
            <w:tcW w:w="321" w:type="pct"/>
            <w:shd w:val="clear" w:color="auto" w:fill="auto"/>
            <w:vAlign w:val="center"/>
            <w:hideMark/>
          </w:tcPr>
          <w:p w14:paraId="213E28AA"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2018</w:t>
            </w:r>
          </w:p>
        </w:tc>
        <w:tc>
          <w:tcPr>
            <w:tcW w:w="1411" w:type="pct"/>
            <w:shd w:val="clear" w:color="auto" w:fill="auto"/>
            <w:vAlign w:val="center"/>
            <w:hideMark/>
          </w:tcPr>
          <w:p w14:paraId="68AAB588"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Haider, S. H., Kwon, S., Lam, R., Lee, A. K., Caraher, E. J., Crowley, G., Zhang, L., Schwartz, T. M., Zeig-Owens, R., Liu, M., Prezant, D. J. and Nolan, A.</w:t>
            </w:r>
          </w:p>
        </w:tc>
        <w:tc>
          <w:tcPr>
            <w:tcW w:w="577" w:type="pct"/>
            <w:shd w:val="clear" w:color="auto" w:fill="auto"/>
            <w:vAlign w:val="center"/>
            <w:hideMark/>
          </w:tcPr>
          <w:p w14:paraId="78030FF3"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Scientific reports</w:t>
            </w:r>
          </w:p>
        </w:tc>
        <w:tc>
          <w:tcPr>
            <w:tcW w:w="801" w:type="pct"/>
            <w:shd w:val="clear" w:color="auto" w:fill="auto"/>
            <w:vAlign w:val="center"/>
            <w:hideMark/>
          </w:tcPr>
          <w:p w14:paraId="2887CC8C"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http://dx.doi.org/10.1038/s41598-018-21334-9</w:t>
            </w:r>
          </w:p>
        </w:tc>
      </w:tr>
      <w:tr w:rsidR="008F7B90" w:rsidRPr="006721CC" w14:paraId="683B9956" w14:textId="77777777" w:rsidTr="00756179">
        <w:trPr>
          <w:trHeight w:val="20"/>
        </w:trPr>
        <w:tc>
          <w:tcPr>
            <w:tcW w:w="1890" w:type="pct"/>
            <w:shd w:val="clear" w:color="auto" w:fill="auto"/>
            <w:vAlign w:val="center"/>
            <w:hideMark/>
          </w:tcPr>
          <w:p w14:paraId="7F8ACBEC" w14:textId="0E77A780"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Identification of Individuals with Functional Dyspepsia With a Simple, Minimally Invasive Test: A Single Center Cohort Study of the Oral Capsaicin Test</w:t>
            </w:r>
          </w:p>
        </w:tc>
        <w:tc>
          <w:tcPr>
            <w:tcW w:w="321" w:type="pct"/>
            <w:shd w:val="clear" w:color="auto" w:fill="auto"/>
            <w:vAlign w:val="center"/>
            <w:hideMark/>
          </w:tcPr>
          <w:p w14:paraId="0ABE1A65"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2018</w:t>
            </w:r>
          </w:p>
        </w:tc>
        <w:tc>
          <w:tcPr>
            <w:tcW w:w="1411" w:type="pct"/>
            <w:shd w:val="clear" w:color="auto" w:fill="auto"/>
            <w:vAlign w:val="center"/>
            <w:hideMark/>
          </w:tcPr>
          <w:p w14:paraId="3A073955"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Hammer, J.</w:t>
            </w:r>
          </w:p>
        </w:tc>
        <w:tc>
          <w:tcPr>
            <w:tcW w:w="577" w:type="pct"/>
            <w:shd w:val="clear" w:color="auto" w:fill="auto"/>
            <w:vAlign w:val="center"/>
            <w:hideMark/>
          </w:tcPr>
          <w:p w14:paraId="422F44E6"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American Journal of Gastroenterology</w:t>
            </w:r>
          </w:p>
        </w:tc>
        <w:tc>
          <w:tcPr>
            <w:tcW w:w="801" w:type="pct"/>
            <w:shd w:val="clear" w:color="auto" w:fill="auto"/>
            <w:vAlign w:val="center"/>
            <w:hideMark/>
          </w:tcPr>
          <w:p w14:paraId="2A730F49"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http://dx.doi.org/10.1038/ajg.2018.16</w:t>
            </w:r>
          </w:p>
        </w:tc>
      </w:tr>
      <w:tr w:rsidR="008F7B90" w:rsidRPr="006721CC" w14:paraId="5BA3B7E7" w14:textId="77777777" w:rsidTr="00756179">
        <w:trPr>
          <w:trHeight w:val="20"/>
        </w:trPr>
        <w:tc>
          <w:tcPr>
            <w:tcW w:w="1890" w:type="pct"/>
            <w:shd w:val="clear" w:color="auto" w:fill="auto"/>
            <w:vAlign w:val="center"/>
            <w:hideMark/>
          </w:tcPr>
          <w:p w14:paraId="517665DD" w14:textId="7BB22CC4"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Pepsin: Biomarker, mediator, and therapeutic target for reflux and aspiration</w:t>
            </w:r>
          </w:p>
        </w:tc>
        <w:tc>
          <w:tcPr>
            <w:tcW w:w="321" w:type="pct"/>
            <w:shd w:val="clear" w:color="auto" w:fill="auto"/>
            <w:vAlign w:val="center"/>
            <w:hideMark/>
          </w:tcPr>
          <w:p w14:paraId="462E9F29"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2018</w:t>
            </w:r>
          </w:p>
        </w:tc>
        <w:tc>
          <w:tcPr>
            <w:tcW w:w="1411" w:type="pct"/>
            <w:shd w:val="clear" w:color="auto" w:fill="auto"/>
            <w:vAlign w:val="center"/>
            <w:hideMark/>
          </w:tcPr>
          <w:p w14:paraId="059CB380"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Johnston, N., Dettmar, P. W., Ondrey, F. G., Nanchal, R., Lee, S. H. and Bock, J. M.</w:t>
            </w:r>
          </w:p>
        </w:tc>
        <w:tc>
          <w:tcPr>
            <w:tcW w:w="577" w:type="pct"/>
            <w:shd w:val="clear" w:color="auto" w:fill="auto"/>
            <w:vAlign w:val="center"/>
            <w:hideMark/>
          </w:tcPr>
          <w:p w14:paraId="679EF38A"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Annals of the New York Academy of Sciences.</w:t>
            </w:r>
          </w:p>
        </w:tc>
        <w:tc>
          <w:tcPr>
            <w:tcW w:w="801" w:type="pct"/>
            <w:shd w:val="clear" w:color="auto" w:fill="auto"/>
            <w:vAlign w:val="center"/>
            <w:hideMark/>
          </w:tcPr>
          <w:p w14:paraId="57F1DE42"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http://dx.doi.org/10.1111/nyas.13729</w:t>
            </w:r>
          </w:p>
        </w:tc>
      </w:tr>
      <w:tr w:rsidR="008F7B90" w:rsidRPr="006721CC" w14:paraId="42E95ADC" w14:textId="77777777" w:rsidTr="00756179">
        <w:trPr>
          <w:trHeight w:val="20"/>
        </w:trPr>
        <w:tc>
          <w:tcPr>
            <w:tcW w:w="1890" w:type="pct"/>
            <w:shd w:val="clear" w:color="auto" w:fill="auto"/>
            <w:vAlign w:val="center"/>
            <w:hideMark/>
          </w:tcPr>
          <w:p w14:paraId="32D2F621" w14:textId="40323F95"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Fragments of e-Cadherin as Biomarkers of Non-erosive Reflux Disease</w:t>
            </w:r>
          </w:p>
        </w:tc>
        <w:tc>
          <w:tcPr>
            <w:tcW w:w="321" w:type="pct"/>
            <w:shd w:val="clear" w:color="auto" w:fill="auto"/>
            <w:vAlign w:val="center"/>
            <w:hideMark/>
          </w:tcPr>
          <w:p w14:paraId="62392854"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2018</w:t>
            </w:r>
          </w:p>
        </w:tc>
        <w:tc>
          <w:tcPr>
            <w:tcW w:w="1411" w:type="pct"/>
            <w:shd w:val="clear" w:color="auto" w:fill="auto"/>
            <w:vAlign w:val="center"/>
            <w:hideMark/>
          </w:tcPr>
          <w:p w14:paraId="45CCFE46"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Jovov, B., Reed, C. C., Shaheen, N. J., Pruitt, A., Ferrell, K., Orlando, G. S., Djukic, Z. and Orlando, R. C.</w:t>
            </w:r>
          </w:p>
        </w:tc>
        <w:tc>
          <w:tcPr>
            <w:tcW w:w="577" w:type="pct"/>
            <w:shd w:val="clear" w:color="auto" w:fill="auto"/>
            <w:vAlign w:val="center"/>
            <w:hideMark/>
          </w:tcPr>
          <w:p w14:paraId="6443A283"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Digestive Diseases and Sciences</w:t>
            </w:r>
          </w:p>
        </w:tc>
        <w:tc>
          <w:tcPr>
            <w:tcW w:w="801" w:type="pct"/>
            <w:shd w:val="clear" w:color="auto" w:fill="auto"/>
            <w:vAlign w:val="center"/>
            <w:hideMark/>
          </w:tcPr>
          <w:p w14:paraId="11BE68B0"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http://dx.doi.org/10.1007/s10620-017-4815-4</w:t>
            </w:r>
          </w:p>
        </w:tc>
      </w:tr>
      <w:tr w:rsidR="008F7B90" w:rsidRPr="006721CC" w14:paraId="3FE858CA" w14:textId="77777777" w:rsidTr="00756179">
        <w:trPr>
          <w:trHeight w:val="20"/>
        </w:trPr>
        <w:tc>
          <w:tcPr>
            <w:tcW w:w="1890" w:type="pct"/>
            <w:shd w:val="clear" w:color="auto" w:fill="auto"/>
            <w:vAlign w:val="center"/>
            <w:hideMark/>
          </w:tcPr>
          <w:p w14:paraId="0D4F8556" w14:textId="2ED7A033"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Nutritional State and Feeding Behaviors of Children with Eosinophilic Esophagitis and Gastroesophageal Reflux Disease</w:t>
            </w:r>
          </w:p>
        </w:tc>
        <w:tc>
          <w:tcPr>
            <w:tcW w:w="321" w:type="pct"/>
            <w:shd w:val="clear" w:color="auto" w:fill="auto"/>
            <w:vAlign w:val="center"/>
            <w:hideMark/>
          </w:tcPr>
          <w:p w14:paraId="3EBAFECC"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2018</w:t>
            </w:r>
          </w:p>
        </w:tc>
        <w:tc>
          <w:tcPr>
            <w:tcW w:w="1411" w:type="pct"/>
            <w:shd w:val="clear" w:color="auto" w:fill="auto"/>
            <w:vAlign w:val="center"/>
            <w:hideMark/>
          </w:tcPr>
          <w:p w14:paraId="26CDA7AF"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Mehta, P., Furuta, G. T., Brennan, T., Henry, M. L., Maune, N. C., Sundaram, S. S., Menard-Katcher, C., Atkins, D., Takurukura, F., Giffen, S., Pan, Z. and Haas, A. M.</w:t>
            </w:r>
          </w:p>
        </w:tc>
        <w:tc>
          <w:tcPr>
            <w:tcW w:w="577" w:type="pct"/>
            <w:shd w:val="clear" w:color="auto" w:fill="auto"/>
            <w:vAlign w:val="center"/>
            <w:hideMark/>
          </w:tcPr>
          <w:p w14:paraId="3AA6BAAB"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Journal of Pediatric Gastroenterology and Nutrition</w:t>
            </w:r>
          </w:p>
        </w:tc>
        <w:tc>
          <w:tcPr>
            <w:tcW w:w="801" w:type="pct"/>
            <w:shd w:val="clear" w:color="auto" w:fill="auto"/>
            <w:vAlign w:val="center"/>
            <w:hideMark/>
          </w:tcPr>
          <w:p w14:paraId="295400A6"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http://dx.doi.org/10.1097/MPG.0000000000001741</w:t>
            </w:r>
          </w:p>
        </w:tc>
      </w:tr>
      <w:tr w:rsidR="008F7B90" w:rsidRPr="006721CC" w14:paraId="031FB900" w14:textId="77777777" w:rsidTr="00756179">
        <w:trPr>
          <w:trHeight w:val="20"/>
        </w:trPr>
        <w:tc>
          <w:tcPr>
            <w:tcW w:w="1890" w:type="pct"/>
            <w:shd w:val="clear" w:color="auto" w:fill="auto"/>
            <w:vAlign w:val="center"/>
            <w:hideMark/>
          </w:tcPr>
          <w:p w14:paraId="4FA303D1" w14:textId="5473D068"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lastRenderedPageBreak/>
              <w:t>Comorbidities are associated with different features of severe asthma 11 Medical and Health Sciences 1102 Cardiorespiratory Medicine and Haematology</w:t>
            </w:r>
          </w:p>
        </w:tc>
        <w:tc>
          <w:tcPr>
            <w:tcW w:w="321" w:type="pct"/>
            <w:shd w:val="clear" w:color="auto" w:fill="auto"/>
            <w:vAlign w:val="center"/>
            <w:hideMark/>
          </w:tcPr>
          <w:p w14:paraId="3BD638E0"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2018</w:t>
            </w:r>
          </w:p>
        </w:tc>
        <w:tc>
          <w:tcPr>
            <w:tcW w:w="1411" w:type="pct"/>
            <w:shd w:val="clear" w:color="auto" w:fill="auto"/>
            <w:vAlign w:val="center"/>
            <w:hideMark/>
          </w:tcPr>
          <w:p w14:paraId="2450BBF3"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Novelli, F., Bacci, E., Latorre, M., Seccia, V., Bartoli, M. L., Cianchetti, S., Dente, F. L., Franco, A. D., Celi, A. and Paggiaro, P.</w:t>
            </w:r>
          </w:p>
        </w:tc>
        <w:tc>
          <w:tcPr>
            <w:tcW w:w="577" w:type="pct"/>
            <w:shd w:val="clear" w:color="auto" w:fill="auto"/>
            <w:vAlign w:val="center"/>
            <w:hideMark/>
          </w:tcPr>
          <w:p w14:paraId="48471332"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Clinical and Molecular Allergy</w:t>
            </w:r>
          </w:p>
        </w:tc>
        <w:tc>
          <w:tcPr>
            <w:tcW w:w="801" w:type="pct"/>
            <w:shd w:val="clear" w:color="auto" w:fill="auto"/>
            <w:vAlign w:val="center"/>
            <w:hideMark/>
          </w:tcPr>
          <w:p w14:paraId="69B84EA9"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http://dx.doi.org/10.1186/s12948-018-0103-x</w:t>
            </w:r>
          </w:p>
        </w:tc>
      </w:tr>
      <w:tr w:rsidR="008F7B90" w:rsidRPr="006721CC" w14:paraId="5B86C0E9" w14:textId="77777777" w:rsidTr="00756179">
        <w:trPr>
          <w:trHeight w:val="20"/>
        </w:trPr>
        <w:tc>
          <w:tcPr>
            <w:tcW w:w="1890" w:type="pct"/>
            <w:shd w:val="clear" w:color="auto" w:fill="auto"/>
            <w:vAlign w:val="center"/>
            <w:hideMark/>
          </w:tcPr>
          <w:p w14:paraId="7308F9B5" w14:textId="2D3A7F62"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Pediatric Eosinophilic Esophagitis</w:t>
            </w:r>
          </w:p>
        </w:tc>
        <w:tc>
          <w:tcPr>
            <w:tcW w:w="321" w:type="pct"/>
            <w:shd w:val="clear" w:color="auto" w:fill="auto"/>
            <w:vAlign w:val="center"/>
            <w:hideMark/>
          </w:tcPr>
          <w:p w14:paraId="3A608440"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2018</w:t>
            </w:r>
          </w:p>
        </w:tc>
        <w:tc>
          <w:tcPr>
            <w:tcW w:w="1411" w:type="pct"/>
            <w:shd w:val="clear" w:color="auto" w:fill="auto"/>
            <w:vAlign w:val="center"/>
            <w:hideMark/>
          </w:tcPr>
          <w:p w14:paraId="23BE6098"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Posten, S., Adamiak, T. and Jensen, M.</w:t>
            </w:r>
          </w:p>
        </w:tc>
        <w:tc>
          <w:tcPr>
            <w:tcW w:w="577" w:type="pct"/>
            <w:shd w:val="clear" w:color="auto" w:fill="auto"/>
            <w:vAlign w:val="center"/>
            <w:hideMark/>
          </w:tcPr>
          <w:p w14:paraId="598C7CC9"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South Dakota medicine : the journal of the South Dakota State Medical Association</w:t>
            </w:r>
          </w:p>
        </w:tc>
        <w:tc>
          <w:tcPr>
            <w:tcW w:w="801" w:type="pct"/>
            <w:shd w:val="clear" w:color="auto" w:fill="auto"/>
            <w:vAlign w:val="center"/>
            <w:hideMark/>
          </w:tcPr>
          <w:p w14:paraId="7D9C157D" w14:textId="77777777" w:rsidR="008F7B90" w:rsidRPr="008F7B90" w:rsidRDefault="008F7B90" w:rsidP="00756179">
            <w:pPr>
              <w:spacing w:line="220" w:lineRule="exact"/>
              <w:rPr>
                <w:rFonts w:ascii="Arial" w:hAnsi="Arial" w:cs="Arial"/>
                <w:color w:val="000000"/>
                <w:sz w:val="16"/>
                <w:szCs w:val="16"/>
              </w:rPr>
            </w:pPr>
          </w:p>
        </w:tc>
      </w:tr>
      <w:tr w:rsidR="008F7B90" w:rsidRPr="006721CC" w14:paraId="0C321F96" w14:textId="77777777" w:rsidTr="00756179">
        <w:trPr>
          <w:trHeight w:val="20"/>
        </w:trPr>
        <w:tc>
          <w:tcPr>
            <w:tcW w:w="1890" w:type="pct"/>
            <w:shd w:val="clear" w:color="auto" w:fill="auto"/>
            <w:vAlign w:val="center"/>
            <w:hideMark/>
          </w:tcPr>
          <w:p w14:paraId="5BA38E39" w14:textId="7B175FE5"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Immunohistochemical assessment of Survivin and Bcl3 expression as potential biomarkers for NF-kappaB activation in the Barrett metaplasia-dysplasia-adenocarcinoma sequence</w:t>
            </w:r>
          </w:p>
        </w:tc>
        <w:tc>
          <w:tcPr>
            <w:tcW w:w="321" w:type="pct"/>
            <w:shd w:val="clear" w:color="auto" w:fill="auto"/>
            <w:vAlign w:val="center"/>
            <w:hideMark/>
          </w:tcPr>
          <w:p w14:paraId="2C9409E8"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2018</w:t>
            </w:r>
          </w:p>
        </w:tc>
        <w:tc>
          <w:tcPr>
            <w:tcW w:w="1411" w:type="pct"/>
            <w:shd w:val="clear" w:color="auto" w:fill="auto"/>
            <w:vAlign w:val="center"/>
            <w:hideMark/>
          </w:tcPr>
          <w:p w14:paraId="464CE405"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Puccio, I., Khan, S., Butt, A., Graham, D., Sehgal, V., Patel, D., Novelli, M., Lovat, L. B., Rodriguez-Justo, M. and Hamoudi, R. A.</w:t>
            </w:r>
          </w:p>
        </w:tc>
        <w:tc>
          <w:tcPr>
            <w:tcW w:w="577" w:type="pct"/>
            <w:shd w:val="clear" w:color="auto" w:fill="auto"/>
            <w:vAlign w:val="center"/>
            <w:hideMark/>
          </w:tcPr>
          <w:p w14:paraId="0ED46C63"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International Journal of Experimental Pathology</w:t>
            </w:r>
          </w:p>
        </w:tc>
        <w:tc>
          <w:tcPr>
            <w:tcW w:w="801" w:type="pct"/>
            <w:shd w:val="clear" w:color="auto" w:fill="auto"/>
            <w:vAlign w:val="center"/>
            <w:hideMark/>
          </w:tcPr>
          <w:p w14:paraId="064EB9E8"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http://dx.doi.org/10.1111/iep.12260</w:t>
            </w:r>
          </w:p>
        </w:tc>
      </w:tr>
      <w:tr w:rsidR="008F7B90" w:rsidRPr="006721CC" w14:paraId="467644D3" w14:textId="77777777" w:rsidTr="00756179">
        <w:trPr>
          <w:trHeight w:val="20"/>
        </w:trPr>
        <w:tc>
          <w:tcPr>
            <w:tcW w:w="1890" w:type="pct"/>
            <w:shd w:val="clear" w:color="auto" w:fill="auto"/>
            <w:vAlign w:val="center"/>
            <w:hideMark/>
          </w:tcPr>
          <w:p w14:paraId="79F26820" w14:textId="49FFAABB"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Blind esophageal brushing offers a safe and accurate method to monitor inflammation in children and young adults with eosinophilic esophagitis</w:t>
            </w:r>
          </w:p>
        </w:tc>
        <w:tc>
          <w:tcPr>
            <w:tcW w:w="321" w:type="pct"/>
            <w:shd w:val="clear" w:color="auto" w:fill="auto"/>
            <w:vAlign w:val="center"/>
            <w:hideMark/>
          </w:tcPr>
          <w:p w14:paraId="63917B06"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2018</w:t>
            </w:r>
          </w:p>
        </w:tc>
        <w:tc>
          <w:tcPr>
            <w:tcW w:w="1411" w:type="pct"/>
            <w:shd w:val="clear" w:color="auto" w:fill="auto"/>
            <w:vAlign w:val="center"/>
            <w:hideMark/>
          </w:tcPr>
          <w:p w14:paraId="5F29887E"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Smadi, Y., Deb, C., Bornstein, J., Safder, S., Horvath, K. and Mehta, D.</w:t>
            </w:r>
          </w:p>
        </w:tc>
        <w:tc>
          <w:tcPr>
            <w:tcW w:w="577" w:type="pct"/>
            <w:shd w:val="clear" w:color="auto" w:fill="auto"/>
            <w:vAlign w:val="center"/>
            <w:hideMark/>
          </w:tcPr>
          <w:p w14:paraId="57663884"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Diseases of the Esophagus</w:t>
            </w:r>
          </w:p>
        </w:tc>
        <w:tc>
          <w:tcPr>
            <w:tcW w:w="801" w:type="pct"/>
            <w:shd w:val="clear" w:color="auto" w:fill="auto"/>
            <w:vAlign w:val="center"/>
            <w:hideMark/>
          </w:tcPr>
          <w:p w14:paraId="07930BA1"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http://dx.doi.org/10.1093/dote/doy056</w:t>
            </w:r>
          </w:p>
        </w:tc>
      </w:tr>
      <w:tr w:rsidR="008F7B90" w:rsidRPr="006721CC" w14:paraId="3E6A3F92" w14:textId="77777777" w:rsidTr="00756179">
        <w:trPr>
          <w:trHeight w:val="20"/>
        </w:trPr>
        <w:tc>
          <w:tcPr>
            <w:tcW w:w="1890" w:type="pct"/>
            <w:shd w:val="clear" w:color="auto" w:fill="auto"/>
            <w:vAlign w:val="center"/>
            <w:hideMark/>
          </w:tcPr>
          <w:p w14:paraId="423B2440" w14:textId="391CE8F5"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Prospective single arm study on the effect of ilaprazole in patients with heartburn but no reflux esophagitis</w:t>
            </w:r>
          </w:p>
        </w:tc>
        <w:tc>
          <w:tcPr>
            <w:tcW w:w="321" w:type="pct"/>
            <w:shd w:val="clear" w:color="auto" w:fill="auto"/>
            <w:vAlign w:val="center"/>
            <w:hideMark/>
          </w:tcPr>
          <w:p w14:paraId="71EA7DAB"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2018</w:t>
            </w:r>
          </w:p>
        </w:tc>
        <w:tc>
          <w:tcPr>
            <w:tcW w:w="1411" w:type="pct"/>
            <w:shd w:val="clear" w:color="auto" w:fill="auto"/>
            <w:vAlign w:val="center"/>
            <w:hideMark/>
          </w:tcPr>
          <w:p w14:paraId="4BE401D5"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Song, I. J., Kim, H. K., Lee, N. K. and Lee, S. K.</w:t>
            </w:r>
          </w:p>
        </w:tc>
        <w:tc>
          <w:tcPr>
            <w:tcW w:w="577" w:type="pct"/>
            <w:shd w:val="clear" w:color="auto" w:fill="auto"/>
            <w:vAlign w:val="center"/>
            <w:hideMark/>
          </w:tcPr>
          <w:p w14:paraId="052713D6"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Yonsei Medical Journal</w:t>
            </w:r>
          </w:p>
        </w:tc>
        <w:tc>
          <w:tcPr>
            <w:tcW w:w="801" w:type="pct"/>
            <w:shd w:val="clear" w:color="auto" w:fill="auto"/>
            <w:vAlign w:val="center"/>
            <w:hideMark/>
          </w:tcPr>
          <w:p w14:paraId="4730A8D9"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http://dx.doi.org/10.3349/ymj.2018.59.8.951</w:t>
            </w:r>
          </w:p>
        </w:tc>
      </w:tr>
      <w:tr w:rsidR="008F7B90" w:rsidRPr="006721CC" w14:paraId="1785D42C" w14:textId="77777777" w:rsidTr="00756179">
        <w:trPr>
          <w:trHeight w:val="20"/>
        </w:trPr>
        <w:tc>
          <w:tcPr>
            <w:tcW w:w="1890" w:type="pct"/>
            <w:shd w:val="clear" w:color="auto" w:fill="auto"/>
            <w:vAlign w:val="center"/>
            <w:hideMark/>
          </w:tcPr>
          <w:p w14:paraId="0D1594D1" w14:textId="1E0A2DD5"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Review: Helicobacter pylori and non-malignant upper gastrointestinal diseases</w:t>
            </w:r>
          </w:p>
        </w:tc>
        <w:tc>
          <w:tcPr>
            <w:tcW w:w="321" w:type="pct"/>
            <w:shd w:val="clear" w:color="auto" w:fill="auto"/>
            <w:vAlign w:val="center"/>
            <w:hideMark/>
          </w:tcPr>
          <w:p w14:paraId="0FFAC210"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2019</w:t>
            </w:r>
          </w:p>
        </w:tc>
        <w:tc>
          <w:tcPr>
            <w:tcW w:w="1411" w:type="pct"/>
            <w:shd w:val="clear" w:color="auto" w:fill="auto"/>
            <w:vAlign w:val="center"/>
            <w:hideMark/>
          </w:tcPr>
          <w:p w14:paraId="21F392C4"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Boltin, D., Niv, Y., Schutte, K. and Schulz, C.</w:t>
            </w:r>
          </w:p>
        </w:tc>
        <w:tc>
          <w:tcPr>
            <w:tcW w:w="577" w:type="pct"/>
            <w:shd w:val="clear" w:color="auto" w:fill="auto"/>
            <w:vAlign w:val="center"/>
            <w:hideMark/>
          </w:tcPr>
          <w:p w14:paraId="18523076"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Helicobacter</w:t>
            </w:r>
          </w:p>
        </w:tc>
        <w:tc>
          <w:tcPr>
            <w:tcW w:w="801" w:type="pct"/>
            <w:shd w:val="clear" w:color="auto" w:fill="auto"/>
            <w:vAlign w:val="center"/>
            <w:hideMark/>
          </w:tcPr>
          <w:p w14:paraId="2419EEBE"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http://dx.doi.org/10.1111/hel.12637</w:t>
            </w:r>
          </w:p>
        </w:tc>
      </w:tr>
      <w:tr w:rsidR="008F7B90" w:rsidRPr="006721CC" w14:paraId="51E36550" w14:textId="77777777" w:rsidTr="00756179">
        <w:trPr>
          <w:trHeight w:val="20"/>
        </w:trPr>
        <w:tc>
          <w:tcPr>
            <w:tcW w:w="1890" w:type="pct"/>
            <w:shd w:val="clear" w:color="auto" w:fill="auto"/>
            <w:vAlign w:val="center"/>
            <w:hideMark/>
          </w:tcPr>
          <w:p w14:paraId="04294965" w14:textId="4A296EE6"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Functional dyspepsia susceptibility is associated with TGFB1 gene polymorphisms (RS4803455, RS1800469) in H pylori-negative Chinese population</w:t>
            </w:r>
          </w:p>
        </w:tc>
        <w:tc>
          <w:tcPr>
            <w:tcW w:w="321" w:type="pct"/>
            <w:shd w:val="clear" w:color="auto" w:fill="auto"/>
            <w:vAlign w:val="center"/>
            <w:hideMark/>
          </w:tcPr>
          <w:p w14:paraId="3EF15E04"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2019</w:t>
            </w:r>
          </w:p>
        </w:tc>
        <w:tc>
          <w:tcPr>
            <w:tcW w:w="1411" w:type="pct"/>
            <w:shd w:val="clear" w:color="auto" w:fill="auto"/>
            <w:vAlign w:val="center"/>
            <w:hideMark/>
          </w:tcPr>
          <w:p w14:paraId="4CB08D61"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Cheung, C. K. Y., Lan, L. L., Chan, Y., Yuen, K., Cheong, P. K., Fang, F. and Wu, J. C. Y.</w:t>
            </w:r>
          </w:p>
        </w:tc>
        <w:tc>
          <w:tcPr>
            <w:tcW w:w="577" w:type="pct"/>
            <w:shd w:val="clear" w:color="auto" w:fill="auto"/>
            <w:vAlign w:val="center"/>
            <w:hideMark/>
          </w:tcPr>
          <w:p w14:paraId="2C2C987B"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Neurogastroenterology and Motility</w:t>
            </w:r>
          </w:p>
        </w:tc>
        <w:tc>
          <w:tcPr>
            <w:tcW w:w="801" w:type="pct"/>
            <w:shd w:val="clear" w:color="auto" w:fill="auto"/>
            <w:vAlign w:val="center"/>
            <w:hideMark/>
          </w:tcPr>
          <w:p w14:paraId="45E28325"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http://dx.doi.org/10.1111/nmo.13681</w:t>
            </w:r>
          </w:p>
        </w:tc>
      </w:tr>
      <w:tr w:rsidR="008F7B90" w:rsidRPr="006721CC" w14:paraId="54AAE6A5" w14:textId="77777777" w:rsidTr="00756179">
        <w:trPr>
          <w:trHeight w:val="20"/>
        </w:trPr>
        <w:tc>
          <w:tcPr>
            <w:tcW w:w="1890" w:type="pct"/>
            <w:shd w:val="clear" w:color="auto" w:fill="auto"/>
            <w:vAlign w:val="center"/>
            <w:hideMark/>
          </w:tcPr>
          <w:p w14:paraId="1BB29804" w14:textId="622CD51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Plasma levels of TNF-alpha, IL-6, IFN-gamma, IL-12, IL-17, IL-22, and IL-23 in achalasia, eosinophilic esophagitis (EoE), and gastroesophageal reflux disease (GERD)</w:t>
            </w:r>
          </w:p>
        </w:tc>
        <w:tc>
          <w:tcPr>
            <w:tcW w:w="321" w:type="pct"/>
            <w:shd w:val="clear" w:color="auto" w:fill="auto"/>
            <w:vAlign w:val="center"/>
            <w:hideMark/>
          </w:tcPr>
          <w:p w14:paraId="2D7E95CA"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2019</w:t>
            </w:r>
          </w:p>
        </w:tc>
        <w:tc>
          <w:tcPr>
            <w:tcW w:w="1411" w:type="pct"/>
            <w:shd w:val="clear" w:color="auto" w:fill="auto"/>
            <w:vAlign w:val="center"/>
            <w:hideMark/>
          </w:tcPr>
          <w:p w14:paraId="6C453308"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Clayton, S., Cauble, E., Kumar, A., Patil, N., Ledford, D., Kolliputi, N., Lopes-Virella, M. F., Castell, D. and Richter, J.</w:t>
            </w:r>
          </w:p>
        </w:tc>
        <w:tc>
          <w:tcPr>
            <w:tcW w:w="577" w:type="pct"/>
            <w:shd w:val="clear" w:color="auto" w:fill="auto"/>
            <w:vAlign w:val="center"/>
            <w:hideMark/>
          </w:tcPr>
          <w:p w14:paraId="35C3B324"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BMC Gastroenterology</w:t>
            </w:r>
          </w:p>
        </w:tc>
        <w:tc>
          <w:tcPr>
            <w:tcW w:w="801" w:type="pct"/>
            <w:shd w:val="clear" w:color="auto" w:fill="auto"/>
            <w:vAlign w:val="center"/>
            <w:hideMark/>
          </w:tcPr>
          <w:p w14:paraId="2FBC4206"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http://dx.doi.org/10.1186/s12876-019-0937-9</w:t>
            </w:r>
          </w:p>
        </w:tc>
      </w:tr>
      <w:tr w:rsidR="008F7B90" w:rsidRPr="006721CC" w14:paraId="7CE72AD0" w14:textId="77777777" w:rsidTr="00756179">
        <w:trPr>
          <w:trHeight w:val="20"/>
        </w:trPr>
        <w:tc>
          <w:tcPr>
            <w:tcW w:w="1890" w:type="pct"/>
            <w:shd w:val="clear" w:color="auto" w:fill="auto"/>
            <w:vAlign w:val="center"/>
            <w:hideMark/>
          </w:tcPr>
          <w:p w14:paraId="3B5F315E" w14:textId="74EFE681"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Overexpression of CCN1 in Het1A cells attenuates bile-induced esophageal metaplasia through suppressing non-canonical NFkappaB activation</w:t>
            </w:r>
          </w:p>
        </w:tc>
        <w:tc>
          <w:tcPr>
            <w:tcW w:w="321" w:type="pct"/>
            <w:shd w:val="clear" w:color="auto" w:fill="auto"/>
            <w:vAlign w:val="center"/>
            <w:hideMark/>
          </w:tcPr>
          <w:p w14:paraId="4DF5AC6E"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2019</w:t>
            </w:r>
          </w:p>
        </w:tc>
        <w:tc>
          <w:tcPr>
            <w:tcW w:w="1411" w:type="pct"/>
            <w:shd w:val="clear" w:color="auto" w:fill="auto"/>
            <w:vAlign w:val="center"/>
            <w:hideMark/>
          </w:tcPr>
          <w:p w14:paraId="64E4C429"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Dang, T., Meng, X., Modak, C., Wu, J., Chang, Z., Che, N., Narvaez, R. and Chai, J.</w:t>
            </w:r>
          </w:p>
        </w:tc>
        <w:tc>
          <w:tcPr>
            <w:tcW w:w="577" w:type="pct"/>
            <w:shd w:val="clear" w:color="auto" w:fill="auto"/>
            <w:vAlign w:val="center"/>
            <w:hideMark/>
          </w:tcPr>
          <w:p w14:paraId="37464EAF"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Cytokine</w:t>
            </w:r>
          </w:p>
        </w:tc>
        <w:tc>
          <w:tcPr>
            <w:tcW w:w="801" w:type="pct"/>
            <w:shd w:val="clear" w:color="auto" w:fill="auto"/>
            <w:vAlign w:val="center"/>
            <w:hideMark/>
          </w:tcPr>
          <w:p w14:paraId="1F4557BC"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http://dx.doi.org/10.1016/j.cyto.2018.12.020</w:t>
            </w:r>
          </w:p>
        </w:tc>
      </w:tr>
      <w:tr w:rsidR="008F7B90" w:rsidRPr="006721CC" w14:paraId="3B4616F3" w14:textId="77777777" w:rsidTr="00756179">
        <w:trPr>
          <w:trHeight w:val="20"/>
        </w:trPr>
        <w:tc>
          <w:tcPr>
            <w:tcW w:w="1890" w:type="pct"/>
            <w:shd w:val="clear" w:color="auto" w:fill="auto"/>
            <w:vAlign w:val="center"/>
            <w:hideMark/>
          </w:tcPr>
          <w:p w14:paraId="4B627927" w14:textId="49E6514D"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Autism spectrum disorder and neurodevelopmental delays in children with giant omphalocele</w:t>
            </w:r>
          </w:p>
        </w:tc>
        <w:tc>
          <w:tcPr>
            <w:tcW w:w="321" w:type="pct"/>
            <w:shd w:val="clear" w:color="auto" w:fill="auto"/>
            <w:vAlign w:val="center"/>
            <w:hideMark/>
          </w:tcPr>
          <w:p w14:paraId="1BCEB64B"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2019</w:t>
            </w:r>
          </w:p>
        </w:tc>
        <w:tc>
          <w:tcPr>
            <w:tcW w:w="1411" w:type="pct"/>
            <w:shd w:val="clear" w:color="auto" w:fill="auto"/>
            <w:vAlign w:val="center"/>
            <w:hideMark/>
          </w:tcPr>
          <w:p w14:paraId="64342F04"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Danzer, E., Hoffman, C., Miller, J. S., D'agostino, J. A., Schindewolf, E. M., Gerdes, M., Bernbaum, J., Adams, S. E., Rintoul, N. E., Herkert, L. M., Taylor, L., Schreiber, J., Peranteau, W. H., Flake, A. W., Adzick, N. S. and Hedrick, H. L.</w:t>
            </w:r>
          </w:p>
        </w:tc>
        <w:tc>
          <w:tcPr>
            <w:tcW w:w="577" w:type="pct"/>
            <w:shd w:val="clear" w:color="auto" w:fill="auto"/>
            <w:vAlign w:val="center"/>
            <w:hideMark/>
          </w:tcPr>
          <w:p w14:paraId="40FC8924"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Journal of Pediatric Surgery</w:t>
            </w:r>
          </w:p>
        </w:tc>
        <w:tc>
          <w:tcPr>
            <w:tcW w:w="801" w:type="pct"/>
            <w:shd w:val="clear" w:color="auto" w:fill="auto"/>
            <w:vAlign w:val="center"/>
            <w:hideMark/>
          </w:tcPr>
          <w:p w14:paraId="3325F801"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http://dx.doi.org/10.1016/j.jpedsurg.2019.05.017</w:t>
            </w:r>
          </w:p>
        </w:tc>
      </w:tr>
      <w:tr w:rsidR="008F7B90" w:rsidRPr="006721CC" w14:paraId="110F929C" w14:textId="77777777" w:rsidTr="00756179">
        <w:trPr>
          <w:trHeight w:val="20"/>
        </w:trPr>
        <w:tc>
          <w:tcPr>
            <w:tcW w:w="1890" w:type="pct"/>
            <w:shd w:val="clear" w:color="auto" w:fill="auto"/>
            <w:vAlign w:val="center"/>
            <w:hideMark/>
          </w:tcPr>
          <w:p w14:paraId="0AEB4AE3" w14:textId="114B2281"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Omeprazole induced increase in liver markers-a case report</w:t>
            </w:r>
          </w:p>
        </w:tc>
        <w:tc>
          <w:tcPr>
            <w:tcW w:w="321" w:type="pct"/>
            <w:shd w:val="clear" w:color="auto" w:fill="auto"/>
            <w:vAlign w:val="center"/>
            <w:hideMark/>
          </w:tcPr>
          <w:p w14:paraId="7FA49B70"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2019</w:t>
            </w:r>
          </w:p>
        </w:tc>
        <w:tc>
          <w:tcPr>
            <w:tcW w:w="1411" w:type="pct"/>
            <w:shd w:val="clear" w:color="auto" w:fill="auto"/>
            <w:vAlign w:val="center"/>
            <w:hideMark/>
          </w:tcPr>
          <w:p w14:paraId="68EC01A2"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Elmahdy, M. F. and Almater, J. M.</w:t>
            </w:r>
          </w:p>
        </w:tc>
        <w:tc>
          <w:tcPr>
            <w:tcW w:w="577" w:type="pct"/>
            <w:shd w:val="clear" w:color="auto" w:fill="auto"/>
            <w:vAlign w:val="center"/>
            <w:hideMark/>
          </w:tcPr>
          <w:p w14:paraId="41079E0F"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Journal of Clinical and Diagnostic Research</w:t>
            </w:r>
          </w:p>
        </w:tc>
        <w:tc>
          <w:tcPr>
            <w:tcW w:w="801" w:type="pct"/>
            <w:shd w:val="clear" w:color="auto" w:fill="auto"/>
            <w:vAlign w:val="center"/>
            <w:hideMark/>
          </w:tcPr>
          <w:p w14:paraId="5C47891A"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http://dx.doi.org/10.7860/JCDR/2019/41848.13218</w:t>
            </w:r>
          </w:p>
        </w:tc>
      </w:tr>
      <w:tr w:rsidR="008F7B90" w:rsidRPr="006721CC" w14:paraId="7A38E045" w14:textId="77777777" w:rsidTr="00756179">
        <w:trPr>
          <w:trHeight w:val="20"/>
        </w:trPr>
        <w:tc>
          <w:tcPr>
            <w:tcW w:w="1890" w:type="pct"/>
            <w:shd w:val="clear" w:color="auto" w:fill="auto"/>
            <w:vAlign w:val="center"/>
            <w:hideMark/>
          </w:tcPr>
          <w:p w14:paraId="1D783587" w14:textId="216ED07F"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Developing a blood-based gene mutation assay as a novel biomarker for oesophageal adenocarcinoma</w:t>
            </w:r>
          </w:p>
        </w:tc>
        <w:tc>
          <w:tcPr>
            <w:tcW w:w="321" w:type="pct"/>
            <w:shd w:val="clear" w:color="auto" w:fill="auto"/>
            <w:vAlign w:val="center"/>
            <w:hideMark/>
          </w:tcPr>
          <w:p w14:paraId="27AA4121"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2019</w:t>
            </w:r>
          </w:p>
        </w:tc>
        <w:tc>
          <w:tcPr>
            <w:tcW w:w="1411" w:type="pct"/>
            <w:shd w:val="clear" w:color="auto" w:fill="auto"/>
            <w:vAlign w:val="center"/>
            <w:hideMark/>
          </w:tcPr>
          <w:p w14:paraId="49915499"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Haboubi, H. N., Lawrence, R. L., Rees, B., Williams, L., Manson, J. M., Al-Mossawi, N., Bodger, O., Griffiths, P., Thornton, C. and Jenkins, G. J.</w:t>
            </w:r>
          </w:p>
        </w:tc>
        <w:tc>
          <w:tcPr>
            <w:tcW w:w="577" w:type="pct"/>
            <w:shd w:val="clear" w:color="auto" w:fill="auto"/>
            <w:vAlign w:val="center"/>
            <w:hideMark/>
          </w:tcPr>
          <w:p w14:paraId="6767419A"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Scientific reports</w:t>
            </w:r>
          </w:p>
        </w:tc>
        <w:tc>
          <w:tcPr>
            <w:tcW w:w="801" w:type="pct"/>
            <w:shd w:val="clear" w:color="auto" w:fill="auto"/>
            <w:vAlign w:val="center"/>
            <w:hideMark/>
          </w:tcPr>
          <w:p w14:paraId="7F4CB0D8"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http://dx.doi.org/10.1038/s41598-019-41490-w</w:t>
            </w:r>
          </w:p>
        </w:tc>
      </w:tr>
      <w:tr w:rsidR="008F7B90" w:rsidRPr="006721CC" w14:paraId="3A6D0DF5" w14:textId="77777777" w:rsidTr="00756179">
        <w:trPr>
          <w:trHeight w:val="20"/>
        </w:trPr>
        <w:tc>
          <w:tcPr>
            <w:tcW w:w="1890" w:type="pct"/>
            <w:shd w:val="clear" w:color="auto" w:fill="auto"/>
            <w:vAlign w:val="center"/>
            <w:hideMark/>
          </w:tcPr>
          <w:p w14:paraId="7300AF06" w14:textId="6B12B6CD"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Association between skeletal muscle attenuation and gastroesophageal reflux disease: A health check-up cohort study</w:t>
            </w:r>
          </w:p>
        </w:tc>
        <w:tc>
          <w:tcPr>
            <w:tcW w:w="321" w:type="pct"/>
            <w:shd w:val="clear" w:color="auto" w:fill="auto"/>
            <w:vAlign w:val="center"/>
            <w:hideMark/>
          </w:tcPr>
          <w:p w14:paraId="7C477209"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2019</w:t>
            </w:r>
          </w:p>
        </w:tc>
        <w:tc>
          <w:tcPr>
            <w:tcW w:w="1411" w:type="pct"/>
            <w:shd w:val="clear" w:color="auto" w:fill="auto"/>
            <w:vAlign w:val="center"/>
            <w:hideMark/>
          </w:tcPr>
          <w:p w14:paraId="5BEEC305"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Kim, Y. M., Kim, J. H., Baik, S. J., Jung, D. H., Park, J. J., Youn, Y. H. and Park, H.</w:t>
            </w:r>
          </w:p>
        </w:tc>
        <w:tc>
          <w:tcPr>
            <w:tcW w:w="577" w:type="pct"/>
            <w:shd w:val="clear" w:color="auto" w:fill="auto"/>
            <w:vAlign w:val="center"/>
            <w:hideMark/>
          </w:tcPr>
          <w:p w14:paraId="71BC8B7A"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Scientific reports</w:t>
            </w:r>
          </w:p>
        </w:tc>
        <w:tc>
          <w:tcPr>
            <w:tcW w:w="801" w:type="pct"/>
            <w:shd w:val="clear" w:color="auto" w:fill="auto"/>
            <w:vAlign w:val="center"/>
            <w:hideMark/>
          </w:tcPr>
          <w:p w14:paraId="693FC067"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http://dx.doi.org/10.1038/s41598-019-56702-6</w:t>
            </w:r>
          </w:p>
        </w:tc>
      </w:tr>
      <w:tr w:rsidR="008F7B90" w:rsidRPr="006721CC" w14:paraId="1DFF2E73" w14:textId="77777777" w:rsidTr="00756179">
        <w:trPr>
          <w:trHeight w:val="20"/>
        </w:trPr>
        <w:tc>
          <w:tcPr>
            <w:tcW w:w="1890" w:type="pct"/>
            <w:shd w:val="clear" w:color="auto" w:fill="auto"/>
            <w:vAlign w:val="center"/>
            <w:hideMark/>
          </w:tcPr>
          <w:p w14:paraId="04BD310C" w14:textId="1F038F1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lastRenderedPageBreak/>
              <w:t>Mean platelet volume and red cell distribution width as potential new biomarkers in children with gastroesophageal reflux disease</w:t>
            </w:r>
          </w:p>
        </w:tc>
        <w:tc>
          <w:tcPr>
            <w:tcW w:w="321" w:type="pct"/>
            <w:shd w:val="clear" w:color="auto" w:fill="auto"/>
            <w:vAlign w:val="center"/>
            <w:hideMark/>
          </w:tcPr>
          <w:p w14:paraId="690F3FF2"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2019</w:t>
            </w:r>
          </w:p>
        </w:tc>
        <w:tc>
          <w:tcPr>
            <w:tcW w:w="1411" w:type="pct"/>
            <w:shd w:val="clear" w:color="auto" w:fill="auto"/>
            <w:vAlign w:val="center"/>
            <w:hideMark/>
          </w:tcPr>
          <w:p w14:paraId="091515A9"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Sevencan, N. O., Cesur, O., Cakar, M., Dogan, E., Ozkan, A. E. and Benli, A. R.</w:t>
            </w:r>
          </w:p>
        </w:tc>
        <w:tc>
          <w:tcPr>
            <w:tcW w:w="577" w:type="pct"/>
            <w:shd w:val="clear" w:color="auto" w:fill="auto"/>
            <w:vAlign w:val="center"/>
            <w:hideMark/>
          </w:tcPr>
          <w:p w14:paraId="08ECB9B5"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American Journal of Translational Research</w:t>
            </w:r>
          </w:p>
        </w:tc>
        <w:tc>
          <w:tcPr>
            <w:tcW w:w="801" w:type="pct"/>
            <w:shd w:val="clear" w:color="auto" w:fill="auto"/>
            <w:vAlign w:val="center"/>
            <w:hideMark/>
          </w:tcPr>
          <w:p w14:paraId="7C9D08E7" w14:textId="77777777" w:rsidR="008F7B90" w:rsidRPr="008F7B90" w:rsidRDefault="008F7B90" w:rsidP="00756179">
            <w:pPr>
              <w:spacing w:line="220" w:lineRule="exact"/>
              <w:rPr>
                <w:rFonts w:ascii="Arial" w:hAnsi="Arial" w:cs="Arial"/>
                <w:color w:val="000000"/>
                <w:sz w:val="16"/>
                <w:szCs w:val="16"/>
              </w:rPr>
            </w:pPr>
          </w:p>
        </w:tc>
      </w:tr>
      <w:tr w:rsidR="008F7B90" w:rsidRPr="006721CC" w14:paraId="7BF19D48" w14:textId="77777777" w:rsidTr="00756179">
        <w:trPr>
          <w:trHeight w:val="20"/>
        </w:trPr>
        <w:tc>
          <w:tcPr>
            <w:tcW w:w="1890" w:type="pct"/>
            <w:shd w:val="clear" w:color="auto" w:fill="auto"/>
            <w:vAlign w:val="center"/>
            <w:hideMark/>
          </w:tcPr>
          <w:p w14:paraId="61A5C013" w14:textId="00D815B4"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Validation in China of a non-invasive salivary pepsin biomarker containing two unique human pepsin monoclonal antibodies to diagnose gastroesophageal reflux disease</w:t>
            </w:r>
          </w:p>
        </w:tc>
        <w:tc>
          <w:tcPr>
            <w:tcW w:w="321" w:type="pct"/>
            <w:shd w:val="clear" w:color="auto" w:fill="auto"/>
            <w:vAlign w:val="center"/>
            <w:hideMark/>
          </w:tcPr>
          <w:p w14:paraId="2EC691FD"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2019</w:t>
            </w:r>
          </w:p>
        </w:tc>
        <w:tc>
          <w:tcPr>
            <w:tcW w:w="1411" w:type="pct"/>
            <w:shd w:val="clear" w:color="auto" w:fill="auto"/>
            <w:vAlign w:val="center"/>
            <w:hideMark/>
          </w:tcPr>
          <w:p w14:paraId="12DB5EC5"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Wang, Y. F., Yang, C. Q., Chen, Y. X., Cao, A. P., Yu, X. F., Yu, Y., Zhang, Z. Y., Shen, X. Z., Liu, F., Zhong, L., Wang, Y. X., Liu, Z. J., Shi, Y. H., Zhong, J., Li, J. N., Lan, Y., Lenham, R. K., Woodcock, A. D., Dettmar, P. W. and Fang, J. Y.</w:t>
            </w:r>
          </w:p>
        </w:tc>
        <w:tc>
          <w:tcPr>
            <w:tcW w:w="577" w:type="pct"/>
            <w:shd w:val="clear" w:color="auto" w:fill="auto"/>
            <w:vAlign w:val="center"/>
            <w:hideMark/>
          </w:tcPr>
          <w:p w14:paraId="04CF6677"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Journal of Digestive Diseases</w:t>
            </w:r>
          </w:p>
        </w:tc>
        <w:tc>
          <w:tcPr>
            <w:tcW w:w="801" w:type="pct"/>
            <w:shd w:val="clear" w:color="auto" w:fill="auto"/>
            <w:vAlign w:val="center"/>
            <w:hideMark/>
          </w:tcPr>
          <w:p w14:paraId="239A8DDE"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http://dx.doi.org/10.1111/1751-2980.12783</w:t>
            </w:r>
          </w:p>
        </w:tc>
      </w:tr>
      <w:tr w:rsidR="008F7B90" w:rsidRPr="006721CC" w14:paraId="653C6816" w14:textId="77777777" w:rsidTr="00756179">
        <w:trPr>
          <w:trHeight w:val="20"/>
        </w:trPr>
        <w:tc>
          <w:tcPr>
            <w:tcW w:w="1890" w:type="pct"/>
            <w:shd w:val="clear" w:color="auto" w:fill="auto"/>
            <w:vAlign w:val="center"/>
            <w:hideMark/>
          </w:tcPr>
          <w:p w14:paraId="7F2BC5CB" w14:textId="358E8EC0"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Targeting the COX1/2-Driven thromboxane A2 pathway suppresses Barrett's esophagus and esophageal adenocarcinoma development</w:t>
            </w:r>
          </w:p>
        </w:tc>
        <w:tc>
          <w:tcPr>
            <w:tcW w:w="321" w:type="pct"/>
            <w:shd w:val="clear" w:color="auto" w:fill="auto"/>
            <w:vAlign w:val="center"/>
            <w:hideMark/>
          </w:tcPr>
          <w:p w14:paraId="4D4FF9A7"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2019</w:t>
            </w:r>
          </w:p>
        </w:tc>
        <w:tc>
          <w:tcPr>
            <w:tcW w:w="1411" w:type="pct"/>
            <w:shd w:val="clear" w:color="auto" w:fill="auto"/>
            <w:vAlign w:val="center"/>
            <w:hideMark/>
          </w:tcPr>
          <w:p w14:paraId="10294DB8"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Zhang, T., Wang, Q., Ma, W. Y., Wang, K., Chang, X., Johnson, M. L., Bai, R., Bode, A. M., Foster, N. R., Falk, G. W., Limburg, P. J., Iyer, P. G. and Dong, Z.</w:t>
            </w:r>
          </w:p>
        </w:tc>
        <w:tc>
          <w:tcPr>
            <w:tcW w:w="577" w:type="pct"/>
            <w:shd w:val="clear" w:color="auto" w:fill="auto"/>
            <w:vAlign w:val="center"/>
            <w:hideMark/>
          </w:tcPr>
          <w:p w14:paraId="1B973B5A"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EBioMedicine</w:t>
            </w:r>
          </w:p>
        </w:tc>
        <w:tc>
          <w:tcPr>
            <w:tcW w:w="801" w:type="pct"/>
            <w:shd w:val="clear" w:color="auto" w:fill="auto"/>
            <w:vAlign w:val="center"/>
            <w:hideMark/>
          </w:tcPr>
          <w:p w14:paraId="13CCA551"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http://dx.doi.org/10.1016/j.ebiom.2019.10.038</w:t>
            </w:r>
          </w:p>
        </w:tc>
      </w:tr>
      <w:tr w:rsidR="008F7B90" w:rsidRPr="006721CC" w14:paraId="357BF25D" w14:textId="77777777" w:rsidTr="00756179">
        <w:trPr>
          <w:trHeight w:val="20"/>
        </w:trPr>
        <w:tc>
          <w:tcPr>
            <w:tcW w:w="1890" w:type="pct"/>
            <w:shd w:val="clear" w:color="auto" w:fill="auto"/>
            <w:vAlign w:val="center"/>
            <w:hideMark/>
          </w:tcPr>
          <w:p w14:paraId="5971F1E0" w14:textId="61249B9E"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Highlighted role of "IL17 signaling pathway" in gastroesophageal reflux disease</w:t>
            </w:r>
          </w:p>
        </w:tc>
        <w:tc>
          <w:tcPr>
            <w:tcW w:w="321" w:type="pct"/>
            <w:shd w:val="clear" w:color="auto" w:fill="auto"/>
            <w:vAlign w:val="center"/>
            <w:hideMark/>
          </w:tcPr>
          <w:p w14:paraId="03590F12"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2020</w:t>
            </w:r>
          </w:p>
        </w:tc>
        <w:tc>
          <w:tcPr>
            <w:tcW w:w="1411" w:type="pct"/>
            <w:shd w:val="clear" w:color="auto" w:fill="auto"/>
            <w:vAlign w:val="center"/>
            <w:hideMark/>
          </w:tcPr>
          <w:p w14:paraId="0AA3E036"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Azodi, M. Z., Razzaghi, M., Malekpour, H., Heidari, M. H. and Rezaei-Tavirani, M.</w:t>
            </w:r>
          </w:p>
        </w:tc>
        <w:tc>
          <w:tcPr>
            <w:tcW w:w="577" w:type="pct"/>
            <w:shd w:val="clear" w:color="auto" w:fill="auto"/>
            <w:vAlign w:val="center"/>
            <w:hideMark/>
          </w:tcPr>
          <w:p w14:paraId="4BDD33B6"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Gastroenterology and Hepatology from Bed to Bench</w:t>
            </w:r>
          </w:p>
        </w:tc>
        <w:tc>
          <w:tcPr>
            <w:tcW w:w="801" w:type="pct"/>
            <w:shd w:val="clear" w:color="auto" w:fill="auto"/>
            <w:vAlign w:val="center"/>
            <w:hideMark/>
          </w:tcPr>
          <w:p w14:paraId="00159A86" w14:textId="77777777" w:rsidR="008F7B90" w:rsidRPr="008F7B90" w:rsidRDefault="008F7B90" w:rsidP="00756179">
            <w:pPr>
              <w:spacing w:line="220" w:lineRule="exact"/>
              <w:rPr>
                <w:rFonts w:ascii="Arial" w:hAnsi="Arial" w:cs="Arial"/>
                <w:color w:val="000000"/>
                <w:sz w:val="16"/>
                <w:szCs w:val="16"/>
              </w:rPr>
            </w:pPr>
          </w:p>
        </w:tc>
      </w:tr>
      <w:tr w:rsidR="008F7B90" w:rsidRPr="006721CC" w14:paraId="29BA355A" w14:textId="77777777" w:rsidTr="00756179">
        <w:trPr>
          <w:trHeight w:val="20"/>
        </w:trPr>
        <w:tc>
          <w:tcPr>
            <w:tcW w:w="1890" w:type="pct"/>
            <w:shd w:val="clear" w:color="auto" w:fill="auto"/>
            <w:vAlign w:val="center"/>
            <w:hideMark/>
          </w:tcPr>
          <w:p w14:paraId="6F0DB0ED" w14:textId="563B20B1"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The association between depression and gastroesophageal reflux based on phylogenetic analysis of mirna biomarkers</w:t>
            </w:r>
          </w:p>
        </w:tc>
        <w:tc>
          <w:tcPr>
            <w:tcW w:w="321" w:type="pct"/>
            <w:shd w:val="clear" w:color="auto" w:fill="auto"/>
            <w:vAlign w:val="center"/>
            <w:hideMark/>
          </w:tcPr>
          <w:p w14:paraId="7B495773"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2020</w:t>
            </w:r>
          </w:p>
        </w:tc>
        <w:tc>
          <w:tcPr>
            <w:tcW w:w="1411" w:type="pct"/>
            <w:shd w:val="clear" w:color="auto" w:fill="auto"/>
            <w:vAlign w:val="center"/>
            <w:hideMark/>
          </w:tcPr>
          <w:p w14:paraId="47ACD196"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Chen, Y. H. and Wang, H.</w:t>
            </w:r>
          </w:p>
        </w:tc>
        <w:tc>
          <w:tcPr>
            <w:tcW w:w="577" w:type="pct"/>
            <w:shd w:val="clear" w:color="auto" w:fill="auto"/>
            <w:vAlign w:val="center"/>
            <w:hideMark/>
          </w:tcPr>
          <w:p w14:paraId="4BF1363E"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Current Medicinal Chemistry</w:t>
            </w:r>
          </w:p>
        </w:tc>
        <w:tc>
          <w:tcPr>
            <w:tcW w:w="801" w:type="pct"/>
            <w:shd w:val="clear" w:color="auto" w:fill="auto"/>
            <w:vAlign w:val="center"/>
            <w:hideMark/>
          </w:tcPr>
          <w:p w14:paraId="7FBABEB0"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http://dx.doi.org/10.2174/0929867327666200425214906</w:t>
            </w:r>
          </w:p>
        </w:tc>
      </w:tr>
      <w:tr w:rsidR="008F7B90" w:rsidRPr="006721CC" w14:paraId="2426477C" w14:textId="77777777" w:rsidTr="00756179">
        <w:trPr>
          <w:trHeight w:val="20"/>
        </w:trPr>
        <w:tc>
          <w:tcPr>
            <w:tcW w:w="1890" w:type="pct"/>
            <w:shd w:val="clear" w:color="auto" w:fill="auto"/>
            <w:vAlign w:val="center"/>
            <w:hideMark/>
          </w:tcPr>
          <w:p w14:paraId="679D986E" w14:textId="0C3070CE"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Eosinophilic Esophagitis Histology Remission Score: Significant Relations to Measures of Disease Activity and Symptoms</w:t>
            </w:r>
          </w:p>
        </w:tc>
        <w:tc>
          <w:tcPr>
            <w:tcW w:w="321" w:type="pct"/>
            <w:shd w:val="clear" w:color="auto" w:fill="auto"/>
            <w:vAlign w:val="center"/>
            <w:hideMark/>
          </w:tcPr>
          <w:p w14:paraId="23EDB2E4"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2020</w:t>
            </w:r>
          </w:p>
        </w:tc>
        <w:tc>
          <w:tcPr>
            <w:tcW w:w="1411" w:type="pct"/>
            <w:shd w:val="clear" w:color="auto" w:fill="auto"/>
            <w:vAlign w:val="center"/>
            <w:hideMark/>
          </w:tcPr>
          <w:p w14:paraId="70F4A320"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Collins, M. H., Martin, L. J., Wen, T., Abonia, J. P., Putnam, P. E., Mukkada, V. A. and Rothenberg, M. E.</w:t>
            </w:r>
          </w:p>
        </w:tc>
        <w:tc>
          <w:tcPr>
            <w:tcW w:w="577" w:type="pct"/>
            <w:shd w:val="clear" w:color="auto" w:fill="auto"/>
            <w:vAlign w:val="center"/>
            <w:hideMark/>
          </w:tcPr>
          <w:p w14:paraId="7422FBB5"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Journal of pediatric gastroenterology and nutrition</w:t>
            </w:r>
          </w:p>
        </w:tc>
        <w:tc>
          <w:tcPr>
            <w:tcW w:w="801" w:type="pct"/>
            <w:shd w:val="clear" w:color="auto" w:fill="auto"/>
            <w:vAlign w:val="center"/>
            <w:hideMark/>
          </w:tcPr>
          <w:p w14:paraId="7D1F3CF8"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http://dx.doi.org/10.1097/MPG.0000000000002637</w:t>
            </w:r>
          </w:p>
        </w:tc>
      </w:tr>
      <w:tr w:rsidR="008F7B90" w:rsidRPr="006721CC" w14:paraId="5B502211" w14:textId="77777777" w:rsidTr="00756179">
        <w:trPr>
          <w:trHeight w:val="20"/>
        </w:trPr>
        <w:tc>
          <w:tcPr>
            <w:tcW w:w="1890" w:type="pct"/>
            <w:shd w:val="clear" w:color="auto" w:fill="auto"/>
            <w:vAlign w:val="center"/>
            <w:hideMark/>
          </w:tcPr>
          <w:p w14:paraId="6B912940" w14:textId="5695C5A1"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Differential MicroRNA signatures in the pathogenesis of barrett's esophagus</w:t>
            </w:r>
          </w:p>
        </w:tc>
        <w:tc>
          <w:tcPr>
            <w:tcW w:w="321" w:type="pct"/>
            <w:shd w:val="clear" w:color="auto" w:fill="auto"/>
            <w:vAlign w:val="center"/>
            <w:hideMark/>
          </w:tcPr>
          <w:p w14:paraId="3AE87359"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2020</w:t>
            </w:r>
          </w:p>
        </w:tc>
        <w:tc>
          <w:tcPr>
            <w:tcW w:w="1411" w:type="pct"/>
            <w:shd w:val="clear" w:color="auto" w:fill="auto"/>
            <w:vAlign w:val="center"/>
            <w:hideMark/>
          </w:tcPr>
          <w:p w14:paraId="029DFF91"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Craig, M. P., Rajakaruna, S., Paliy, O., Sajjad, M., Madhavan, S., Reddy, N., Zhang, J., Bottomley, M., Agrawal, S. and Kadakia, M. P.</w:t>
            </w:r>
          </w:p>
        </w:tc>
        <w:tc>
          <w:tcPr>
            <w:tcW w:w="577" w:type="pct"/>
            <w:shd w:val="clear" w:color="auto" w:fill="auto"/>
            <w:vAlign w:val="center"/>
            <w:hideMark/>
          </w:tcPr>
          <w:p w14:paraId="0262162D"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Clinical and Translational Gastroenterology</w:t>
            </w:r>
          </w:p>
        </w:tc>
        <w:tc>
          <w:tcPr>
            <w:tcW w:w="801" w:type="pct"/>
            <w:shd w:val="clear" w:color="auto" w:fill="auto"/>
            <w:vAlign w:val="center"/>
            <w:hideMark/>
          </w:tcPr>
          <w:p w14:paraId="07F96E2E"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http://dx.doi.org/10.14309/ctg.0000000000000125</w:t>
            </w:r>
          </w:p>
        </w:tc>
      </w:tr>
      <w:tr w:rsidR="008F7B90" w:rsidRPr="006721CC" w14:paraId="302E543B" w14:textId="77777777" w:rsidTr="00756179">
        <w:trPr>
          <w:trHeight w:val="20"/>
        </w:trPr>
        <w:tc>
          <w:tcPr>
            <w:tcW w:w="1890" w:type="pct"/>
            <w:shd w:val="clear" w:color="auto" w:fill="auto"/>
            <w:vAlign w:val="center"/>
            <w:hideMark/>
          </w:tcPr>
          <w:p w14:paraId="18EB6A5A" w14:textId="4BD65ED3"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May failure to thrive in infants be a clinical marker for the early diagnosis of cow's milk allergy?</w:t>
            </w:r>
          </w:p>
        </w:tc>
        <w:tc>
          <w:tcPr>
            <w:tcW w:w="321" w:type="pct"/>
            <w:shd w:val="clear" w:color="auto" w:fill="auto"/>
            <w:vAlign w:val="center"/>
            <w:hideMark/>
          </w:tcPr>
          <w:p w14:paraId="1A5BC475"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2020</w:t>
            </w:r>
          </w:p>
        </w:tc>
        <w:tc>
          <w:tcPr>
            <w:tcW w:w="1411" w:type="pct"/>
            <w:shd w:val="clear" w:color="auto" w:fill="auto"/>
            <w:vAlign w:val="center"/>
            <w:hideMark/>
          </w:tcPr>
          <w:p w14:paraId="4D8C741A"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Diaferio, L., Caimmi, D., Verga, M. C., Palladino, V., Trove, L., Giordano, P., Verduci, E. and Miniello, V. L.</w:t>
            </w:r>
          </w:p>
        </w:tc>
        <w:tc>
          <w:tcPr>
            <w:tcW w:w="577" w:type="pct"/>
            <w:shd w:val="clear" w:color="auto" w:fill="auto"/>
            <w:vAlign w:val="center"/>
            <w:hideMark/>
          </w:tcPr>
          <w:p w14:paraId="204EDABF"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Nutrients</w:t>
            </w:r>
          </w:p>
        </w:tc>
        <w:tc>
          <w:tcPr>
            <w:tcW w:w="801" w:type="pct"/>
            <w:shd w:val="clear" w:color="auto" w:fill="auto"/>
            <w:vAlign w:val="center"/>
            <w:hideMark/>
          </w:tcPr>
          <w:p w14:paraId="0C2A87F0"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http://dx.doi.org/10.3390/nu12020466</w:t>
            </w:r>
          </w:p>
        </w:tc>
      </w:tr>
      <w:tr w:rsidR="008F7B90" w:rsidRPr="006721CC" w14:paraId="58BB2735" w14:textId="77777777" w:rsidTr="00756179">
        <w:trPr>
          <w:trHeight w:val="20"/>
        </w:trPr>
        <w:tc>
          <w:tcPr>
            <w:tcW w:w="1890" w:type="pct"/>
            <w:shd w:val="clear" w:color="auto" w:fill="auto"/>
            <w:vAlign w:val="center"/>
            <w:hideMark/>
          </w:tcPr>
          <w:p w14:paraId="7C623040" w14:textId="0323AC9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Analysis of bicarbonate, phosphate and other anions in saliva by capillary electrophoresis with capacitively coupled contactless conductivity detection in diagnostics of gastroesophageal reflux disease</w:t>
            </w:r>
          </w:p>
        </w:tc>
        <w:tc>
          <w:tcPr>
            <w:tcW w:w="321" w:type="pct"/>
            <w:shd w:val="clear" w:color="auto" w:fill="auto"/>
            <w:vAlign w:val="center"/>
            <w:hideMark/>
          </w:tcPr>
          <w:p w14:paraId="5DE1F8C4"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2020</w:t>
            </w:r>
          </w:p>
        </w:tc>
        <w:tc>
          <w:tcPr>
            <w:tcW w:w="1411" w:type="pct"/>
            <w:shd w:val="clear" w:color="auto" w:fill="auto"/>
            <w:vAlign w:val="center"/>
            <w:hideMark/>
          </w:tcPr>
          <w:p w14:paraId="4111583C"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Dosedelova, V., Durc, P., Dolina, J., Konecny, S., Foret, F. and Kuban, P.</w:t>
            </w:r>
          </w:p>
        </w:tc>
        <w:tc>
          <w:tcPr>
            <w:tcW w:w="577" w:type="pct"/>
            <w:shd w:val="clear" w:color="auto" w:fill="auto"/>
            <w:vAlign w:val="center"/>
            <w:hideMark/>
          </w:tcPr>
          <w:p w14:paraId="5172D840"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Electrophoresis</w:t>
            </w:r>
          </w:p>
        </w:tc>
        <w:tc>
          <w:tcPr>
            <w:tcW w:w="801" w:type="pct"/>
            <w:shd w:val="clear" w:color="auto" w:fill="auto"/>
            <w:vAlign w:val="center"/>
            <w:hideMark/>
          </w:tcPr>
          <w:p w14:paraId="3DDF0304"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http://dx.doi.org/10.1002/elps.201900319</w:t>
            </w:r>
          </w:p>
        </w:tc>
      </w:tr>
      <w:tr w:rsidR="008F7B90" w:rsidRPr="006721CC" w14:paraId="538307D1" w14:textId="77777777" w:rsidTr="00756179">
        <w:trPr>
          <w:trHeight w:val="20"/>
        </w:trPr>
        <w:tc>
          <w:tcPr>
            <w:tcW w:w="1890" w:type="pct"/>
            <w:shd w:val="clear" w:color="auto" w:fill="auto"/>
            <w:vAlign w:val="center"/>
            <w:hideMark/>
          </w:tcPr>
          <w:p w14:paraId="1EDBF126" w14:textId="55C425CB"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The role of salivary pepsin in the diagnosis of gastroesophageal reflux disease (GERD) evaluated using high-resolution manometry and 24-hour multichannel intraluminal impedance-pH monitoring</w:t>
            </w:r>
          </w:p>
        </w:tc>
        <w:tc>
          <w:tcPr>
            <w:tcW w:w="321" w:type="pct"/>
            <w:shd w:val="clear" w:color="auto" w:fill="auto"/>
            <w:vAlign w:val="center"/>
            <w:hideMark/>
          </w:tcPr>
          <w:p w14:paraId="76BF10EC"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2020</w:t>
            </w:r>
          </w:p>
        </w:tc>
        <w:tc>
          <w:tcPr>
            <w:tcW w:w="1411" w:type="pct"/>
            <w:shd w:val="clear" w:color="auto" w:fill="auto"/>
            <w:vAlign w:val="center"/>
            <w:hideMark/>
          </w:tcPr>
          <w:p w14:paraId="1AF930F0"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Guo, Z., Wu, Y., Li, L., Chen, J., Zhang, S. and Zhang, C.</w:t>
            </w:r>
          </w:p>
        </w:tc>
        <w:tc>
          <w:tcPr>
            <w:tcW w:w="577" w:type="pct"/>
            <w:shd w:val="clear" w:color="auto" w:fill="auto"/>
            <w:vAlign w:val="center"/>
            <w:hideMark/>
          </w:tcPr>
          <w:p w14:paraId="64D71CC2"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Medical Science Monitor</w:t>
            </w:r>
          </w:p>
        </w:tc>
        <w:tc>
          <w:tcPr>
            <w:tcW w:w="801" w:type="pct"/>
            <w:shd w:val="clear" w:color="auto" w:fill="auto"/>
            <w:vAlign w:val="center"/>
            <w:hideMark/>
          </w:tcPr>
          <w:p w14:paraId="2B7739CF"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http://dx.doi.org/10.12659/MSM.927381</w:t>
            </w:r>
          </w:p>
        </w:tc>
      </w:tr>
      <w:tr w:rsidR="008F7B90" w:rsidRPr="006721CC" w14:paraId="022D06E1" w14:textId="77777777" w:rsidTr="00756179">
        <w:trPr>
          <w:trHeight w:val="20"/>
        </w:trPr>
        <w:tc>
          <w:tcPr>
            <w:tcW w:w="1890" w:type="pct"/>
            <w:shd w:val="clear" w:color="auto" w:fill="auto"/>
            <w:vAlign w:val="center"/>
            <w:hideMark/>
          </w:tcPr>
          <w:p w14:paraId="64CFCDC4" w14:textId="2AE34631"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Salivary pepsin A detection related to gastro-oesophageal reflux episodes in children undergoing impedance probe monitoring</w:t>
            </w:r>
          </w:p>
        </w:tc>
        <w:tc>
          <w:tcPr>
            <w:tcW w:w="321" w:type="pct"/>
            <w:shd w:val="clear" w:color="auto" w:fill="auto"/>
            <w:vAlign w:val="center"/>
            <w:hideMark/>
          </w:tcPr>
          <w:p w14:paraId="1315C72D"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2020</w:t>
            </w:r>
          </w:p>
        </w:tc>
        <w:tc>
          <w:tcPr>
            <w:tcW w:w="1411" w:type="pct"/>
            <w:shd w:val="clear" w:color="auto" w:fill="auto"/>
            <w:vAlign w:val="center"/>
            <w:hideMark/>
          </w:tcPr>
          <w:p w14:paraId="4586BD33"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Haddad, H. A., He, Z., Shaffer, S. E. and Molle-Rios, Z. L.</w:t>
            </w:r>
          </w:p>
        </w:tc>
        <w:tc>
          <w:tcPr>
            <w:tcW w:w="577" w:type="pct"/>
            <w:shd w:val="clear" w:color="auto" w:fill="auto"/>
            <w:vAlign w:val="center"/>
            <w:hideMark/>
          </w:tcPr>
          <w:p w14:paraId="5D151BAD"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Acta Paediatrica, International Journal of Paediatrics</w:t>
            </w:r>
          </w:p>
        </w:tc>
        <w:tc>
          <w:tcPr>
            <w:tcW w:w="801" w:type="pct"/>
            <w:shd w:val="clear" w:color="auto" w:fill="auto"/>
            <w:vAlign w:val="center"/>
            <w:hideMark/>
          </w:tcPr>
          <w:p w14:paraId="0DD3A700"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http://dx.doi.org/10.1111/apa.15276</w:t>
            </w:r>
          </w:p>
        </w:tc>
      </w:tr>
      <w:tr w:rsidR="008F7B90" w:rsidRPr="006721CC" w14:paraId="0B31DECB" w14:textId="77777777" w:rsidTr="00756179">
        <w:trPr>
          <w:trHeight w:val="20"/>
        </w:trPr>
        <w:tc>
          <w:tcPr>
            <w:tcW w:w="1890" w:type="pct"/>
            <w:shd w:val="clear" w:color="auto" w:fill="auto"/>
            <w:vAlign w:val="center"/>
            <w:hideMark/>
          </w:tcPr>
          <w:p w14:paraId="146DA9A0" w14:textId="2062D974"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Phenotypic characteristics and asthma severity in an East African cohort of adults and adolescents with asthma: Findings from the African severe asthma project</w:t>
            </w:r>
          </w:p>
        </w:tc>
        <w:tc>
          <w:tcPr>
            <w:tcW w:w="321" w:type="pct"/>
            <w:shd w:val="clear" w:color="auto" w:fill="auto"/>
            <w:vAlign w:val="center"/>
            <w:hideMark/>
          </w:tcPr>
          <w:p w14:paraId="4E112855"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2020</w:t>
            </w:r>
          </w:p>
        </w:tc>
        <w:tc>
          <w:tcPr>
            <w:tcW w:w="1411" w:type="pct"/>
            <w:shd w:val="clear" w:color="auto" w:fill="auto"/>
            <w:vAlign w:val="center"/>
            <w:hideMark/>
          </w:tcPr>
          <w:p w14:paraId="0345211F"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Kirenga, B., Chakaya, J., Yimer, G., Nyale, G., Haile, T., Muttamba, W., Mugenyi, L., Katagira, W., Worodria, W., Aanyu-Tukamuhebwa, H., Lugogo, N., Joloba, M., Bekele, A., Makumbi, F., Green, C., De Jong, C., Kamya, M. and Van Der Molen, T.</w:t>
            </w:r>
          </w:p>
        </w:tc>
        <w:tc>
          <w:tcPr>
            <w:tcW w:w="577" w:type="pct"/>
            <w:shd w:val="clear" w:color="auto" w:fill="auto"/>
            <w:vAlign w:val="center"/>
            <w:hideMark/>
          </w:tcPr>
          <w:p w14:paraId="0E144661"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BMJ Open Respiratory Research</w:t>
            </w:r>
          </w:p>
        </w:tc>
        <w:tc>
          <w:tcPr>
            <w:tcW w:w="801" w:type="pct"/>
            <w:shd w:val="clear" w:color="auto" w:fill="auto"/>
            <w:vAlign w:val="center"/>
            <w:hideMark/>
          </w:tcPr>
          <w:p w14:paraId="3ADCBFD9"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http://dx.doi.org/10.1136/bmjresp-2019-000484</w:t>
            </w:r>
          </w:p>
        </w:tc>
      </w:tr>
      <w:tr w:rsidR="008F7B90" w:rsidRPr="006721CC" w14:paraId="03465508" w14:textId="77777777" w:rsidTr="00756179">
        <w:trPr>
          <w:trHeight w:val="20"/>
        </w:trPr>
        <w:tc>
          <w:tcPr>
            <w:tcW w:w="1890" w:type="pct"/>
            <w:shd w:val="clear" w:color="auto" w:fill="auto"/>
            <w:vAlign w:val="center"/>
            <w:hideMark/>
          </w:tcPr>
          <w:p w14:paraId="133CBB69" w14:textId="3C99AEB5"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lastRenderedPageBreak/>
              <w:t>Hematological indices as indicators of silent inflammation in achalasia patients: A cross-sectional study</w:t>
            </w:r>
          </w:p>
        </w:tc>
        <w:tc>
          <w:tcPr>
            <w:tcW w:w="321" w:type="pct"/>
            <w:shd w:val="clear" w:color="auto" w:fill="auto"/>
            <w:vAlign w:val="center"/>
            <w:hideMark/>
          </w:tcPr>
          <w:p w14:paraId="1BEE5E53"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2020</w:t>
            </w:r>
          </w:p>
        </w:tc>
        <w:tc>
          <w:tcPr>
            <w:tcW w:w="1411" w:type="pct"/>
            <w:shd w:val="clear" w:color="auto" w:fill="auto"/>
            <w:vAlign w:val="center"/>
            <w:hideMark/>
          </w:tcPr>
          <w:p w14:paraId="22A54BF4"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Lopez-Verdugo, F., Furuzawa-Carballeda, J., Romero-Hernandez, F., Coss-Adame, E., Valdovinos, M. A., Priego-Ranero, A., Olvera-Prado, H., Narvaez-Chavez, S., Peralta-Figueroa, J. and Torres-Villalobos, G.</w:t>
            </w:r>
          </w:p>
        </w:tc>
        <w:tc>
          <w:tcPr>
            <w:tcW w:w="577" w:type="pct"/>
            <w:shd w:val="clear" w:color="auto" w:fill="auto"/>
            <w:vAlign w:val="center"/>
            <w:hideMark/>
          </w:tcPr>
          <w:p w14:paraId="3A5F9327"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Medicine (United States)</w:t>
            </w:r>
          </w:p>
        </w:tc>
        <w:tc>
          <w:tcPr>
            <w:tcW w:w="801" w:type="pct"/>
            <w:shd w:val="clear" w:color="auto" w:fill="auto"/>
            <w:vAlign w:val="center"/>
            <w:hideMark/>
          </w:tcPr>
          <w:p w14:paraId="7F9D0BE4"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http://dx.doi.org/10.1097/MD.0000000000019326</w:t>
            </w:r>
          </w:p>
        </w:tc>
      </w:tr>
      <w:tr w:rsidR="008F7B90" w:rsidRPr="006721CC" w14:paraId="72E628DE" w14:textId="77777777" w:rsidTr="00756179">
        <w:trPr>
          <w:trHeight w:val="20"/>
        </w:trPr>
        <w:tc>
          <w:tcPr>
            <w:tcW w:w="1890" w:type="pct"/>
            <w:shd w:val="clear" w:color="auto" w:fill="auto"/>
            <w:vAlign w:val="center"/>
            <w:hideMark/>
          </w:tcPr>
          <w:p w14:paraId="3C38B7A6" w14:textId="4237BD7B"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Cross validated serum small extracellular vesicle microRNAs for the detection of oropharyngeal squamous cell carcinoma</w:t>
            </w:r>
          </w:p>
        </w:tc>
        <w:tc>
          <w:tcPr>
            <w:tcW w:w="321" w:type="pct"/>
            <w:shd w:val="clear" w:color="auto" w:fill="auto"/>
            <w:vAlign w:val="center"/>
            <w:hideMark/>
          </w:tcPr>
          <w:p w14:paraId="66EA276F"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2020</w:t>
            </w:r>
          </w:p>
        </w:tc>
        <w:tc>
          <w:tcPr>
            <w:tcW w:w="1411" w:type="pct"/>
            <w:shd w:val="clear" w:color="auto" w:fill="auto"/>
            <w:vAlign w:val="center"/>
            <w:hideMark/>
          </w:tcPr>
          <w:p w14:paraId="3FF7ACC8"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Mayne, G. C., Woods, C. M., Dharmawardana, N., Wang, T., Krishnan, S., Hodge, J. C., Foreman, A., Boase, S., Carney, A. S., Sigston, E. a. W., Watson, D. I., Ooi, E. H. and Hussey, D. J.</w:t>
            </w:r>
          </w:p>
        </w:tc>
        <w:tc>
          <w:tcPr>
            <w:tcW w:w="577" w:type="pct"/>
            <w:shd w:val="clear" w:color="auto" w:fill="auto"/>
            <w:vAlign w:val="center"/>
            <w:hideMark/>
          </w:tcPr>
          <w:p w14:paraId="1BAC5E3C"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Journal of Translational Medicine</w:t>
            </w:r>
          </w:p>
        </w:tc>
        <w:tc>
          <w:tcPr>
            <w:tcW w:w="801" w:type="pct"/>
            <w:shd w:val="clear" w:color="auto" w:fill="auto"/>
            <w:vAlign w:val="center"/>
            <w:hideMark/>
          </w:tcPr>
          <w:p w14:paraId="3EA7D4A7"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http://dx.doi.org/10.1186/s12967-020-02446-1</w:t>
            </w:r>
          </w:p>
        </w:tc>
      </w:tr>
      <w:tr w:rsidR="008F7B90" w:rsidRPr="006721CC" w14:paraId="588BEA63" w14:textId="77777777" w:rsidTr="00756179">
        <w:trPr>
          <w:trHeight w:val="20"/>
        </w:trPr>
        <w:tc>
          <w:tcPr>
            <w:tcW w:w="1890" w:type="pct"/>
            <w:shd w:val="clear" w:color="auto" w:fill="auto"/>
            <w:vAlign w:val="center"/>
            <w:hideMark/>
          </w:tcPr>
          <w:p w14:paraId="02BAC6EF" w14:textId="3F300DBC"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Current therapies for gastro-oesophageal reflux in the setting of chronic lung disease: State of the art review</w:t>
            </w:r>
          </w:p>
        </w:tc>
        <w:tc>
          <w:tcPr>
            <w:tcW w:w="321" w:type="pct"/>
            <w:shd w:val="clear" w:color="auto" w:fill="auto"/>
            <w:vAlign w:val="center"/>
            <w:hideMark/>
          </w:tcPr>
          <w:p w14:paraId="526E8315"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2020</w:t>
            </w:r>
          </w:p>
        </w:tc>
        <w:tc>
          <w:tcPr>
            <w:tcW w:w="1411" w:type="pct"/>
            <w:shd w:val="clear" w:color="auto" w:fill="auto"/>
            <w:vAlign w:val="center"/>
            <w:hideMark/>
          </w:tcPr>
          <w:p w14:paraId="74A7A8AD"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Mcdonnell, M. J., Hunt, E. B., Ward, C., Pearson, J. P., O'toole, D., Laffey, J. G., Murphy, D. M. and Rutherford, R. M.</w:t>
            </w:r>
          </w:p>
        </w:tc>
        <w:tc>
          <w:tcPr>
            <w:tcW w:w="577" w:type="pct"/>
            <w:shd w:val="clear" w:color="auto" w:fill="auto"/>
            <w:vAlign w:val="center"/>
            <w:hideMark/>
          </w:tcPr>
          <w:p w14:paraId="5EFEE2D7"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ERJ Open Research</w:t>
            </w:r>
          </w:p>
        </w:tc>
        <w:tc>
          <w:tcPr>
            <w:tcW w:w="801" w:type="pct"/>
            <w:shd w:val="clear" w:color="auto" w:fill="auto"/>
            <w:vAlign w:val="center"/>
            <w:hideMark/>
          </w:tcPr>
          <w:p w14:paraId="735144D1"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http://dx.doi.org/10.1183/23120541.00190-2019</w:t>
            </w:r>
          </w:p>
        </w:tc>
      </w:tr>
      <w:tr w:rsidR="008F7B90" w:rsidRPr="006721CC" w14:paraId="57D61846" w14:textId="77777777" w:rsidTr="00756179">
        <w:trPr>
          <w:trHeight w:val="20"/>
        </w:trPr>
        <w:tc>
          <w:tcPr>
            <w:tcW w:w="1890" w:type="pct"/>
            <w:shd w:val="clear" w:color="auto" w:fill="auto"/>
            <w:vAlign w:val="center"/>
            <w:hideMark/>
          </w:tcPr>
          <w:p w14:paraId="0AABAF8F" w14:textId="58A67998"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Implications of historical height loss for prevalent vertebral fracture, spinal osteoarthritis, and gastroesophageal reflux disease</w:t>
            </w:r>
          </w:p>
        </w:tc>
        <w:tc>
          <w:tcPr>
            <w:tcW w:w="321" w:type="pct"/>
            <w:shd w:val="clear" w:color="auto" w:fill="auto"/>
            <w:vAlign w:val="center"/>
            <w:hideMark/>
          </w:tcPr>
          <w:p w14:paraId="777AC162"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2020</w:t>
            </w:r>
          </w:p>
        </w:tc>
        <w:tc>
          <w:tcPr>
            <w:tcW w:w="1411" w:type="pct"/>
            <w:shd w:val="clear" w:color="auto" w:fill="auto"/>
            <w:vAlign w:val="center"/>
            <w:hideMark/>
          </w:tcPr>
          <w:p w14:paraId="3B59D4E6"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Nakano, M., Nakamura, Y., Suzuki, T., Kobayashi, T., Takahashi, J. and Shiraki, M.</w:t>
            </w:r>
          </w:p>
        </w:tc>
        <w:tc>
          <w:tcPr>
            <w:tcW w:w="577" w:type="pct"/>
            <w:shd w:val="clear" w:color="auto" w:fill="auto"/>
            <w:vAlign w:val="center"/>
            <w:hideMark/>
          </w:tcPr>
          <w:p w14:paraId="00493E9F"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Scientific reports</w:t>
            </w:r>
          </w:p>
        </w:tc>
        <w:tc>
          <w:tcPr>
            <w:tcW w:w="801" w:type="pct"/>
            <w:shd w:val="clear" w:color="auto" w:fill="auto"/>
            <w:vAlign w:val="center"/>
            <w:hideMark/>
          </w:tcPr>
          <w:p w14:paraId="14F3FCAE"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https://dx.doi.org/10.1038/s41598-020-76074-6</w:t>
            </w:r>
          </w:p>
        </w:tc>
      </w:tr>
      <w:tr w:rsidR="008F7B90" w:rsidRPr="006721CC" w14:paraId="14628876" w14:textId="77777777" w:rsidTr="00756179">
        <w:trPr>
          <w:trHeight w:val="20"/>
        </w:trPr>
        <w:tc>
          <w:tcPr>
            <w:tcW w:w="1890" w:type="pct"/>
            <w:shd w:val="clear" w:color="auto" w:fill="auto"/>
            <w:vAlign w:val="center"/>
            <w:hideMark/>
          </w:tcPr>
          <w:p w14:paraId="4B6E2453" w14:textId="0AC5458E"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Nissen fundoplication in Cornelia de Lange syndrome spectrum: Who are the potential candidates?</w:t>
            </w:r>
          </w:p>
        </w:tc>
        <w:tc>
          <w:tcPr>
            <w:tcW w:w="321" w:type="pct"/>
            <w:shd w:val="clear" w:color="auto" w:fill="auto"/>
            <w:vAlign w:val="center"/>
            <w:hideMark/>
          </w:tcPr>
          <w:p w14:paraId="5B745765"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2020</w:t>
            </w:r>
          </w:p>
        </w:tc>
        <w:tc>
          <w:tcPr>
            <w:tcW w:w="1411" w:type="pct"/>
            <w:shd w:val="clear" w:color="auto" w:fill="auto"/>
            <w:vAlign w:val="center"/>
            <w:hideMark/>
          </w:tcPr>
          <w:p w14:paraId="1949B654"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Parma, B., Cianci, P., Mariani, M., Cereda, A., Panceri, R., Fossati, C., Maestri, L., Macchini, F., Onesimo, R., Zampino, G., Betalli, P., Cheli, M. and Selicorni, A.</w:t>
            </w:r>
          </w:p>
        </w:tc>
        <w:tc>
          <w:tcPr>
            <w:tcW w:w="577" w:type="pct"/>
            <w:shd w:val="clear" w:color="auto" w:fill="auto"/>
            <w:vAlign w:val="center"/>
            <w:hideMark/>
          </w:tcPr>
          <w:p w14:paraId="3BE478ED"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American Journal of Medical Genetics, Part A</w:t>
            </w:r>
          </w:p>
        </w:tc>
        <w:tc>
          <w:tcPr>
            <w:tcW w:w="801" w:type="pct"/>
            <w:shd w:val="clear" w:color="auto" w:fill="auto"/>
            <w:vAlign w:val="center"/>
            <w:hideMark/>
          </w:tcPr>
          <w:p w14:paraId="46FFEFB8"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http://dx.doi.org/10.1002/ajmg.a.61625</w:t>
            </w:r>
          </w:p>
        </w:tc>
      </w:tr>
      <w:tr w:rsidR="008F7B90" w:rsidRPr="006721CC" w14:paraId="1274BEB5" w14:textId="77777777" w:rsidTr="00756179">
        <w:trPr>
          <w:trHeight w:val="20"/>
        </w:trPr>
        <w:tc>
          <w:tcPr>
            <w:tcW w:w="1890" w:type="pct"/>
            <w:shd w:val="clear" w:color="auto" w:fill="auto"/>
            <w:vAlign w:val="center"/>
            <w:hideMark/>
          </w:tcPr>
          <w:p w14:paraId="2319D416" w14:textId="15B710E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Routine Preoperative Nutritional Screening in All Primary Total Joint Arthroplasty Patients Has Little Utility</w:t>
            </w:r>
          </w:p>
        </w:tc>
        <w:tc>
          <w:tcPr>
            <w:tcW w:w="321" w:type="pct"/>
            <w:shd w:val="clear" w:color="auto" w:fill="auto"/>
            <w:vAlign w:val="center"/>
            <w:hideMark/>
          </w:tcPr>
          <w:p w14:paraId="30EA12D4"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2020</w:t>
            </w:r>
          </w:p>
        </w:tc>
        <w:tc>
          <w:tcPr>
            <w:tcW w:w="1411" w:type="pct"/>
            <w:shd w:val="clear" w:color="auto" w:fill="auto"/>
            <w:vAlign w:val="center"/>
            <w:hideMark/>
          </w:tcPr>
          <w:p w14:paraId="1EE129C2"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Rao, S. S., Chaudhry, Y. P., Solano, M. A., Sterling, R. S., Oni, J. K. and Khanuja, H. S.</w:t>
            </w:r>
          </w:p>
        </w:tc>
        <w:tc>
          <w:tcPr>
            <w:tcW w:w="577" w:type="pct"/>
            <w:shd w:val="clear" w:color="auto" w:fill="auto"/>
            <w:vAlign w:val="center"/>
            <w:hideMark/>
          </w:tcPr>
          <w:p w14:paraId="3F0BA9AE"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Journal of Arthroplasty</w:t>
            </w:r>
          </w:p>
        </w:tc>
        <w:tc>
          <w:tcPr>
            <w:tcW w:w="801" w:type="pct"/>
            <w:shd w:val="clear" w:color="auto" w:fill="auto"/>
            <w:vAlign w:val="center"/>
            <w:hideMark/>
          </w:tcPr>
          <w:p w14:paraId="3D794683"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https://dx.doi.org/10.1016/j.arth.2020.06.073</w:t>
            </w:r>
          </w:p>
        </w:tc>
      </w:tr>
      <w:tr w:rsidR="008F7B90" w:rsidRPr="006721CC" w14:paraId="4417512B" w14:textId="77777777" w:rsidTr="00756179">
        <w:trPr>
          <w:trHeight w:val="20"/>
        </w:trPr>
        <w:tc>
          <w:tcPr>
            <w:tcW w:w="1890" w:type="pct"/>
            <w:shd w:val="clear" w:color="auto" w:fill="auto"/>
            <w:vAlign w:val="center"/>
            <w:hideMark/>
          </w:tcPr>
          <w:p w14:paraId="23C4D75C" w14:textId="23F23BF8"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Asthma similarities across ProAR (Brazil) and U-BIOPRED (Europe) adult cohorts of contrasting locations, ethnicity and socioeconomic status</w:t>
            </w:r>
          </w:p>
        </w:tc>
        <w:tc>
          <w:tcPr>
            <w:tcW w:w="321" w:type="pct"/>
            <w:shd w:val="clear" w:color="auto" w:fill="auto"/>
            <w:vAlign w:val="center"/>
            <w:hideMark/>
          </w:tcPr>
          <w:p w14:paraId="5186A156"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2020</w:t>
            </w:r>
          </w:p>
        </w:tc>
        <w:tc>
          <w:tcPr>
            <w:tcW w:w="1411" w:type="pct"/>
            <w:shd w:val="clear" w:color="auto" w:fill="auto"/>
            <w:vAlign w:val="center"/>
            <w:hideMark/>
          </w:tcPr>
          <w:p w14:paraId="34E853EF"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 xml:space="preserve">Riley, J. H., Bansal, A. T., Almeida, P. C. A., Davis, M., Bates, S., Adcock, I. M., Chung, K. F., Alcantara-Neves, N., Amorim, L., Araujo, M. I., Barnes, K. C., Barreto, M. L., Belitardo, E., Biao-Lima, V., Cardoso, L., Camargos, P. A., Chatkin, J. M., Costa, R. S., Coelho, A. C. C., Cooper, P. J., Cruz, A. A., Cruz, C. S., Cunha, J., De Jesus, J. V., Fernandes, J., Franco, R. A., Gomes-Filho, I., Lima-Matos, A., Figueiredo, C. A., Lessa, M. A., Lins, L., Mello, L. M., Moura-Santos, P., Muniz, I. S., Paixao-Araujo, I., Pinheiro, G. P., Ponte, E. V., Rodrigues, L. C., Santana, C. V. N., Santos-Lima, G., Souza, T. M. O., Souza-Machado, A., Souza-Machado, C., Stelmach, R., Vasquez, V. S., Ahmed, H., Auffray, C., Bakke, P., Baribaud, F., Bel, E. H., Bigler, J., Bisgaard, H., Boedigheimer, M. J., Bonnelykke, K., Brandsma, J., Brinkman, P., Bucchioni, E., Burg, D., Bush, A., Caruso, M., Chaiboonchoe, A., Chanez, P., Compton, C. H., Corfield, J., D'amico, A., Dahlen, B., Dahlen, S. E., De Meulder, B., Djukanovic, R., Erpenbeck, V. J., Erzen, D., Fichtner, K., Fitch, N., Fleming, L. J., Formaggio, E., Fowler, S. J., Frey, U., </w:t>
            </w:r>
            <w:r w:rsidRPr="008F7B90">
              <w:rPr>
                <w:rFonts w:ascii="Arial" w:hAnsi="Arial" w:cs="Arial"/>
                <w:color w:val="000000"/>
                <w:sz w:val="16"/>
                <w:szCs w:val="16"/>
              </w:rPr>
              <w:lastRenderedPageBreak/>
              <w:t>Gahlemann, M., Geiser, T., Goss, V., Guo, Y. K., Hashimoto, S., Haughney, J., Hedlin, G., Hekking, P. W., Higenbottam, T., Hohlfeld, J. M., Holweg, C., Horvath, I., Howarth, P., James, A. J., Knowles, R. G., Knox, A. J., Krug, N., Lefaudeux, D., Loza, M. J., Lutter, R., Manta, A., Masefield, S., Matthews, J. G., Mazein, A., Meiser, A., Middelveld, R. J. M., Miralpeix, M., Montuschi, P., Mores, N., Murray, C. S., Musial, J., Myles, D., Pahus, L., Pandis, I., Pavlidis, S., Postle, A., Powel, P., Pratico, G., Puig Valls, M., Rao, N., Roberts, A., Roberts, G., Rowe, A., Sandstrom, T., Schofield, J. P. R., Seibold, W., Selby, A., Shaw, D. E., Sigmund, R., Singer, F., Skipp, P. J., Sousa, A. R., Sterk, P. J., Sun, K., Thornton, B., Van Aalderen, W. M., Van Geest, M., Vestbo, J., Vissing, N. H., Wagener, A. H., Wagers, S. S., Weiszhart, Z., Wheelock, C. E. and Wilson, S. J.</w:t>
            </w:r>
          </w:p>
        </w:tc>
        <w:tc>
          <w:tcPr>
            <w:tcW w:w="577" w:type="pct"/>
            <w:shd w:val="clear" w:color="auto" w:fill="auto"/>
            <w:vAlign w:val="center"/>
            <w:hideMark/>
          </w:tcPr>
          <w:p w14:paraId="4FE8BCAF"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lastRenderedPageBreak/>
              <w:t>Respiratory Medicine</w:t>
            </w:r>
          </w:p>
        </w:tc>
        <w:tc>
          <w:tcPr>
            <w:tcW w:w="801" w:type="pct"/>
            <w:shd w:val="clear" w:color="auto" w:fill="auto"/>
            <w:vAlign w:val="center"/>
            <w:hideMark/>
          </w:tcPr>
          <w:p w14:paraId="2E9B5CA4"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https://dx.doi.org/10.1016/j.rmed.2019.105817</w:t>
            </w:r>
          </w:p>
        </w:tc>
      </w:tr>
      <w:tr w:rsidR="008F7B90" w:rsidRPr="006721CC" w14:paraId="6F11F1BE" w14:textId="77777777" w:rsidTr="00756179">
        <w:trPr>
          <w:trHeight w:val="20"/>
        </w:trPr>
        <w:tc>
          <w:tcPr>
            <w:tcW w:w="1890" w:type="pct"/>
            <w:shd w:val="clear" w:color="auto" w:fill="auto"/>
            <w:vAlign w:val="center"/>
            <w:hideMark/>
          </w:tcPr>
          <w:p w14:paraId="4D91B9A9" w14:textId="7B6219F1"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Asthma similarities across ProAR (Brazil) and U-BIOPRED (Europe) adult cohorts of contrasting locations, ethnicity and socioeconomic status</w:t>
            </w:r>
          </w:p>
        </w:tc>
        <w:tc>
          <w:tcPr>
            <w:tcW w:w="321" w:type="pct"/>
            <w:shd w:val="clear" w:color="auto" w:fill="auto"/>
            <w:vAlign w:val="center"/>
            <w:hideMark/>
          </w:tcPr>
          <w:p w14:paraId="6A8C5678"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2020</w:t>
            </w:r>
          </w:p>
        </w:tc>
        <w:tc>
          <w:tcPr>
            <w:tcW w:w="1411" w:type="pct"/>
            <w:shd w:val="clear" w:color="auto" w:fill="auto"/>
            <w:vAlign w:val="center"/>
            <w:hideMark/>
          </w:tcPr>
          <w:p w14:paraId="24DE1DC6"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 xml:space="preserve">Riley, J. H., Bansal, A. T., Davis, M., Bates, S., Adcock, I. M., Chung, K. F., Alcantara-Neves, N., Almeida, P. C. A., Amorim, L., Araujo, M. I., Barnes, K. C., Barreto, M. L., Belitardo, E., Biao-Lima, V., Cardoso, L., Camargos, P. A., Chatkin, J. M., Costa, R. S., Coelho, A. C. C., Cooper, P. J., Cruz, A. A., Cruz, C. S., Cunha, J., De Jesus, J. V., Fernandes, J., Franco, R. A., Gomes-Filho, I., Lima-Matos, A., Figueiredo, C. A., Lessa, M. A., Lins, L., Mello, L. M., Moura-Santos, P., Muniz, I. S., Paixao-Araujo, I., Pinheiro, G. P., Ponte, E. V., Rodrigues, L. C., Santana, C. V. N., Santos-Lima, G., Souza, T. M. O., Souza-Machado, A., Souza-Machado, C., Stelmach, R., Vasquez, V. S., Ahmed, H., Auffray, C., Bakke, P., Baribaud, F., Bel, E. H., Bigler, J., Bisgaard, H., Boedigheimer, M. J., Bonnelykke, K., Brandsma, J., Brinkman, P., Bucchioni, E., Burg, D., Bush, A., Caruso, M., Chaiboonchoe, A., Chanez, P., Compton, C. H., Corfield, J., D'amico, A., Dahlen, B., Dahlen, S. E., De Meulder, B., Djukanovic, R., Erpenbeck, V. J., Erzen, D., Fichtner, K., Fitch, N., Fleming, L. J., Formaggio, E., Fowler, S. J., Frey, U., Gahlemann, M., Geiser, T., Goss, V., Guo, Y. K., Hashimoto, S., Haughney, J., Hedlin, G., Hekking, P. </w:t>
            </w:r>
            <w:r w:rsidRPr="008F7B90">
              <w:rPr>
                <w:rFonts w:ascii="Arial" w:hAnsi="Arial" w:cs="Arial"/>
                <w:color w:val="000000"/>
                <w:sz w:val="16"/>
                <w:szCs w:val="16"/>
              </w:rPr>
              <w:lastRenderedPageBreak/>
              <w:t>W., Higenbottam, T., Hohlfeld, J. M., Holweg, C., Horvath, I., Howarth, P., James, A. J., Knowles, R. G., Knox, A. J., Krug, N., Lefaudeux, D., Loza, M. J., Lutter, R., Manta, A., Masefield, S., Matthews, J. G., Mazein, A., Meiser, A., Middelveld, R. J. M., Miralpeix, M., Montuschi, P., Mores, N., Murray, C. S., Musial, J., Myles, D., Pahus, L., Pandis, I., Pavlidis, S., Postle, A., Powel, P., Pratico, G., Puig Valls, M., Rao, N., Roberts, A., Roberts, G., Rowe, A., Sandstrom, T., Schofield, J. P. R., Seibold, W., Selby, A., Shaw, D. E., Sigmund, R., Singer, F., Skipp, P. J., Sousa, A. R., Sterk, P. J., Sun, K., Thornton, B., Van Aalderen, W. M., Van Geest, M., Vestbo, J., Vissing, N. H., Wagener, A. H., Wagers, S. S., Weiszhart, Z., Wheelock, C. E. and Wilson, S. J.</w:t>
            </w:r>
          </w:p>
        </w:tc>
        <w:tc>
          <w:tcPr>
            <w:tcW w:w="577" w:type="pct"/>
            <w:shd w:val="clear" w:color="auto" w:fill="auto"/>
            <w:vAlign w:val="center"/>
            <w:hideMark/>
          </w:tcPr>
          <w:p w14:paraId="78290925"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lastRenderedPageBreak/>
              <w:t>Respiratory Medicine</w:t>
            </w:r>
          </w:p>
        </w:tc>
        <w:tc>
          <w:tcPr>
            <w:tcW w:w="801" w:type="pct"/>
            <w:shd w:val="clear" w:color="auto" w:fill="auto"/>
            <w:vAlign w:val="center"/>
            <w:hideMark/>
          </w:tcPr>
          <w:p w14:paraId="5950D6F0"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http://dx.doi.org/10.1016/j.rmed.2019.105817</w:t>
            </w:r>
          </w:p>
        </w:tc>
      </w:tr>
      <w:tr w:rsidR="008F7B90" w:rsidRPr="006721CC" w14:paraId="4B3BF1DB" w14:textId="77777777" w:rsidTr="00756179">
        <w:trPr>
          <w:trHeight w:val="20"/>
        </w:trPr>
        <w:tc>
          <w:tcPr>
            <w:tcW w:w="1890" w:type="pct"/>
            <w:shd w:val="clear" w:color="auto" w:fill="auto"/>
            <w:vAlign w:val="center"/>
            <w:hideMark/>
          </w:tcPr>
          <w:p w14:paraId="1E74039B" w14:textId="3AB59D42"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The frequency of visceral and phenotypic markers in patients with the combination of undifferentiated connective tissue disease and gastroesophageal reflux disease</w:t>
            </w:r>
          </w:p>
        </w:tc>
        <w:tc>
          <w:tcPr>
            <w:tcW w:w="321" w:type="pct"/>
            <w:shd w:val="clear" w:color="auto" w:fill="auto"/>
            <w:vAlign w:val="center"/>
            <w:hideMark/>
          </w:tcPr>
          <w:p w14:paraId="63BB1544"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2020</w:t>
            </w:r>
          </w:p>
        </w:tc>
        <w:tc>
          <w:tcPr>
            <w:tcW w:w="1411" w:type="pct"/>
            <w:shd w:val="clear" w:color="auto" w:fill="auto"/>
            <w:vAlign w:val="center"/>
            <w:hideMark/>
          </w:tcPr>
          <w:p w14:paraId="1B2BC83E"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Romash, I. B. and Mishchuk, V. G.</w:t>
            </w:r>
          </w:p>
        </w:tc>
        <w:tc>
          <w:tcPr>
            <w:tcW w:w="577" w:type="pct"/>
            <w:shd w:val="clear" w:color="auto" w:fill="auto"/>
            <w:vAlign w:val="center"/>
            <w:hideMark/>
          </w:tcPr>
          <w:p w14:paraId="79ADB3A2"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Wiadomosci lekarskie (Warsaw, Poland : 1960)</w:t>
            </w:r>
          </w:p>
        </w:tc>
        <w:tc>
          <w:tcPr>
            <w:tcW w:w="801" w:type="pct"/>
            <w:shd w:val="clear" w:color="auto" w:fill="auto"/>
            <w:vAlign w:val="center"/>
            <w:hideMark/>
          </w:tcPr>
          <w:p w14:paraId="17D14823" w14:textId="77777777" w:rsidR="008F7B90" w:rsidRPr="008F7B90" w:rsidRDefault="008F7B90" w:rsidP="00756179">
            <w:pPr>
              <w:spacing w:line="220" w:lineRule="exact"/>
              <w:rPr>
                <w:rFonts w:ascii="Arial" w:hAnsi="Arial" w:cs="Arial"/>
                <w:color w:val="000000"/>
                <w:sz w:val="16"/>
                <w:szCs w:val="16"/>
              </w:rPr>
            </w:pPr>
          </w:p>
        </w:tc>
      </w:tr>
      <w:tr w:rsidR="008F7B90" w:rsidRPr="006721CC" w14:paraId="1829547B" w14:textId="77777777" w:rsidTr="00756179">
        <w:trPr>
          <w:trHeight w:val="20"/>
        </w:trPr>
        <w:tc>
          <w:tcPr>
            <w:tcW w:w="1890" w:type="pct"/>
            <w:shd w:val="clear" w:color="auto" w:fill="auto"/>
            <w:vAlign w:val="center"/>
            <w:hideMark/>
          </w:tcPr>
          <w:p w14:paraId="55BA33FA" w14:textId="1F54FBC3"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Eosinophilic Esophagitis: Update on Diagnosis and Treatment in Pediatric Patients</w:t>
            </w:r>
          </w:p>
        </w:tc>
        <w:tc>
          <w:tcPr>
            <w:tcW w:w="321" w:type="pct"/>
            <w:shd w:val="clear" w:color="auto" w:fill="auto"/>
            <w:vAlign w:val="center"/>
            <w:hideMark/>
          </w:tcPr>
          <w:p w14:paraId="6368DA5B"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2020</w:t>
            </w:r>
          </w:p>
        </w:tc>
        <w:tc>
          <w:tcPr>
            <w:tcW w:w="1411" w:type="pct"/>
            <w:shd w:val="clear" w:color="auto" w:fill="auto"/>
            <w:vAlign w:val="center"/>
            <w:hideMark/>
          </w:tcPr>
          <w:p w14:paraId="488DBB69"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Rossetti, D., Isoldi, S. and Oliva, S.</w:t>
            </w:r>
          </w:p>
        </w:tc>
        <w:tc>
          <w:tcPr>
            <w:tcW w:w="577" w:type="pct"/>
            <w:shd w:val="clear" w:color="auto" w:fill="auto"/>
            <w:vAlign w:val="center"/>
            <w:hideMark/>
          </w:tcPr>
          <w:p w14:paraId="005B89A2"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Pediatric Drugs</w:t>
            </w:r>
          </w:p>
        </w:tc>
        <w:tc>
          <w:tcPr>
            <w:tcW w:w="801" w:type="pct"/>
            <w:shd w:val="clear" w:color="auto" w:fill="auto"/>
            <w:vAlign w:val="center"/>
            <w:hideMark/>
          </w:tcPr>
          <w:p w14:paraId="52BBC133"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http://dx.doi.org/10.1007/s40272-020-00398-z</w:t>
            </w:r>
          </w:p>
        </w:tc>
      </w:tr>
      <w:tr w:rsidR="008F7B90" w:rsidRPr="006721CC" w14:paraId="1EC002B4" w14:textId="77777777" w:rsidTr="00756179">
        <w:trPr>
          <w:trHeight w:val="20"/>
        </w:trPr>
        <w:tc>
          <w:tcPr>
            <w:tcW w:w="1890" w:type="pct"/>
            <w:shd w:val="clear" w:color="auto" w:fill="auto"/>
            <w:vAlign w:val="center"/>
            <w:hideMark/>
          </w:tcPr>
          <w:p w14:paraId="049AC183" w14:textId="4E6F4394"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Review - Helicobacter pylori and non-malignant upper gastro-intestinal diseases</w:t>
            </w:r>
          </w:p>
        </w:tc>
        <w:tc>
          <w:tcPr>
            <w:tcW w:w="321" w:type="pct"/>
            <w:shd w:val="clear" w:color="auto" w:fill="auto"/>
            <w:vAlign w:val="center"/>
            <w:hideMark/>
          </w:tcPr>
          <w:p w14:paraId="3FFE755D"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2020</w:t>
            </w:r>
          </w:p>
        </w:tc>
        <w:tc>
          <w:tcPr>
            <w:tcW w:w="1411" w:type="pct"/>
            <w:shd w:val="clear" w:color="auto" w:fill="auto"/>
            <w:vAlign w:val="center"/>
            <w:hideMark/>
          </w:tcPr>
          <w:p w14:paraId="1FE94229"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Schulz, C. and Kupcinskas, J.</w:t>
            </w:r>
          </w:p>
        </w:tc>
        <w:tc>
          <w:tcPr>
            <w:tcW w:w="577" w:type="pct"/>
            <w:shd w:val="clear" w:color="auto" w:fill="auto"/>
            <w:vAlign w:val="center"/>
            <w:hideMark/>
          </w:tcPr>
          <w:p w14:paraId="529BDC69"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Helicobacter</w:t>
            </w:r>
          </w:p>
        </w:tc>
        <w:tc>
          <w:tcPr>
            <w:tcW w:w="801" w:type="pct"/>
            <w:shd w:val="clear" w:color="auto" w:fill="auto"/>
            <w:vAlign w:val="center"/>
            <w:hideMark/>
          </w:tcPr>
          <w:p w14:paraId="406386DB"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http://dx.doi.org/10.1111/hel.12738</w:t>
            </w:r>
          </w:p>
        </w:tc>
      </w:tr>
      <w:tr w:rsidR="008F7B90" w:rsidRPr="006721CC" w14:paraId="55DC768B" w14:textId="77777777" w:rsidTr="00756179">
        <w:trPr>
          <w:trHeight w:val="20"/>
        </w:trPr>
        <w:tc>
          <w:tcPr>
            <w:tcW w:w="1890" w:type="pct"/>
            <w:shd w:val="clear" w:color="auto" w:fill="auto"/>
            <w:vAlign w:val="center"/>
            <w:hideMark/>
          </w:tcPr>
          <w:p w14:paraId="4734806B" w14:textId="63F04CFE"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Complex Gastrointestinal and Endocrine Sources of Inflammation in Schizophrenia</w:t>
            </w:r>
          </w:p>
        </w:tc>
        <w:tc>
          <w:tcPr>
            <w:tcW w:w="321" w:type="pct"/>
            <w:shd w:val="clear" w:color="auto" w:fill="auto"/>
            <w:vAlign w:val="center"/>
            <w:hideMark/>
          </w:tcPr>
          <w:p w14:paraId="442F5838"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2020</w:t>
            </w:r>
          </w:p>
        </w:tc>
        <w:tc>
          <w:tcPr>
            <w:tcW w:w="1411" w:type="pct"/>
            <w:shd w:val="clear" w:color="auto" w:fill="auto"/>
            <w:vAlign w:val="center"/>
            <w:hideMark/>
          </w:tcPr>
          <w:p w14:paraId="675843E4"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Severance, E. G., Dickerson, F. and Yolken, R. H.</w:t>
            </w:r>
          </w:p>
        </w:tc>
        <w:tc>
          <w:tcPr>
            <w:tcW w:w="577" w:type="pct"/>
            <w:shd w:val="clear" w:color="auto" w:fill="auto"/>
            <w:vAlign w:val="center"/>
            <w:hideMark/>
          </w:tcPr>
          <w:p w14:paraId="40318314"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Frontiers in Psychiatry</w:t>
            </w:r>
          </w:p>
        </w:tc>
        <w:tc>
          <w:tcPr>
            <w:tcW w:w="801" w:type="pct"/>
            <w:shd w:val="clear" w:color="auto" w:fill="auto"/>
            <w:vAlign w:val="center"/>
            <w:hideMark/>
          </w:tcPr>
          <w:p w14:paraId="467E7CC4"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http://dx.doi.org/10.3389/fpsyt.2020.00549</w:t>
            </w:r>
          </w:p>
        </w:tc>
      </w:tr>
      <w:tr w:rsidR="008F7B90" w:rsidRPr="006721CC" w14:paraId="29E5BF77" w14:textId="77777777" w:rsidTr="00756179">
        <w:trPr>
          <w:trHeight w:val="20"/>
        </w:trPr>
        <w:tc>
          <w:tcPr>
            <w:tcW w:w="1890" w:type="pct"/>
            <w:shd w:val="clear" w:color="auto" w:fill="auto"/>
            <w:vAlign w:val="center"/>
            <w:hideMark/>
          </w:tcPr>
          <w:p w14:paraId="05BC9EEC" w14:textId="209AC69F"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Bronchoalveolar bile acid and inflammatory markers to identify high-risk lung transplant recipients with reflux and microaspiration</w:t>
            </w:r>
          </w:p>
        </w:tc>
        <w:tc>
          <w:tcPr>
            <w:tcW w:w="321" w:type="pct"/>
            <w:shd w:val="clear" w:color="auto" w:fill="auto"/>
            <w:vAlign w:val="center"/>
            <w:hideMark/>
          </w:tcPr>
          <w:p w14:paraId="302970D8"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2020</w:t>
            </w:r>
          </w:p>
        </w:tc>
        <w:tc>
          <w:tcPr>
            <w:tcW w:w="1411" w:type="pct"/>
            <w:shd w:val="clear" w:color="auto" w:fill="auto"/>
            <w:vAlign w:val="center"/>
            <w:hideMark/>
          </w:tcPr>
          <w:p w14:paraId="40DACF48"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Zhang, C. Y. K., Ahmed, M., Huszti, E., Levy, L., Hunter, S. E., Boonstra, K. M., Moshkelgosha, S., Sage, A. T., Azad, S., Zamel, R., Ghany, R., Yeung, J. C., Crespin, O. M., Frankel, C., Budev, M., Shah, P., Reynolds, J. M., Snyder, L. D., Belperio, J. A., Singer, L. G., Weigt, S. S., Todd, J. L., Palmer, S. M., Keshavjee, S. and Martinu, T.</w:t>
            </w:r>
          </w:p>
        </w:tc>
        <w:tc>
          <w:tcPr>
            <w:tcW w:w="577" w:type="pct"/>
            <w:shd w:val="clear" w:color="auto" w:fill="auto"/>
            <w:vAlign w:val="center"/>
            <w:hideMark/>
          </w:tcPr>
          <w:p w14:paraId="254EDB91"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Journal of Heart and Lung Transplantation</w:t>
            </w:r>
          </w:p>
        </w:tc>
        <w:tc>
          <w:tcPr>
            <w:tcW w:w="801" w:type="pct"/>
            <w:shd w:val="clear" w:color="auto" w:fill="auto"/>
            <w:vAlign w:val="center"/>
            <w:hideMark/>
          </w:tcPr>
          <w:p w14:paraId="5D4A1E6B"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http://dx.doi.org/10.1016/j.healun.2020.05.006</w:t>
            </w:r>
          </w:p>
        </w:tc>
      </w:tr>
      <w:tr w:rsidR="008F7B90" w:rsidRPr="006721CC" w14:paraId="5FE5B0F6" w14:textId="77777777" w:rsidTr="00756179">
        <w:trPr>
          <w:trHeight w:val="20"/>
        </w:trPr>
        <w:tc>
          <w:tcPr>
            <w:tcW w:w="1890" w:type="pct"/>
            <w:shd w:val="clear" w:color="auto" w:fill="auto"/>
            <w:vAlign w:val="center"/>
            <w:hideMark/>
          </w:tcPr>
          <w:p w14:paraId="6DEF143D" w14:textId="7D461DBD"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Recurring Translocations in Barrett's Esophageal Adenocarcinoma</w:t>
            </w:r>
          </w:p>
        </w:tc>
        <w:tc>
          <w:tcPr>
            <w:tcW w:w="321" w:type="pct"/>
            <w:shd w:val="clear" w:color="auto" w:fill="auto"/>
            <w:vAlign w:val="center"/>
            <w:hideMark/>
          </w:tcPr>
          <w:p w14:paraId="07E86A77"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2021</w:t>
            </w:r>
          </w:p>
        </w:tc>
        <w:tc>
          <w:tcPr>
            <w:tcW w:w="1411" w:type="pct"/>
            <w:shd w:val="clear" w:color="auto" w:fill="auto"/>
            <w:vAlign w:val="center"/>
            <w:hideMark/>
          </w:tcPr>
          <w:p w14:paraId="7A4905E8"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Bajpai, M., Panda, A., Birudaraju, K., Van Gurp, J., Chak, A., Das, K. M., Javidian, P. and Aviv, H.</w:t>
            </w:r>
          </w:p>
        </w:tc>
        <w:tc>
          <w:tcPr>
            <w:tcW w:w="577" w:type="pct"/>
            <w:shd w:val="clear" w:color="auto" w:fill="auto"/>
            <w:vAlign w:val="center"/>
            <w:hideMark/>
          </w:tcPr>
          <w:p w14:paraId="5E749BB3"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Frontiers in Genetics</w:t>
            </w:r>
          </w:p>
        </w:tc>
        <w:tc>
          <w:tcPr>
            <w:tcW w:w="801" w:type="pct"/>
            <w:shd w:val="clear" w:color="auto" w:fill="auto"/>
            <w:vAlign w:val="center"/>
            <w:hideMark/>
          </w:tcPr>
          <w:p w14:paraId="3A861D23"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http://dx.doi.org/10.3389/fgene.2021.674741</w:t>
            </w:r>
          </w:p>
        </w:tc>
      </w:tr>
      <w:tr w:rsidR="008F7B90" w:rsidRPr="006721CC" w14:paraId="2B759D0C" w14:textId="77777777" w:rsidTr="00756179">
        <w:trPr>
          <w:trHeight w:val="20"/>
        </w:trPr>
        <w:tc>
          <w:tcPr>
            <w:tcW w:w="1890" w:type="pct"/>
            <w:shd w:val="clear" w:color="auto" w:fill="auto"/>
            <w:vAlign w:val="center"/>
            <w:hideMark/>
          </w:tcPr>
          <w:p w14:paraId="09C2C8C7" w14:textId="5EACF534"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Risk factors associated with the development of interstitial lung abnormalities</w:t>
            </w:r>
          </w:p>
        </w:tc>
        <w:tc>
          <w:tcPr>
            <w:tcW w:w="321" w:type="pct"/>
            <w:shd w:val="clear" w:color="auto" w:fill="auto"/>
            <w:vAlign w:val="center"/>
            <w:hideMark/>
          </w:tcPr>
          <w:p w14:paraId="109D33FE"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2021</w:t>
            </w:r>
          </w:p>
        </w:tc>
        <w:tc>
          <w:tcPr>
            <w:tcW w:w="1411" w:type="pct"/>
            <w:shd w:val="clear" w:color="auto" w:fill="auto"/>
            <w:vAlign w:val="center"/>
            <w:hideMark/>
          </w:tcPr>
          <w:p w14:paraId="79E04580"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Buendia-Roldan, I., Fernandez, R., Mejia, M., Juarez, F., Ramirez-Martinez, G., Montes, E., Pruneda, A. K. S., Martinez-Espinosa, K., Alarcon-Dionet, A., Herrera, I., Becerril, C., Chavez-Galan, L., Preciado, M., Pardo, A. and Selman, M.</w:t>
            </w:r>
          </w:p>
        </w:tc>
        <w:tc>
          <w:tcPr>
            <w:tcW w:w="577" w:type="pct"/>
            <w:shd w:val="clear" w:color="auto" w:fill="auto"/>
            <w:vAlign w:val="center"/>
            <w:hideMark/>
          </w:tcPr>
          <w:p w14:paraId="2BD7427A"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European Respiratory Journal</w:t>
            </w:r>
          </w:p>
        </w:tc>
        <w:tc>
          <w:tcPr>
            <w:tcW w:w="801" w:type="pct"/>
            <w:shd w:val="clear" w:color="auto" w:fill="auto"/>
            <w:vAlign w:val="center"/>
            <w:hideMark/>
          </w:tcPr>
          <w:p w14:paraId="7C1E0946"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http://dx.doi.org/10.1183/13993003.03005-2020</w:t>
            </w:r>
          </w:p>
        </w:tc>
      </w:tr>
      <w:tr w:rsidR="008F7B90" w:rsidRPr="006721CC" w14:paraId="18E08DAF" w14:textId="77777777" w:rsidTr="00756179">
        <w:trPr>
          <w:trHeight w:val="20"/>
        </w:trPr>
        <w:tc>
          <w:tcPr>
            <w:tcW w:w="1890" w:type="pct"/>
            <w:shd w:val="clear" w:color="auto" w:fill="auto"/>
            <w:vAlign w:val="center"/>
            <w:hideMark/>
          </w:tcPr>
          <w:p w14:paraId="5A169DF7" w14:textId="53B6683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Forkhead box F1 induces columnar phenotype and epithelial-to-mesenchymal transition in esophageal squamous cells to initiate Barrett's like metaplasia</w:t>
            </w:r>
          </w:p>
        </w:tc>
        <w:tc>
          <w:tcPr>
            <w:tcW w:w="321" w:type="pct"/>
            <w:shd w:val="clear" w:color="auto" w:fill="auto"/>
            <w:vAlign w:val="center"/>
            <w:hideMark/>
          </w:tcPr>
          <w:p w14:paraId="30B6E6F2"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2021</w:t>
            </w:r>
          </w:p>
        </w:tc>
        <w:tc>
          <w:tcPr>
            <w:tcW w:w="1411" w:type="pct"/>
            <w:shd w:val="clear" w:color="auto" w:fill="auto"/>
            <w:vAlign w:val="center"/>
            <w:hideMark/>
          </w:tcPr>
          <w:p w14:paraId="73C6A010"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De, A., Zhou, J., Liu, P., Huang, M., Gunewardena, S., Mathur, S. C., Christenson, L. K., Sharma, M., Zhang, Q. and Bansal, A.</w:t>
            </w:r>
          </w:p>
        </w:tc>
        <w:tc>
          <w:tcPr>
            <w:tcW w:w="577" w:type="pct"/>
            <w:shd w:val="clear" w:color="auto" w:fill="auto"/>
            <w:vAlign w:val="center"/>
            <w:hideMark/>
          </w:tcPr>
          <w:p w14:paraId="25F770F6"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Laboratory Investigation</w:t>
            </w:r>
          </w:p>
        </w:tc>
        <w:tc>
          <w:tcPr>
            <w:tcW w:w="801" w:type="pct"/>
            <w:shd w:val="clear" w:color="auto" w:fill="auto"/>
            <w:vAlign w:val="center"/>
            <w:hideMark/>
          </w:tcPr>
          <w:p w14:paraId="20B55D9E"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http://dx.doi.org/10.1038/s41374-021-00534-4</w:t>
            </w:r>
          </w:p>
        </w:tc>
      </w:tr>
      <w:tr w:rsidR="008F7B90" w:rsidRPr="006721CC" w14:paraId="5CC63A36" w14:textId="77777777" w:rsidTr="00756179">
        <w:trPr>
          <w:trHeight w:val="20"/>
        </w:trPr>
        <w:tc>
          <w:tcPr>
            <w:tcW w:w="1890" w:type="pct"/>
            <w:shd w:val="clear" w:color="auto" w:fill="auto"/>
            <w:vAlign w:val="center"/>
            <w:hideMark/>
          </w:tcPr>
          <w:p w14:paraId="79A834BC" w14:textId="141380DD"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lastRenderedPageBreak/>
              <w:t>Multi-omics of the esophageal microenvironment identifies signatures associated with progression of Barrett's esophagus</w:t>
            </w:r>
          </w:p>
        </w:tc>
        <w:tc>
          <w:tcPr>
            <w:tcW w:w="321" w:type="pct"/>
            <w:shd w:val="clear" w:color="auto" w:fill="auto"/>
            <w:vAlign w:val="center"/>
            <w:hideMark/>
          </w:tcPr>
          <w:p w14:paraId="44FBF90C"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2021</w:t>
            </w:r>
          </w:p>
        </w:tc>
        <w:tc>
          <w:tcPr>
            <w:tcW w:w="1411" w:type="pct"/>
            <w:shd w:val="clear" w:color="auto" w:fill="auto"/>
            <w:vAlign w:val="center"/>
            <w:hideMark/>
          </w:tcPr>
          <w:p w14:paraId="118E18CE"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Deshpande, N. P., Riordan, S. M., Gorman, C. J., Nielsen, S., Russell, T. L., Correa-Ospina, C., Fernando, B. S. M., Waters, S. A., Castano-Rodriguez, N., Man, S. M., Tedla, N., Wilkins, M. R. and Kaakoush, N. O.</w:t>
            </w:r>
          </w:p>
        </w:tc>
        <w:tc>
          <w:tcPr>
            <w:tcW w:w="577" w:type="pct"/>
            <w:shd w:val="clear" w:color="auto" w:fill="auto"/>
            <w:vAlign w:val="center"/>
            <w:hideMark/>
          </w:tcPr>
          <w:p w14:paraId="135A4957"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Genome Medicine</w:t>
            </w:r>
          </w:p>
        </w:tc>
        <w:tc>
          <w:tcPr>
            <w:tcW w:w="801" w:type="pct"/>
            <w:shd w:val="clear" w:color="auto" w:fill="auto"/>
            <w:vAlign w:val="center"/>
            <w:hideMark/>
          </w:tcPr>
          <w:p w14:paraId="09BC526B"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http://dx.doi.org/10.1186/s13073-021-00951-6</w:t>
            </w:r>
          </w:p>
        </w:tc>
      </w:tr>
      <w:tr w:rsidR="008F7B90" w:rsidRPr="006721CC" w14:paraId="0856FEF6" w14:textId="77777777" w:rsidTr="00756179">
        <w:trPr>
          <w:trHeight w:val="20"/>
        </w:trPr>
        <w:tc>
          <w:tcPr>
            <w:tcW w:w="1890" w:type="pct"/>
            <w:shd w:val="clear" w:color="auto" w:fill="auto"/>
            <w:vAlign w:val="center"/>
            <w:hideMark/>
          </w:tcPr>
          <w:p w14:paraId="3BB41B49" w14:textId="72B27FD8"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Limited clinical utility of lipid-laden macrophage index of induced sputum in predicting gastroesophageal reflux-related cough</w:t>
            </w:r>
          </w:p>
        </w:tc>
        <w:tc>
          <w:tcPr>
            <w:tcW w:w="321" w:type="pct"/>
            <w:shd w:val="clear" w:color="auto" w:fill="auto"/>
            <w:vAlign w:val="center"/>
            <w:hideMark/>
          </w:tcPr>
          <w:p w14:paraId="0787880E"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2021</w:t>
            </w:r>
          </w:p>
        </w:tc>
        <w:tc>
          <w:tcPr>
            <w:tcW w:w="1411" w:type="pct"/>
            <w:shd w:val="clear" w:color="auto" w:fill="auto"/>
            <w:vAlign w:val="center"/>
            <w:hideMark/>
          </w:tcPr>
          <w:p w14:paraId="757B2DF7"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Dong, J., Huang, J., Liu, J., Tang, Y., Sivapalan, D., Lai, K., Zhong, N., Luo, W. and Chen, R.</w:t>
            </w:r>
          </w:p>
        </w:tc>
        <w:tc>
          <w:tcPr>
            <w:tcW w:w="577" w:type="pct"/>
            <w:shd w:val="clear" w:color="auto" w:fill="auto"/>
            <w:vAlign w:val="center"/>
            <w:hideMark/>
          </w:tcPr>
          <w:p w14:paraId="119F555E"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Allergy, Asthma and Immunology Research</w:t>
            </w:r>
          </w:p>
        </w:tc>
        <w:tc>
          <w:tcPr>
            <w:tcW w:w="801" w:type="pct"/>
            <w:shd w:val="clear" w:color="auto" w:fill="auto"/>
            <w:vAlign w:val="center"/>
            <w:hideMark/>
          </w:tcPr>
          <w:p w14:paraId="289ABBB6"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http://dx.doi.org/10.4168/AAIR.2021.13.5.799</w:t>
            </w:r>
          </w:p>
        </w:tc>
      </w:tr>
      <w:tr w:rsidR="008F7B90" w:rsidRPr="006721CC" w14:paraId="466AC8D0" w14:textId="77777777" w:rsidTr="00756179">
        <w:trPr>
          <w:trHeight w:val="20"/>
        </w:trPr>
        <w:tc>
          <w:tcPr>
            <w:tcW w:w="1890" w:type="pct"/>
            <w:shd w:val="clear" w:color="auto" w:fill="auto"/>
            <w:vAlign w:val="center"/>
            <w:hideMark/>
          </w:tcPr>
          <w:p w14:paraId="0C7FCB75" w14:textId="49A48184"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Salivary peptest for laryngopharyngeal reflux and gastroesophageal reflux disease: A systemic review and meta-analysis</w:t>
            </w:r>
          </w:p>
        </w:tc>
        <w:tc>
          <w:tcPr>
            <w:tcW w:w="321" w:type="pct"/>
            <w:shd w:val="clear" w:color="auto" w:fill="auto"/>
            <w:vAlign w:val="center"/>
            <w:hideMark/>
          </w:tcPr>
          <w:p w14:paraId="1DAD01CD"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2021</w:t>
            </w:r>
          </w:p>
        </w:tc>
        <w:tc>
          <w:tcPr>
            <w:tcW w:w="1411" w:type="pct"/>
            <w:shd w:val="clear" w:color="auto" w:fill="auto"/>
            <w:vAlign w:val="center"/>
            <w:hideMark/>
          </w:tcPr>
          <w:p w14:paraId="112AD517"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Guo, Z., Jiang, J., Wu, H., Zhu, J., Zhang, S. and Zhang, C.</w:t>
            </w:r>
          </w:p>
        </w:tc>
        <w:tc>
          <w:tcPr>
            <w:tcW w:w="577" w:type="pct"/>
            <w:shd w:val="clear" w:color="auto" w:fill="auto"/>
            <w:vAlign w:val="center"/>
            <w:hideMark/>
          </w:tcPr>
          <w:p w14:paraId="333D8F00"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Medicine</w:t>
            </w:r>
          </w:p>
        </w:tc>
        <w:tc>
          <w:tcPr>
            <w:tcW w:w="801" w:type="pct"/>
            <w:shd w:val="clear" w:color="auto" w:fill="auto"/>
            <w:vAlign w:val="center"/>
            <w:hideMark/>
          </w:tcPr>
          <w:p w14:paraId="5BA3BCF4"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http://dx.doi.org/10.1097/MD.0000000000026756</w:t>
            </w:r>
          </w:p>
        </w:tc>
      </w:tr>
      <w:tr w:rsidR="008F7B90" w:rsidRPr="006721CC" w14:paraId="598F9C2A" w14:textId="77777777" w:rsidTr="00756179">
        <w:trPr>
          <w:trHeight w:val="20"/>
        </w:trPr>
        <w:tc>
          <w:tcPr>
            <w:tcW w:w="1890" w:type="pct"/>
            <w:shd w:val="clear" w:color="auto" w:fill="auto"/>
            <w:vAlign w:val="center"/>
            <w:hideMark/>
          </w:tcPr>
          <w:p w14:paraId="09A6B100" w14:textId="515DAE69"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Evaluation of serum neuron specific enolase levels among patients with primary and secondary burning mouth syndrome</w:t>
            </w:r>
          </w:p>
        </w:tc>
        <w:tc>
          <w:tcPr>
            <w:tcW w:w="321" w:type="pct"/>
            <w:shd w:val="clear" w:color="auto" w:fill="auto"/>
            <w:vAlign w:val="center"/>
            <w:hideMark/>
          </w:tcPr>
          <w:p w14:paraId="5AE113E1"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2021</w:t>
            </w:r>
          </w:p>
        </w:tc>
        <w:tc>
          <w:tcPr>
            <w:tcW w:w="1411" w:type="pct"/>
            <w:shd w:val="clear" w:color="auto" w:fill="auto"/>
            <w:vAlign w:val="center"/>
            <w:hideMark/>
          </w:tcPr>
          <w:p w14:paraId="07C49880"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Kishore, J., Shaikh, F., Zubairi, A. M., Mirza, S., Alqutub, M. N., Almubarak, A. M., Abduljabbar, T. and Vohra, F.</w:t>
            </w:r>
          </w:p>
        </w:tc>
        <w:tc>
          <w:tcPr>
            <w:tcW w:w="577" w:type="pct"/>
            <w:shd w:val="clear" w:color="auto" w:fill="auto"/>
            <w:vAlign w:val="center"/>
            <w:hideMark/>
          </w:tcPr>
          <w:p w14:paraId="1C1B2059"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Cephalalgia.</w:t>
            </w:r>
          </w:p>
        </w:tc>
        <w:tc>
          <w:tcPr>
            <w:tcW w:w="801" w:type="pct"/>
            <w:shd w:val="clear" w:color="auto" w:fill="auto"/>
            <w:vAlign w:val="center"/>
            <w:hideMark/>
          </w:tcPr>
          <w:p w14:paraId="57B4B280"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http://dx.doi.org/10.1177/03331024211046613</w:t>
            </w:r>
          </w:p>
        </w:tc>
      </w:tr>
      <w:tr w:rsidR="008F7B90" w:rsidRPr="006721CC" w14:paraId="024DCA4B" w14:textId="77777777" w:rsidTr="00756179">
        <w:trPr>
          <w:trHeight w:val="20"/>
        </w:trPr>
        <w:tc>
          <w:tcPr>
            <w:tcW w:w="1890" w:type="pct"/>
            <w:shd w:val="clear" w:color="auto" w:fill="auto"/>
            <w:vAlign w:val="center"/>
            <w:hideMark/>
          </w:tcPr>
          <w:p w14:paraId="7566D07F" w14:textId="1165AC55"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Gerd and its' therapeutic management by surgical methods</w:t>
            </w:r>
          </w:p>
        </w:tc>
        <w:tc>
          <w:tcPr>
            <w:tcW w:w="321" w:type="pct"/>
            <w:shd w:val="clear" w:color="auto" w:fill="auto"/>
            <w:vAlign w:val="center"/>
            <w:hideMark/>
          </w:tcPr>
          <w:p w14:paraId="04597ECB"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2021</w:t>
            </w:r>
          </w:p>
        </w:tc>
        <w:tc>
          <w:tcPr>
            <w:tcW w:w="1411" w:type="pct"/>
            <w:shd w:val="clear" w:color="auto" w:fill="auto"/>
            <w:vAlign w:val="center"/>
            <w:hideMark/>
          </w:tcPr>
          <w:p w14:paraId="7861DF86"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Kumar, N., Mazumder, A. and Das, S.</w:t>
            </w:r>
          </w:p>
        </w:tc>
        <w:tc>
          <w:tcPr>
            <w:tcW w:w="577" w:type="pct"/>
            <w:shd w:val="clear" w:color="auto" w:fill="auto"/>
            <w:vAlign w:val="center"/>
            <w:hideMark/>
          </w:tcPr>
          <w:p w14:paraId="5DC91735"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International Journal of Pharmaceutical Research</w:t>
            </w:r>
          </w:p>
        </w:tc>
        <w:tc>
          <w:tcPr>
            <w:tcW w:w="801" w:type="pct"/>
            <w:shd w:val="clear" w:color="auto" w:fill="auto"/>
            <w:vAlign w:val="center"/>
            <w:hideMark/>
          </w:tcPr>
          <w:p w14:paraId="068C2C17"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http://dx.doi.org/10.31838/ijpr/2021.13.02.348</w:t>
            </w:r>
          </w:p>
        </w:tc>
      </w:tr>
      <w:tr w:rsidR="008F7B90" w:rsidRPr="006721CC" w14:paraId="49C55CC1" w14:textId="77777777" w:rsidTr="00756179">
        <w:trPr>
          <w:trHeight w:val="20"/>
        </w:trPr>
        <w:tc>
          <w:tcPr>
            <w:tcW w:w="1890" w:type="pct"/>
            <w:shd w:val="clear" w:color="auto" w:fill="auto"/>
            <w:vAlign w:val="center"/>
            <w:hideMark/>
          </w:tcPr>
          <w:p w14:paraId="7D565DCF" w14:textId="494933E4"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Metabolomic profiling of extraesophageal reflux disease in children</w:t>
            </w:r>
          </w:p>
        </w:tc>
        <w:tc>
          <w:tcPr>
            <w:tcW w:w="321" w:type="pct"/>
            <w:shd w:val="clear" w:color="auto" w:fill="auto"/>
            <w:vAlign w:val="center"/>
            <w:hideMark/>
          </w:tcPr>
          <w:p w14:paraId="7559C1BD"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2021</w:t>
            </w:r>
          </w:p>
        </w:tc>
        <w:tc>
          <w:tcPr>
            <w:tcW w:w="1411" w:type="pct"/>
            <w:shd w:val="clear" w:color="auto" w:fill="auto"/>
            <w:vAlign w:val="center"/>
            <w:hideMark/>
          </w:tcPr>
          <w:p w14:paraId="0F6A6407"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Mahoney, L. B., Esther, C. R., May, K. and Rosen, R.</w:t>
            </w:r>
          </w:p>
        </w:tc>
        <w:tc>
          <w:tcPr>
            <w:tcW w:w="577" w:type="pct"/>
            <w:shd w:val="clear" w:color="auto" w:fill="auto"/>
            <w:vAlign w:val="center"/>
            <w:hideMark/>
          </w:tcPr>
          <w:p w14:paraId="7F8C1776"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Clinical and Translational Science</w:t>
            </w:r>
          </w:p>
        </w:tc>
        <w:tc>
          <w:tcPr>
            <w:tcW w:w="801" w:type="pct"/>
            <w:shd w:val="clear" w:color="auto" w:fill="auto"/>
            <w:vAlign w:val="center"/>
            <w:hideMark/>
          </w:tcPr>
          <w:p w14:paraId="3C6D0F8A"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http://dx.doi.org/10.1111/cts.13064</w:t>
            </w:r>
          </w:p>
        </w:tc>
      </w:tr>
      <w:tr w:rsidR="008F7B90" w:rsidRPr="006721CC" w14:paraId="374F9CDB" w14:textId="77777777" w:rsidTr="00756179">
        <w:trPr>
          <w:trHeight w:val="20"/>
        </w:trPr>
        <w:tc>
          <w:tcPr>
            <w:tcW w:w="1890" w:type="pct"/>
            <w:shd w:val="clear" w:color="auto" w:fill="auto"/>
            <w:vAlign w:val="center"/>
            <w:hideMark/>
          </w:tcPr>
          <w:p w14:paraId="33842F55" w14:textId="1823CE99"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In vitro modelling of barrier impairment associated with gastro-oesophageal reflux disease (Gerd)</w:t>
            </w:r>
          </w:p>
        </w:tc>
        <w:tc>
          <w:tcPr>
            <w:tcW w:w="321" w:type="pct"/>
            <w:shd w:val="clear" w:color="auto" w:fill="auto"/>
            <w:vAlign w:val="center"/>
            <w:hideMark/>
          </w:tcPr>
          <w:p w14:paraId="711893D6"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2021</w:t>
            </w:r>
          </w:p>
        </w:tc>
        <w:tc>
          <w:tcPr>
            <w:tcW w:w="1411" w:type="pct"/>
            <w:shd w:val="clear" w:color="auto" w:fill="auto"/>
            <w:vAlign w:val="center"/>
            <w:hideMark/>
          </w:tcPr>
          <w:p w14:paraId="56EC6F47"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Meloni, M., Buratti, P., Carriero, F. and Ceriotti, L.</w:t>
            </w:r>
          </w:p>
        </w:tc>
        <w:tc>
          <w:tcPr>
            <w:tcW w:w="577" w:type="pct"/>
            <w:shd w:val="clear" w:color="auto" w:fill="auto"/>
            <w:vAlign w:val="center"/>
            <w:hideMark/>
          </w:tcPr>
          <w:p w14:paraId="4775DE6B"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Clinical and Experimental Gastroenterology</w:t>
            </w:r>
          </w:p>
        </w:tc>
        <w:tc>
          <w:tcPr>
            <w:tcW w:w="801" w:type="pct"/>
            <w:shd w:val="clear" w:color="auto" w:fill="auto"/>
            <w:vAlign w:val="center"/>
            <w:hideMark/>
          </w:tcPr>
          <w:p w14:paraId="0FE290BB"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http://dx.doi.org/10.2147/CEG.S325346</w:t>
            </w:r>
          </w:p>
        </w:tc>
      </w:tr>
      <w:tr w:rsidR="008F7B90" w:rsidRPr="006721CC" w14:paraId="59C6D3FF" w14:textId="77777777" w:rsidTr="00756179">
        <w:trPr>
          <w:trHeight w:val="20"/>
        </w:trPr>
        <w:tc>
          <w:tcPr>
            <w:tcW w:w="1890" w:type="pct"/>
            <w:shd w:val="clear" w:color="auto" w:fill="auto"/>
            <w:vAlign w:val="center"/>
            <w:hideMark/>
          </w:tcPr>
          <w:p w14:paraId="044140C6" w14:textId="5707E163"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Association between Gastroesophageal Reflux Disease and Elastographic Parameters of Liver Steatosis and Fibrosis: Controlled Attenuation Parameter and Liver Stiffness Measurements</w:t>
            </w:r>
          </w:p>
        </w:tc>
        <w:tc>
          <w:tcPr>
            <w:tcW w:w="321" w:type="pct"/>
            <w:shd w:val="clear" w:color="auto" w:fill="auto"/>
            <w:vAlign w:val="center"/>
            <w:hideMark/>
          </w:tcPr>
          <w:p w14:paraId="565E9CC8"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2021</w:t>
            </w:r>
          </w:p>
        </w:tc>
        <w:tc>
          <w:tcPr>
            <w:tcW w:w="1411" w:type="pct"/>
            <w:shd w:val="clear" w:color="auto" w:fill="auto"/>
            <w:vAlign w:val="center"/>
            <w:hideMark/>
          </w:tcPr>
          <w:p w14:paraId="06B18EFC"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Mikolasevic, I., Poropat, G., Filipec Kanizaj, T., Skenderevic, N., Zelic, M., Matasin, M., Vranic, L., Kresovic, A. and Hauser, G.</w:t>
            </w:r>
          </w:p>
        </w:tc>
        <w:tc>
          <w:tcPr>
            <w:tcW w:w="577" w:type="pct"/>
            <w:shd w:val="clear" w:color="auto" w:fill="auto"/>
            <w:vAlign w:val="center"/>
            <w:hideMark/>
          </w:tcPr>
          <w:p w14:paraId="64C7035B"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Canadian Journal of Gastroenterology and Hepatology</w:t>
            </w:r>
          </w:p>
        </w:tc>
        <w:tc>
          <w:tcPr>
            <w:tcW w:w="801" w:type="pct"/>
            <w:shd w:val="clear" w:color="auto" w:fill="auto"/>
            <w:vAlign w:val="center"/>
            <w:hideMark/>
          </w:tcPr>
          <w:p w14:paraId="41D8A189"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http://dx.doi.org/10.1155/2021/6670065</w:t>
            </w:r>
          </w:p>
        </w:tc>
      </w:tr>
      <w:tr w:rsidR="008F7B90" w:rsidRPr="006721CC" w14:paraId="0CF53557" w14:textId="77777777" w:rsidTr="00756179">
        <w:trPr>
          <w:trHeight w:val="20"/>
        </w:trPr>
        <w:tc>
          <w:tcPr>
            <w:tcW w:w="1890" w:type="pct"/>
            <w:shd w:val="clear" w:color="auto" w:fill="auto"/>
            <w:vAlign w:val="center"/>
            <w:hideMark/>
          </w:tcPr>
          <w:p w14:paraId="3BBFB4A1" w14:textId="15EB47BA"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Objective evidence of gastro-esophageal reflux disease is rare in patients with autoimmune gastritis</w:t>
            </w:r>
          </w:p>
        </w:tc>
        <w:tc>
          <w:tcPr>
            <w:tcW w:w="321" w:type="pct"/>
            <w:shd w:val="clear" w:color="auto" w:fill="auto"/>
            <w:vAlign w:val="center"/>
            <w:hideMark/>
          </w:tcPr>
          <w:p w14:paraId="448159E8"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2021</w:t>
            </w:r>
          </w:p>
        </w:tc>
        <w:tc>
          <w:tcPr>
            <w:tcW w:w="1411" w:type="pct"/>
            <w:shd w:val="clear" w:color="auto" w:fill="auto"/>
            <w:vAlign w:val="center"/>
            <w:hideMark/>
          </w:tcPr>
          <w:p w14:paraId="3162F5D2"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Pilotto, V., Maddalo, G., Orlando, C., Fassan, M., Rugge, M., Farinati, F. and Savarino, E.</w:t>
            </w:r>
          </w:p>
        </w:tc>
        <w:tc>
          <w:tcPr>
            <w:tcW w:w="577" w:type="pct"/>
            <w:shd w:val="clear" w:color="auto" w:fill="auto"/>
            <w:vAlign w:val="center"/>
            <w:hideMark/>
          </w:tcPr>
          <w:p w14:paraId="3C7D3947"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Journal of Gastrointestinal and Liver Diseases</w:t>
            </w:r>
          </w:p>
        </w:tc>
        <w:tc>
          <w:tcPr>
            <w:tcW w:w="801" w:type="pct"/>
            <w:shd w:val="clear" w:color="auto" w:fill="auto"/>
            <w:vAlign w:val="center"/>
            <w:hideMark/>
          </w:tcPr>
          <w:p w14:paraId="2B0B3747"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http://dx.doi.org/10.15403/jgld-3033</w:t>
            </w:r>
          </w:p>
        </w:tc>
      </w:tr>
      <w:tr w:rsidR="008F7B90" w:rsidRPr="006721CC" w14:paraId="17FE3C70" w14:textId="77777777" w:rsidTr="00756179">
        <w:trPr>
          <w:trHeight w:val="20"/>
        </w:trPr>
        <w:tc>
          <w:tcPr>
            <w:tcW w:w="1890" w:type="pct"/>
            <w:shd w:val="clear" w:color="auto" w:fill="auto"/>
            <w:vAlign w:val="center"/>
            <w:hideMark/>
          </w:tcPr>
          <w:p w14:paraId="360BFBD6" w14:textId="60D7E320"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Comparative Cost Effectiveness of Reflux-Based and Reflux-Independent Strategies for Barrett's Esophagus Screening</w:t>
            </w:r>
          </w:p>
        </w:tc>
        <w:tc>
          <w:tcPr>
            <w:tcW w:w="321" w:type="pct"/>
            <w:shd w:val="clear" w:color="auto" w:fill="auto"/>
            <w:vAlign w:val="center"/>
            <w:hideMark/>
          </w:tcPr>
          <w:p w14:paraId="04C9012F"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2021</w:t>
            </w:r>
          </w:p>
        </w:tc>
        <w:tc>
          <w:tcPr>
            <w:tcW w:w="1411" w:type="pct"/>
            <w:shd w:val="clear" w:color="auto" w:fill="auto"/>
            <w:vAlign w:val="center"/>
            <w:hideMark/>
          </w:tcPr>
          <w:p w14:paraId="2E3F23A5"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Sami, S. S., Moriarty, J. P., Rosedahl, J. K., Borah, B. J., Katzka, D. A., Wang, K. K., Kisiel, J. B., Ragunath, K., Rubenstein, J. H. and Iyer, P. G.</w:t>
            </w:r>
          </w:p>
        </w:tc>
        <w:tc>
          <w:tcPr>
            <w:tcW w:w="577" w:type="pct"/>
            <w:shd w:val="clear" w:color="auto" w:fill="auto"/>
            <w:vAlign w:val="center"/>
            <w:hideMark/>
          </w:tcPr>
          <w:p w14:paraId="474733ED"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The American journal of gastroenterology</w:t>
            </w:r>
          </w:p>
        </w:tc>
        <w:tc>
          <w:tcPr>
            <w:tcW w:w="801" w:type="pct"/>
            <w:shd w:val="clear" w:color="auto" w:fill="auto"/>
            <w:vAlign w:val="center"/>
            <w:hideMark/>
          </w:tcPr>
          <w:p w14:paraId="119FF3C7"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https://dx.doi.org/10.14309/ajg.0000000000001336</w:t>
            </w:r>
          </w:p>
        </w:tc>
      </w:tr>
      <w:tr w:rsidR="008F7B90" w:rsidRPr="006721CC" w14:paraId="27668E47" w14:textId="77777777" w:rsidTr="00756179">
        <w:trPr>
          <w:trHeight w:val="20"/>
        </w:trPr>
        <w:tc>
          <w:tcPr>
            <w:tcW w:w="1890" w:type="pct"/>
            <w:shd w:val="clear" w:color="auto" w:fill="auto"/>
            <w:vAlign w:val="center"/>
            <w:hideMark/>
          </w:tcPr>
          <w:p w14:paraId="0F6159B4" w14:textId="597C8320"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Association of eosinophil-mediated inflammatory biomarkers with the presence of the Schatzki ring</w:t>
            </w:r>
          </w:p>
        </w:tc>
        <w:tc>
          <w:tcPr>
            <w:tcW w:w="321" w:type="pct"/>
            <w:shd w:val="clear" w:color="auto" w:fill="auto"/>
            <w:vAlign w:val="center"/>
            <w:hideMark/>
          </w:tcPr>
          <w:p w14:paraId="24BAFDAC"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2021</w:t>
            </w:r>
          </w:p>
        </w:tc>
        <w:tc>
          <w:tcPr>
            <w:tcW w:w="1411" w:type="pct"/>
            <w:shd w:val="clear" w:color="auto" w:fill="auto"/>
            <w:vAlign w:val="center"/>
            <w:hideMark/>
          </w:tcPr>
          <w:p w14:paraId="34A27A90"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Sarbinowska, J., Wiatrak, B. and Wasko-Czopnik, D.</w:t>
            </w:r>
          </w:p>
        </w:tc>
        <w:tc>
          <w:tcPr>
            <w:tcW w:w="577" w:type="pct"/>
            <w:shd w:val="clear" w:color="auto" w:fill="auto"/>
            <w:vAlign w:val="center"/>
            <w:hideMark/>
          </w:tcPr>
          <w:p w14:paraId="5844C04D"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Advances in Medical Sciences</w:t>
            </w:r>
          </w:p>
        </w:tc>
        <w:tc>
          <w:tcPr>
            <w:tcW w:w="801" w:type="pct"/>
            <w:shd w:val="clear" w:color="auto" w:fill="auto"/>
            <w:vAlign w:val="center"/>
            <w:hideMark/>
          </w:tcPr>
          <w:p w14:paraId="60922994"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http://dx.doi.org/10.1016/j.advms.2021.05.004</w:t>
            </w:r>
          </w:p>
        </w:tc>
      </w:tr>
      <w:tr w:rsidR="008F7B90" w:rsidRPr="006721CC" w14:paraId="2FDA4380" w14:textId="77777777" w:rsidTr="00756179">
        <w:trPr>
          <w:trHeight w:val="20"/>
        </w:trPr>
        <w:tc>
          <w:tcPr>
            <w:tcW w:w="1890" w:type="pct"/>
            <w:shd w:val="clear" w:color="auto" w:fill="auto"/>
            <w:vAlign w:val="center"/>
            <w:hideMark/>
          </w:tcPr>
          <w:p w14:paraId="246D02ED" w14:textId="7AD2FAA9"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Sex differences in severe asthma: Results from severe asthma network in Italy-SANI</w:t>
            </w:r>
          </w:p>
        </w:tc>
        <w:tc>
          <w:tcPr>
            <w:tcW w:w="321" w:type="pct"/>
            <w:shd w:val="clear" w:color="auto" w:fill="auto"/>
            <w:vAlign w:val="center"/>
            <w:hideMark/>
          </w:tcPr>
          <w:p w14:paraId="05160AC1"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2021</w:t>
            </w:r>
          </w:p>
        </w:tc>
        <w:tc>
          <w:tcPr>
            <w:tcW w:w="1411" w:type="pct"/>
            <w:shd w:val="clear" w:color="auto" w:fill="auto"/>
            <w:vAlign w:val="center"/>
            <w:hideMark/>
          </w:tcPr>
          <w:p w14:paraId="39A73A9F"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Senna, G., Latorre, M., Bugiani, M., Caminati, M., Heffler, E., Morrone, D., Paoletti, G., Parronchi, P., Puggioni, F., Blasi, F., Canonica, G. W. and Paggiaro, P.</w:t>
            </w:r>
          </w:p>
        </w:tc>
        <w:tc>
          <w:tcPr>
            <w:tcW w:w="577" w:type="pct"/>
            <w:shd w:val="clear" w:color="auto" w:fill="auto"/>
            <w:vAlign w:val="center"/>
            <w:hideMark/>
          </w:tcPr>
          <w:p w14:paraId="5F80BB8E"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Allergy, Asthma and Immunology Research</w:t>
            </w:r>
          </w:p>
        </w:tc>
        <w:tc>
          <w:tcPr>
            <w:tcW w:w="801" w:type="pct"/>
            <w:shd w:val="clear" w:color="auto" w:fill="auto"/>
            <w:vAlign w:val="center"/>
            <w:hideMark/>
          </w:tcPr>
          <w:p w14:paraId="68A80F99"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https://dx.doi.org/10.4168/AAIR.2021.13.2.219</w:t>
            </w:r>
          </w:p>
        </w:tc>
      </w:tr>
      <w:tr w:rsidR="008F7B90" w:rsidRPr="006721CC" w14:paraId="743B3B9D" w14:textId="77777777" w:rsidTr="00756179">
        <w:trPr>
          <w:trHeight w:val="20"/>
        </w:trPr>
        <w:tc>
          <w:tcPr>
            <w:tcW w:w="1890" w:type="pct"/>
            <w:shd w:val="clear" w:color="auto" w:fill="auto"/>
            <w:vAlign w:val="center"/>
            <w:hideMark/>
          </w:tcPr>
          <w:p w14:paraId="635C51A0" w14:textId="5D5895D5"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Systemic Sclerosis in Zimbabwe: Autoantibody Biomarkers, Clinical, and Laboratory Correlates</w:t>
            </w:r>
          </w:p>
        </w:tc>
        <w:tc>
          <w:tcPr>
            <w:tcW w:w="321" w:type="pct"/>
            <w:shd w:val="clear" w:color="auto" w:fill="auto"/>
            <w:vAlign w:val="center"/>
            <w:hideMark/>
          </w:tcPr>
          <w:p w14:paraId="67B455F1"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2021</w:t>
            </w:r>
          </w:p>
        </w:tc>
        <w:tc>
          <w:tcPr>
            <w:tcW w:w="1411" w:type="pct"/>
            <w:shd w:val="clear" w:color="auto" w:fill="auto"/>
            <w:vAlign w:val="center"/>
            <w:hideMark/>
          </w:tcPr>
          <w:p w14:paraId="0C51F132"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Sibanda, E. N., Dube, Y., Chakawa, M., Mduluza, T. and Mutapi, F.</w:t>
            </w:r>
          </w:p>
        </w:tc>
        <w:tc>
          <w:tcPr>
            <w:tcW w:w="577" w:type="pct"/>
            <w:shd w:val="clear" w:color="auto" w:fill="auto"/>
            <w:vAlign w:val="center"/>
            <w:hideMark/>
          </w:tcPr>
          <w:p w14:paraId="3E9EBB32"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Frontiers in Immunology</w:t>
            </w:r>
          </w:p>
        </w:tc>
        <w:tc>
          <w:tcPr>
            <w:tcW w:w="801" w:type="pct"/>
            <w:shd w:val="clear" w:color="auto" w:fill="auto"/>
            <w:vAlign w:val="center"/>
            <w:hideMark/>
          </w:tcPr>
          <w:p w14:paraId="6A803132"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https://dx.doi.org/10.3389/fimmu.2021.679531</w:t>
            </w:r>
          </w:p>
        </w:tc>
      </w:tr>
      <w:tr w:rsidR="008F7B90" w:rsidRPr="006721CC" w14:paraId="1D226278" w14:textId="77777777" w:rsidTr="00756179">
        <w:trPr>
          <w:trHeight w:val="20"/>
        </w:trPr>
        <w:tc>
          <w:tcPr>
            <w:tcW w:w="1890" w:type="pct"/>
            <w:shd w:val="clear" w:color="auto" w:fill="auto"/>
            <w:vAlign w:val="center"/>
            <w:hideMark/>
          </w:tcPr>
          <w:p w14:paraId="1F6ADD24" w14:textId="7CFF0EAC"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lastRenderedPageBreak/>
              <w:t>Prenatal Ultrasound Measurement of Fetal Stomach Size Is Predictive of Postnatal Development of GERD in Isolated Cleft Lip and/or Palate</w:t>
            </w:r>
          </w:p>
        </w:tc>
        <w:tc>
          <w:tcPr>
            <w:tcW w:w="321" w:type="pct"/>
            <w:shd w:val="clear" w:color="auto" w:fill="auto"/>
            <w:vAlign w:val="center"/>
            <w:hideMark/>
          </w:tcPr>
          <w:p w14:paraId="61B25F28"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2021</w:t>
            </w:r>
          </w:p>
        </w:tc>
        <w:tc>
          <w:tcPr>
            <w:tcW w:w="1411" w:type="pct"/>
            <w:shd w:val="clear" w:color="auto" w:fill="auto"/>
            <w:vAlign w:val="center"/>
            <w:hideMark/>
          </w:tcPr>
          <w:p w14:paraId="12F95A66"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Toscano, M., Burhans, K., Mack, L. M., Henderson, S., Koltz, P. F., Girotto, J. A. and Thornburg, L. L.</w:t>
            </w:r>
          </w:p>
        </w:tc>
        <w:tc>
          <w:tcPr>
            <w:tcW w:w="577" w:type="pct"/>
            <w:shd w:val="clear" w:color="auto" w:fill="auto"/>
            <w:vAlign w:val="center"/>
            <w:hideMark/>
          </w:tcPr>
          <w:p w14:paraId="030DBEDE"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Cleft Palate-Craniofacial Journal</w:t>
            </w:r>
          </w:p>
        </w:tc>
        <w:tc>
          <w:tcPr>
            <w:tcW w:w="801" w:type="pct"/>
            <w:shd w:val="clear" w:color="auto" w:fill="auto"/>
            <w:vAlign w:val="center"/>
            <w:hideMark/>
          </w:tcPr>
          <w:p w14:paraId="41600CE3"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http://dx.doi.org/10.1177/1055665620968717</w:t>
            </w:r>
          </w:p>
        </w:tc>
      </w:tr>
      <w:tr w:rsidR="008F7B90" w:rsidRPr="006721CC" w14:paraId="7BABF76D" w14:textId="77777777" w:rsidTr="00756179">
        <w:trPr>
          <w:trHeight w:val="20"/>
        </w:trPr>
        <w:tc>
          <w:tcPr>
            <w:tcW w:w="1890" w:type="pct"/>
            <w:shd w:val="clear" w:color="auto" w:fill="auto"/>
            <w:vAlign w:val="center"/>
            <w:hideMark/>
          </w:tcPr>
          <w:p w14:paraId="4B285EF3" w14:textId="1EBD2C4D"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Blood mRNA levels of T cells and IgE receptors are novel non-invasive biomarkers for eosinophilic esophagitis (EoE)</w:t>
            </w:r>
          </w:p>
        </w:tc>
        <w:tc>
          <w:tcPr>
            <w:tcW w:w="321" w:type="pct"/>
            <w:shd w:val="clear" w:color="auto" w:fill="auto"/>
            <w:vAlign w:val="center"/>
            <w:hideMark/>
          </w:tcPr>
          <w:p w14:paraId="66CF6372"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2021</w:t>
            </w:r>
          </w:p>
        </w:tc>
        <w:tc>
          <w:tcPr>
            <w:tcW w:w="1411" w:type="pct"/>
            <w:shd w:val="clear" w:color="auto" w:fill="auto"/>
            <w:vAlign w:val="center"/>
            <w:hideMark/>
          </w:tcPr>
          <w:p w14:paraId="3D26FE15"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Upparahalli Venkateshaiah, S., Rayapudi, M., Kandikattu, H. K., Yadavalli, C. S. and Mishra, A.</w:t>
            </w:r>
          </w:p>
        </w:tc>
        <w:tc>
          <w:tcPr>
            <w:tcW w:w="577" w:type="pct"/>
            <w:shd w:val="clear" w:color="auto" w:fill="auto"/>
            <w:vAlign w:val="center"/>
            <w:hideMark/>
          </w:tcPr>
          <w:p w14:paraId="1BEE3429"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Clinical Immunology</w:t>
            </w:r>
          </w:p>
        </w:tc>
        <w:tc>
          <w:tcPr>
            <w:tcW w:w="801" w:type="pct"/>
            <w:shd w:val="clear" w:color="auto" w:fill="auto"/>
            <w:vAlign w:val="center"/>
            <w:hideMark/>
          </w:tcPr>
          <w:p w14:paraId="1C53DC24"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http://dx.doi.org/10.1016/j.clim.2021.108752</w:t>
            </w:r>
          </w:p>
        </w:tc>
      </w:tr>
      <w:tr w:rsidR="008F7B90" w:rsidRPr="006721CC" w14:paraId="30E598C2" w14:textId="77777777" w:rsidTr="00756179">
        <w:trPr>
          <w:trHeight w:val="20"/>
        </w:trPr>
        <w:tc>
          <w:tcPr>
            <w:tcW w:w="1890" w:type="pct"/>
            <w:shd w:val="clear" w:color="auto" w:fill="auto"/>
            <w:vAlign w:val="center"/>
            <w:hideMark/>
          </w:tcPr>
          <w:p w14:paraId="0F4005B7" w14:textId="30E02A32"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A urine and serum metabolomics study of gastroesophageal reflux disease in TCM syndrome differentiation using UPLC-Q-TOF/MS</w:t>
            </w:r>
          </w:p>
        </w:tc>
        <w:tc>
          <w:tcPr>
            <w:tcW w:w="321" w:type="pct"/>
            <w:shd w:val="clear" w:color="auto" w:fill="auto"/>
            <w:vAlign w:val="center"/>
            <w:hideMark/>
          </w:tcPr>
          <w:p w14:paraId="2627ED5D"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2021</w:t>
            </w:r>
          </w:p>
        </w:tc>
        <w:tc>
          <w:tcPr>
            <w:tcW w:w="1411" w:type="pct"/>
            <w:shd w:val="clear" w:color="auto" w:fill="auto"/>
            <w:vAlign w:val="center"/>
            <w:hideMark/>
          </w:tcPr>
          <w:p w14:paraId="64C9BEE2"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Ye, X., Wang, X., Wang, Y., Sun, W., Chen, Y., Wang, D. and Li, Z.</w:t>
            </w:r>
          </w:p>
        </w:tc>
        <w:tc>
          <w:tcPr>
            <w:tcW w:w="577" w:type="pct"/>
            <w:shd w:val="clear" w:color="auto" w:fill="auto"/>
            <w:vAlign w:val="center"/>
            <w:hideMark/>
          </w:tcPr>
          <w:p w14:paraId="2AACC37D"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Journal of Pharmaceutical and Biomedical Analysis</w:t>
            </w:r>
          </w:p>
        </w:tc>
        <w:tc>
          <w:tcPr>
            <w:tcW w:w="801" w:type="pct"/>
            <w:shd w:val="clear" w:color="auto" w:fill="auto"/>
            <w:vAlign w:val="center"/>
            <w:hideMark/>
          </w:tcPr>
          <w:p w14:paraId="40D44EA7"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http://dx.doi.org/10.1016/j.jpba.2021.114369</w:t>
            </w:r>
          </w:p>
        </w:tc>
      </w:tr>
      <w:tr w:rsidR="008F7B90" w:rsidRPr="006721CC" w14:paraId="27C48493" w14:textId="77777777" w:rsidTr="00756179">
        <w:trPr>
          <w:trHeight w:val="20"/>
        </w:trPr>
        <w:tc>
          <w:tcPr>
            <w:tcW w:w="1890" w:type="pct"/>
            <w:shd w:val="clear" w:color="auto" w:fill="auto"/>
            <w:vAlign w:val="center"/>
            <w:hideMark/>
          </w:tcPr>
          <w:p w14:paraId="73222044" w14:textId="27427B0D"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JianpiQinghua granule reduced PPI dosage in patients with nonerosive reflux disease: A multicenter, randomized, double-blind, double-dummy, noninferiority study</w:t>
            </w:r>
          </w:p>
        </w:tc>
        <w:tc>
          <w:tcPr>
            <w:tcW w:w="321" w:type="pct"/>
            <w:shd w:val="clear" w:color="auto" w:fill="auto"/>
            <w:vAlign w:val="center"/>
            <w:hideMark/>
          </w:tcPr>
          <w:p w14:paraId="7F3CD014"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2021</w:t>
            </w:r>
          </w:p>
        </w:tc>
        <w:tc>
          <w:tcPr>
            <w:tcW w:w="1411" w:type="pct"/>
            <w:shd w:val="clear" w:color="auto" w:fill="auto"/>
            <w:vAlign w:val="center"/>
            <w:hideMark/>
          </w:tcPr>
          <w:p w14:paraId="5B078760"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Zhang, J., Che, H., Zhang, B., Zhang, C., Zhou, B., Ji, H., Xie, J., Shi, X., Li, X., Wang, F. and Tang, X.</w:t>
            </w:r>
          </w:p>
        </w:tc>
        <w:tc>
          <w:tcPr>
            <w:tcW w:w="577" w:type="pct"/>
            <w:shd w:val="clear" w:color="auto" w:fill="auto"/>
            <w:vAlign w:val="center"/>
            <w:hideMark/>
          </w:tcPr>
          <w:p w14:paraId="4AE14E4F"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Phytomedicine</w:t>
            </w:r>
          </w:p>
        </w:tc>
        <w:tc>
          <w:tcPr>
            <w:tcW w:w="801" w:type="pct"/>
            <w:shd w:val="clear" w:color="auto" w:fill="auto"/>
            <w:vAlign w:val="center"/>
            <w:hideMark/>
          </w:tcPr>
          <w:p w14:paraId="4085FDC6"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http://dx.doi.org/10.1016/j.phymed.2021.153584</w:t>
            </w:r>
          </w:p>
        </w:tc>
      </w:tr>
      <w:tr w:rsidR="008F7B90" w:rsidRPr="006721CC" w14:paraId="7EF0091E" w14:textId="77777777" w:rsidTr="00756179">
        <w:trPr>
          <w:trHeight w:val="20"/>
        </w:trPr>
        <w:tc>
          <w:tcPr>
            <w:tcW w:w="1890" w:type="pct"/>
            <w:shd w:val="clear" w:color="auto" w:fill="auto"/>
            <w:vAlign w:val="center"/>
            <w:hideMark/>
          </w:tcPr>
          <w:p w14:paraId="391EBD31" w14:textId="4D1448C5"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Identification of unique transcriptomic signatures and hub genes through rna sequencing and integrated wgcna and ppi network analysis in nonerosive reflux disease</w:t>
            </w:r>
          </w:p>
        </w:tc>
        <w:tc>
          <w:tcPr>
            <w:tcW w:w="321" w:type="pct"/>
            <w:shd w:val="clear" w:color="auto" w:fill="auto"/>
            <w:vAlign w:val="center"/>
            <w:hideMark/>
          </w:tcPr>
          <w:p w14:paraId="6B4CC6B5" w14:textId="77777777" w:rsidR="008F7B90" w:rsidRPr="008F7B90" w:rsidRDefault="008F7B90" w:rsidP="00F94781">
            <w:pPr>
              <w:jc w:val="center"/>
              <w:rPr>
                <w:rFonts w:ascii="Arial" w:hAnsi="Arial" w:cs="Arial"/>
                <w:color w:val="000000"/>
                <w:sz w:val="16"/>
                <w:szCs w:val="16"/>
              </w:rPr>
            </w:pPr>
            <w:r w:rsidRPr="008F7B90">
              <w:rPr>
                <w:rFonts w:ascii="Arial" w:hAnsi="Arial" w:cs="Arial"/>
                <w:color w:val="000000"/>
                <w:sz w:val="16"/>
                <w:szCs w:val="16"/>
              </w:rPr>
              <w:t>2021</w:t>
            </w:r>
          </w:p>
        </w:tc>
        <w:tc>
          <w:tcPr>
            <w:tcW w:w="1411" w:type="pct"/>
            <w:shd w:val="clear" w:color="auto" w:fill="auto"/>
            <w:vAlign w:val="center"/>
            <w:hideMark/>
          </w:tcPr>
          <w:p w14:paraId="7B6FF9A6"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Zhao, Y., Ma, T. and Zou, D.</w:t>
            </w:r>
          </w:p>
        </w:tc>
        <w:tc>
          <w:tcPr>
            <w:tcW w:w="577" w:type="pct"/>
            <w:shd w:val="clear" w:color="auto" w:fill="auto"/>
            <w:vAlign w:val="center"/>
            <w:hideMark/>
          </w:tcPr>
          <w:p w14:paraId="11C944BA" w14:textId="77777777" w:rsidR="008F7B90" w:rsidRPr="008F7B90" w:rsidRDefault="008F7B90" w:rsidP="00756179">
            <w:pPr>
              <w:spacing w:line="220" w:lineRule="exact"/>
              <w:rPr>
                <w:rFonts w:ascii="Arial" w:hAnsi="Arial" w:cs="Arial"/>
                <w:color w:val="000000"/>
                <w:sz w:val="16"/>
                <w:szCs w:val="16"/>
              </w:rPr>
            </w:pPr>
            <w:r w:rsidRPr="008F7B90">
              <w:rPr>
                <w:rFonts w:ascii="Arial" w:hAnsi="Arial" w:cs="Arial"/>
                <w:color w:val="000000"/>
                <w:sz w:val="16"/>
                <w:szCs w:val="16"/>
              </w:rPr>
              <w:t>Journal of Inflammation Research</w:t>
            </w:r>
          </w:p>
        </w:tc>
        <w:tc>
          <w:tcPr>
            <w:tcW w:w="801" w:type="pct"/>
            <w:shd w:val="clear" w:color="auto" w:fill="auto"/>
            <w:vAlign w:val="center"/>
            <w:hideMark/>
          </w:tcPr>
          <w:p w14:paraId="715E4AF1" w14:textId="77777777" w:rsidR="008F7B90" w:rsidRPr="008F7B90" w:rsidRDefault="008F7B90" w:rsidP="00756179">
            <w:pPr>
              <w:spacing w:line="220" w:lineRule="exact"/>
              <w:rPr>
                <w:rFonts w:ascii="Arial" w:hAnsi="Arial" w:cs="Arial"/>
                <w:color w:val="0563C1"/>
                <w:sz w:val="16"/>
                <w:szCs w:val="16"/>
                <w:u w:val="single"/>
              </w:rPr>
            </w:pPr>
            <w:r w:rsidRPr="008F7B90">
              <w:rPr>
                <w:rFonts w:ascii="Arial" w:hAnsi="Arial" w:cs="Arial"/>
                <w:color w:val="0563C1"/>
                <w:sz w:val="16"/>
                <w:szCs w:val="16"/>
                <w:u w:val="single"/>
              </w:rPr>
              <w:t>http://dx.doi.org/10.2147/JIR.S340452</w:t>
            </w:r>
          </w:p>
        </w:tc>
      </w:tr>
      <w:tr w:rsidR="008F7B90" w:rsidRPr="006721CC" w14:paraId="27A2ED9F" w14:textId="77777777" w:rsidTr="00756179">
        <w:trPr>
          <w:trHeight w:val="20"/>
        </w:trPr>
        <w:tc>
          <w:tcPr>
            <w:tcW w:w="5000" w:type="pct"/>
            <w:gridSpan w:val="5"/>
            <w:shd w:val="clear" w:color="auto" w:fill="FFC000"/>
            <w:vAlign w:val="center"/>
            <w:hideMark/>
          </w:tcPr>
          <w:p w14:paraId="59C810F8" w14:textId="2DFC1DCD" w:rsidR="008F7B90" w:rsidRPr="008F7B90" w:rsidRDefault="0071057A" w:rsidP="00756179">
            <w:pPr>
              <w:jc w:val="right"/>
              <w:rPr>
                <w:rFonts w:ascii="Arial" w:hAnsi="Arial" w:cs="Arial"/>
                <w:b/>
                <w:bCs/>
              </w:rPr>
            </w:pPr>
            <w:r>
              <w:rPr>
                <w:rFonts w:ascii="Arial" w:hAnsi="Arial" w:cs="Arial"/>
                <w:b/>
                <w:bCs/>
              </w:rPr>
              <w:t>Total Filtered: 149</w:t>
            </w:r>
            <w:bookmarkStart w:id="1" w:name="_GoBack"/>
            <w:bookmarkEnd w:id="1"/>
          </w:p>
        </w:tc>
      </w:tr>
    </w:tbl>
    <w:p w14:paraId="0F316B88" w14:textId="6981A398" w:rsidR="00755DA8" w:rsidRDefault="00755DA8" w:rsidP="000D7A53">
      <w:pPr>
        <w:rPr>
          <w:rFonts w:ascii="Arial" w:hAnsi="Arial" w:cs="Arial"/>
        </w:rPr>
      </w:pPr>
    </w:p>
    <w:sectPr w:rsidR="00755DA8" w:rsidSect="00F9478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2D2C3" w14:textId="77777777" w:rsidR="007D3CF2" w:rsidRDefault="007D3CF2" w:rsidP="000D7A53">
      <w:r>
        <w:separator/>
      </w:r>
    </w:p>
  </w:endnote>
  <w:endnote w:type="continuationSeparator" w:id="0">
    <w:p w14:paraId="48A2BCEA" w14:textId="77777777" w:rsidR="007D3CF2" w:rsidRDefault="007D3CF2" w:rsidP="000D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388B4" w14:textId="77777777" w:rsidR="007D3CF2" w:rsidRDefault="007D3CF2" w:rsidP="000D7A53">
      <w:r>
        <w:separator/>
      </w:r>
    </w:p>
  </w:footnote>
  <w:footnote w:type="continuationSeparator" w:id="0">
    <w:p w14:paraId="76EEB313" w14:textId="77777777" w:rsidR="007D3CF2" w:rsidRDefault="007D3CF2" w:rsidP="000D7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F24BF"/>
    <w:multiLevelType w:val="hybridMultilevel"/>
    <w:tmpl w:val="697644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CB57863"/>
    <w:multiLevelType w:val="hybridMultilevel"/>
    <w:tmpl w:val="697644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2A60B94"/>
    <w:multiLevelType w:val="hybridMultilevel"/>
    <w:tmpl w:val="DEB21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BA41CF"/>
    <w:multiLevelType w:val="hybridMultilevel"/>
    <w:tmpl w:val="C004D37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A53"/>
    <w:rsid w:val="00052876"/>
    <w:rsid w:val="00066787"/>
    <w:rsid w:val="000D7A53"/>
    <w:rsid w:val="000F4C72"/>
    <w:rsid w:val="00116EF2"/>
    <w:rsid w:val="001E395E"/>
    <w:rsid w:val="00262350"/>
    <w:rsid w:val="00262864"/>
    <w:rsid w:val="002B0C84"/>
    <w:rsid w:val="00324FFB"/>
    <w:rsid w:val="0045378E"/>
    <w:rsid w:val="006721CC"/>
    <w:rsid w:val="00677F19"/>
    <w:rsid w:val="006C29DC"/>
    <w:rsid w:val="0071057A"/>
    <w:rsid w:val="00755DA8"/>
    <w:rsid w:val="00756179"/>
    <w:rsid w:val="007D3CF2"/>
    <w:rsid w:val="00844DF9"/>
    <w:rsid w:val="008C5FD0"/>
    <w:rsid w:val="008E2354"/>
    <w:rsid w:val="008F7B90"/>
    <w:rsid w:val="00945FDC"/>
    <w:rsid w:val="009A413D"/>
    <w:rsid w:val="009C4B59"/>
    <w:rsid w:val="00A51C79"/>
    <w:rsid w:val="00A762E2"/>
    <w:rsid w:val="00AA5D2E"/>
    <w:rsid w:val="00AD4DE1"/>
    <w:rsid w:val="00C4396D"/>
    <w:rsid w:val="00D43E63"/>
    <w:rsid w:val="00D67D21"/>
    <w:rsid w:val="00E161EA"/>
    <w:rsid w:val="00E46157"/>
    <w:rsid w:val="00EA5E0C"/>
    <w:rsid w:val="00F9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B774B"/>
  <w15:chartTrackingRefBased/>
  <w15:docId w15:val="{735A2745-789D-BD4D-8DFC-10357A5B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A53"/>
    <w:pPr>
      <w:tabs>
        <w:tab w:val="center" w:pos="4680"/>
        <w:tab w:val="right" w:pos="9360"/>
      </w:tabs>
    </w:pPr>
  </w:style>
  <w:style w:type="character" w:customStyle="1" w:styleId="HeaderChar">
    <w:name w:val="Header Char"/>
    <w:basedOn w:val="DefaultParagraphFont"/>
    <w:link w:val="Header"/>
    <w:uiPriority w:val="99"/>
    <w:rsid w:val="000D7A53"/>
  </w:style>
  <w:style w:type="paragraph" w:styleId="Footer">
    <w:name w:val="footer"/>
    <w:basedOn w:val="Normal"/>
    <w:link w:val="FooterChar"/>
    <w:uiPriority w:val="99"/>
    <w:unhideWhenUsed/>
    <w:rsid w:val="000D7A53"/>
    <w:pPr>
      <w:tabs>
        <w:tab w:val="center" w:pos="4680"/>
        <w:tab w:val="right" w:pos="9360"/>
      </w:tabs>
    </w:pPr>
  </w:style>
  <w:style w:type="character" w:customStyle="1" w:styleId="FooterChar">
    <w:name w:val="Footer Char"/>
    <w:basedOn w:val="DefaultParagraphFont"/>
    <w:link w:val="Footer"/>
    <w:uiPriority w:val="99"/>
    <w:rsid w:val="000D7A53"/>
  </w:style>
  <w:style w:type="table" w:styleId="TableGrid">
    <w:name w:val="Table Grid"/>
    <w:basedOn w:val="TableNormal"/>
    <w:uiPriority w:val="39"/>
    <w:rsid w:val="00262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62350"/>
    <w:rPr>
      <w:color w:val="0563C1"/>
      <w:u w:val="single"/>
    </w:rPr>
  </w:style>
  <w:style w:type="character" w:styleId="FollowedHyperlink">
    <w:name w:val="FollowedHyperlink"/>
    <w:basedOn w:val="DefaultParagraphFont"/>
    <w:uiPriority w:val="99"/>
    <w:semiHidden/>
    <w:unhideWhenUsed/>
    <w:rsid w:val="00262350"/>
    <w:rPr>
      <w:color w:val="954F72"/>
      <w:u w:val="single"/>
    </w:rPr>
  </w:style>
  <w:style w:type="paragraph" w:customStyle="1" w:styleId="msonormal0">
    <w:name w:val="msonormal"/>
    <w:basedOn w:val="Normal"/>
    <w:rsid w:val="00262350"/>
    <w:pPr>
      <w:spacing w:before="100" w:beforeAutospacing="1" w:after="100" w:afterAutospacing="1"/>
    </w:pPr>
    <w:rPr>
      <w:rFonts w:ascii="Times New Roman" w:eastAsia="Times New Roman" w:hAnsi="Times New Roman" w:cs="Times New Roman"/>
    </w:rPr>
  </w:style>
  <w:style w:type="paragraph" w:customStyle="1" w:styleId="xl65">
    <w:name w:val="xl65"/>
    <w:basedOn w:val="Normal"/>
    <w:rsid w:val="00262350"/>
    <w:pPr>
      <w:spacing w:before="100" w:beforeAutospacing="1" w:after="100" w:afterAutospacing="1"/>
    </w:pPr>
    <w:rPr>
      <w:rFonts w:ascii="Times New Roman" w:eastAsia="Times New Roman" w:hAnsi="Times New Roman" w:cs="Times New Roman"/>
      <w:b/>
      <w:bCs/>
    </w:rPr>
  </w:style>
  <w:style w:type="paragraph" w:customStyle="1" w:styleId="xl66">
    <w:name w:val="xl66"/>
    <w:basedOn w:val="Normal"/>
    <w:rsid w:val="00262350"/>
    <w:pPr>
      <w:spacing w:before="100" w:beforeAutospacing="1" w:after="100" w:afterAutospacing="1"/>
    </w:pPr>
    <w:rPr>
      <w:rFonts w:ascii="Times New Roman" w:eastAsia="Times New Roman" w:hAnsi="Times New Roman" w:cs="Times New Roman"/>
      <w:color w:val="0563C1"/>
      <w:u w:val="single"/>
    </w:rPr>
  </w:style>
  <w:style w:type="paragraph" w:styleId="ListParagraph">
    <w:name w:val="List Paragraph"/>
    <w:basedOn w:val="Normal"/>
    <w:uiPriority w:val="34"/>
    <w:qFormat/>
    <w:rsid w:val="00677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07700">
      <w:bodyDiv w:val="1"/>
      <w:marLeft w:val="0"/>
      <w:marRight w:val="0"/>
      <w:marTop w:val="0"/>
      <w:marBottom w:val="0"/>
      <w:divBdr>
        <w:top w:val="none" w:sz="0" w:space="0" w:color="auto"/>
        <w:left w:val="none" w:sz="0" w:space="0" w:color="auto"/>
        <w:bottom w:val="none" w:sz="0" w:space="0" w:color="auto"/>
        <w:right w:val="none" w:sz="0" w:space="0" w:color="auto"/>
      </w:divBdr>
    </w:div>
    <w:div w:id="693962116">
      <w:bodyDiv w:val="1"/>
      <w:marLeft w:val="0"/>
      <w:marRight w:val="0"/>
      <w:marTop w:val="0"/>
      <w:marBottom w:val="0"/>
      <w:divBdr>
        <w:top w:val="none" w:sz="0" w:space="0" w:color="auto"/>
        <w:left w:val="none" w:sz="0" w:space="0" w:color="auto"/>
        <w:bottom w:val="none" w:sz="0" w:space="0" w:color="auto"/>
        <w:right w:val="none" w:sz="0" w:space="0" w:color="auto"/>
      </w:divBdr>
    </w:div>
    <w:div w:id="106818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CF2A6-E42E-4B58-B536-7D64CC07B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14</Pages>
  <Words>7097</Words>
  <Characters>40455</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 farooqi</dc:creator>
  <cp:keywords/>
  <dc:description/>
  <cp:lastModifiedBy>Podury, Sanjiti</cp:lastModifiedBy>
  <cp:revision>9</cp:revision>
  <dcterms:created xsi:type="dcterms:W3CDTF">2022-04-08T18:55:00Z</dcterms:created>
  <dcterms:modified xsi:type="dcterms:W3CDTF">2022-11-10T18:35:00Z</dcterms:modified>
</cp:coreProperties>
</file>