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10EC" w14:textId="26978069" w:rsidR="00E13DC2" w:rsidRDefault="656239CB" w:rsidP="56FA74A4">
      <w:pPr>
        <w:rPr>
          <w:rFonts w:ascii="Times New Roman" w:hAnsi="Times New Roman" w:cs="Times New Roman"/>
          <w:b/>
          <w:bCs/>
        </w:rPr>
      </w:pPr>
      <w:r w:rsidRPr="461BA086">
        <w:rPr>
          <w:rFonts w:ascii="Times New Roman" w:hAnsi="Times New Roman" w:cs="Times New Roman"/>
          <w:b/>
          <w:bCs/>
        </w:rPr>
        <w:t xml:space="preserve">S1 </w:t>
      </w:r>
      <w:r w:rsidR="00E13DC2" w:rsidRPr="461BA086">
        <w:rPr>
          <w:rFonts w:ascii="Times New Roman" w:hAnsi="Times New Roman" w:cs="Times New Roman"/>
          <w:b/>
          <w:bCs/>
        </w:rPr>
        <w:t xml:space="preserve">Appendix: </w:t>
      </w:r>
      <w:r w:rsidR="00C62530" w:rsidRPr="461BA086">
        <w:rPr>
          <w:rFonts w:ascii="Times New Roman" w:hAnsi="Times New Roman" w:cs="Times New Roman"/>
          <w:b/>
          <w:bCs/>
        </w:rPr>
        <w:t>Mathematical D</w:t>
      </w:r>
      <w:r w:rsidR="00E13DC2" w:rsidRPr="461BA086">
        <w:rPr>
          <w:rFonts w:ascii="Times New Roman" w:hAnsi="Times New Roman" w:cs="Times New Roman"/>
          <w:b/>
          <w:bCs/>
        </w:rPr>
        <w:t>etails</w:t>
      </w:r>
    </w:p>
    <w:p w14:paraId="778C2C5C" w14:textId="33847C21" w:rsidR="00E13DC2" w:rsidRPr="000453CF" w:rsidRDefault="00E13DC2" w:rsidP="461BA086">
      <w:pPr>
        <w:rPr>
          <w:rFonts w:ascii="Times New Roman" w:hAnsi="Times New Roman" w:cs="Times New Roman"/>
          <w:b/>
          <w:bCs/>
        </w:rPr>
      </w:pPr>
      <w:r w:rsidRPr="6231485F">
        <w:rPr>
          <w:rFonts w:ascii="Times New Roman" w:hAnsi="Times New Roman" w:cs="Times New Roman"/>
        </w:rPr>
        <w:t xml:space="preserve">The model equations and details shown below for the compartmental model </w:t>
      </w:r>
      <w:r w:rsidR="06E7E6DB" w:rsidRPr="6231485F">
        <w:rPr>
          <w:rFonts w:ascii="Times New Roman" w:hAnsi="Times New Roman" w:cs="Times New Roman"/>
        </w:rPr>
        <w:t>were</w:t>
      </w:r>
      <w:r w:rsidRPr="6231485F">
        <w:rPr>
          <w:rFonts w:ascii="Times New Roman" w:hAnsi="Times New Roman" w:cs="Times New Roman"/>
        </w:rPr>
        <w:t xml:space="preserve"> modified from a previous model </w:t>
      </w:r>
      <w:r w:rsidRPr="6231485F">
        <w:rPr>
          <w:rFonts w:ascii="Times New Roman" w:hAnsi="Times New Roman" w:cs="Times New Roman"/>
        </w:rPr>
        <w:fldChar w:fldCharType="begin" w:fldLock="1"/>
      </w:r>
      <w:r w:rsidRPr="6231485F">
        <w:rPr>
          <w:rFonts w:ascii="Times New Roman" w:hAnsi="Times New Roman" w:cs="Times New Roman"/>
        </w:rPr>
        <w:instrText>ADDIN CSL_CITATION {"citationItems":[{"id":"ITEM-1","itemData":{"DOI":"10.4269/ajtmh.2012.11-0342","ISBN":"1476-1645 (Electronic) 0002-9637 (Linking)","PMID":"22556092","abstract":"Temperature has played a critical role in the spatiotemporal dynamics of West Nile virus transmission throughout California from its introduction in 2003 through establishment by 2009. We compared two novel mechanistic measures of transmission risk, the temperature-dependent ratio of virus extrinsic incubation period to the mosquito gonotrophic period (BT), and the fundamental reproductive ratio (R(0)) based on a mathematical model, to analyze spatiotemporal patterns of receptivity to viral amplification. Maps of BT and R(0) were created at 20-km scale and compared throughout California to seroconversions in sentinel chicken flocks at half-month intervals. Overall, estimates of BT and R(0) agreed with intensity of transmission measured by the frequency of sentinel chicken seroconversions. Mechanistic measures such as these are important for understanding how temperature affects the spatiotemporal dynamics of West Nile virus transmission and for delineating risk estimates useful to inform vector control agency intervention decisions and communicate outbreak potential.","author":[{"dropping-particle":"","family":"Hartley","given":"D M","non-dropping-particle":"","parse-names":false,"suffix":""},{"dropping-particle":"","family":"Barker","given":"C M","non-dropping-particle":"","parse-names":false,"suffix":""},{"dropping-particle":"","family":"Menach","given":"A","non-dropping-particle":"Le","parse-names":false,"suffix":""},{"dropping-particle":"","family":"Niu","given":"T","non-dropping-particle":"","parse-names":false,"suffix":""},{"dropping-particle":"","family":"Gaff","given":"H D","non-dropping-particle":"","parse-names":false,"suffix":""},{"dropping-particle":"","family":"Reisen","given":"W K","non-dropping-particle":"","parse-names":false,"suffix":""}],"container-title":"American Journal of Tropical Medicine and Hygiene","edition":"2012/05/05","id":"ITEM-1","issue":"5","issued":{"date-parts":[["2012"]]},"note":"Hartley, David M\nBarker, Christopher M\nLe Menach, Arnaud\nNiu, Tianchan\nGaff, Holly D\nReisen, William K\neng\nR01 AI055607/AI/NIAID NIH HHS/\nU01 EH000418/EH/NCEH CDC HHS/\nR01 AI55607/AI/NIAID NIH HHS/\nU01EH000418/EH/NCEH CDC HHS/\nComparative Study\nResearch Support, N.I.H., Extramural\nResearch Support, U.S. Gov't, Non-P.H.S.\nResearch Support, U.S. Gov't, P.H.S.\nAm J Trop Med Hyg. 2012 May;86(5):884-94. doi: 10.4269/ajtmh.2012.11-0342.","page":"884-894","title":"Effects of temperature on emergence and seasonality of West Nile virus in California","type":"article-journal","volume":"86"},"uris":["http://www.mendeley.com/documents/?uuid=e8fc20d5-4cb1-449f-b455-de8d9fad1a7d"]}],"mendeley":{"formattedCitation":"[1]","plainTextFormattedCitation":"[1]","previouslyFormattedCitation":"[1]"},"properties":{"noteIndex":0},"schema":"https://github.com/citation-style-language/schema/raw/master/csl-citation.json"}</w:instrText>
      </w:r>
      <w:r w:rsidRPr="6231485F">
        <w:rPr>
          <w:rFonts w:ascii="Times New Roman" w:hAnsi="Times New Roman" w:cs="Times New Roman"/>
        </w:rPr>
        <w:fldChar w:fldCharType="separate"/>
      </w:r>
      <w:r w:rsidRPr="6231485F">
        <w:rPr>
          <w:rFonts w:ascii="Times New Roman" w:hAnsi="Times New Roman" w:cs="Times New Roman"/>
          <w:noProof/>
        </w:rPr>
        <w:t>[1]</w:t>
      </w:r>
      <w:r w:rsidRPr="6231485F">
        <w:rPr>
          <w:rFonts w:ascii="Times New Roman" w:hAnsi="Times New Roman" w:cs="Times New Roman"/>
        </w:rPr>
        <w:fldChar w:fldCharType="end"/>
      </w:r>
      <w:r w:rsidRPr="6231485F">
        <w:rPr>
          <w:rFonts w:ascii="Times New Roman" w:hAnsi="Times New Roman" w:cs="Times New Roman"/>
        </w:rPr>
        <w:t xml:space="preserve"> which was developed to assess the impact of temperature on the emergence and seasonality of West Nile virus in California. Symbols and values are summarized in Tables</w:t>
      </w:r>
      <w:r w:rsidR="52597E0D" w:rsidRPr="6231485F">
        <w:rPr>
          <w:rFonts w:ascii="Times New Roman" w:hAnsi="Times New Roman" w:cs="Times New Roman"/>
        </w:rPr>
        <w:t xml:space="preserve"> A</w:t>
      </w:r>
      <w:r w:rsidR="327CC6AB" w:rsidRPr="6231485F">
        <w:rPr>
          <w:rFonts w:ascii="Times New Roman" w:hAnsi="Times New Roman" w:cs="Times New Roman"/>
        </w:rPr>
        <w:t xml:space="preserve"> &amp; </w:t>
      </w:r>
      <w:r w:rsidR="52597E0D" w:rsidRPr="6231485F">
        <w:rPr>
          <w:rFonts w:ascii="Times New Roman" w:hAnsi="Times New Roman" w:cs="Times New Roman"/>
        </w:rPr>
        <w:t>B</w:t>
      </w:r>
      <w:r w:rsidRPr="6231485F">
        <w:rPr>
          <w:rFonts w:ascii="Times New Roman" w:hAnsi="Times New Roman" w:cs="Times New Roman"/>
        </w:rPr>
        <w:t>.</w:t>
      </w:r>
      <w:r w:rsidR="000453CF" w:rsidRPr="6231485F">
        <w:rPr>
          <w:rFonts w:ascii="Times New Roman" w:hAnsi="Times New Roman" w:cs="Times New Roman"/>
        </w:rPr>
        <w:t xml:space="preserve"> Sensitivity analysis </w:t>
      </w:r>
      <w:r w:rsidR="0025501C">
        <w:rPr>
          <w:rFonts w:ascii="Times New Roman" w:hAnsi="Times New Roman" w:cs="Times New Roman"/>
        </w:rPr>
        <w:t>results are</w:t>
      </w:r>
      <w:r w:rsidR="000453CF" w:rsidRPr="6231485F">
        <w:rPr>
          <w:rFonts w:ascii="Times New Roman" w:hAnsi="Times New Roman" w:cs="Times New Roman"/>
        </w:rPr>
        <w:t xml:space="preserve"> in Table</w:t>
      </w:r>
      <w:r w:rsidR="1C45EBA6" w:rsidRPr="6231485F">
        <w:rPr>
          <w:rFonts w:ascii="Times New Roman" w:hAnsi="Times New Roman" w:cs="Times New Roman"/>
        </w:rPr>
        <w:t xml:space="preserve"> C</w:t>
      </w:r>
      <w:r w:rsidR="000453CF" w:rsidRPr="6231485F">
        <w:rPr>
          <w:rFonts w:ascii="Times New Roman" w:hAnsi="Times New Roman" w:cs="Times New Roman"/>
        </w:rPr>
        <w:t>.</w:t>
      </w:r>
    </w:p>
    <w:p w14:paraId="5951BF5B" w14:textId="52B9150F" w:rsidR="00F258BB" w:rsidRDefault="001B1CF4" w:rsidP="00E13DC2">
      <w:pPr>
        <w:rPr>
          <w:rFonts w:ascii="Times New Roman" w:hAnsi="Times New Roman" w:cs="Times New Roman"/>
        </w:rPr>
      </w:pPr>
      <w:r w:rsidRPr="6231485F">
        <w:rPr>
          <w:rFonts w:ascii="Times New Roman" w:hAnsi="Times New Roman" w:cs="Times New Roman"/>
        </w:rPr>
        <w:t xml:space="preserve">We used a </w:t>
      </w:r>
      <w:r w:rsidR="0096574E" w:rsidRPr="6231485F">
        <w:rPr>
          <w:rFonts w:ascii="Times New Roman" w:hAnsi="Times New Roman" w:cs="Times New Roman"/>
        </w:rPr>
        <w:t xml:space="preserve">spatially implicit </w:t>
      </w:r>
      <w:r w:rsidRPr="6231485F">
        <w:rPr>
          <w:rFonts w:ascii="Times New Roman" w:hAnsi="Times New Roman" w:cs="Times New Roman"/>
        </w:rPr>
        <w:t>semi-discrete model structure</w:t>
      </w:r>
      <w:r w:rsidR="00D17AA6" w:rsidRPr="6231485F">
        <w:rPr>
          <w:rFonts w:ascii="Times New Roman" w:hAnsi="Times New Roman" w:cs="Times New Roman"/>
        </w:rPr>
        <w:t xml:space="preserve"> </w:t>
      </w:r>
      <w:r w:rsidR="008D7814" w:rsidRPr="6231485F">
        <w:rPr>
          <w:rFonts w:ascii="Times New Roman" w:hAnsi="Times New Roman" w:cs="Times New Roman"/>
        </w:rPr>
        <w:t>with two</w:t>
      </w:r>
      <w:r w:rsidR="0096574E" w:rsidRPr="6231485F">
        <w:rPr>
          <w:rFonts w:ascii="Times New Roman" w:hAnsi="Times New Roman" w:cs="Times New Roman"/>
        </w:rPr>
        <w:t xml:space="preserve"> patches</w:t>
      </w:r>
      <w:r w:rsidR="00BD33D3" w:rsidRPr="6231485F">
        <w:rPr>
          <w:rFonts w:ascii="Times New Roman" w:hAnsi="Times New Roman" w:cs="Times New Roman"/>
        </w:rPr>
        <w:t xml:space="preserve"> for our modeling framework</w:t>
      </w:r>
      <w:r w:rsidR="0096574E" w:rsidRPr="6231485F">
        <w:rPr>
          <w:rFonts w:ascii="Times New Roman" w:hAnsi="Times New Roman" w:cs="Times New Roman"/>
        </w:rPr>
        <w:t>. W</w:t>
      </w:r>
      <w:r w:rsidR="00D12821" w:rsidRPr="6231485F">
        <w:rPr>
          <w:rFonts w:ascii="Times New Roman" w:hAnsi="Times New Roman" w:cs="Times New Roman"/>
        </w:rPr>
        <w:t xml:space="preserve">e </w:t>
      </w:r>
      <w:r w:rsidR="00C27ABA" w:rsidRPr="6231485F">
        <w:rPr>
          <w:rFonts w:ascii="Times New Roman" w:hAnsi="Times New Roman" w:cs="Times New Roman"/>
        </w:rPr>
        <w:t xml:space="preserve">simulated the continuous-time compartment model of population growth and infection dynamics over a </w:t>
      </w:r>
      <w:r w:rsidR="00C802AB" w:rsidRPr="6231485F">
        <w:rPr>
          <w:rFonts w:ascii="Times New Roman" w:hAnsi="Times New Roman" w:cs="Times New Roman"/>
        </w:rPr>
        <w:t>one</w:t>
      </w:r>
      <w:r w:rsidR="00C27ABA" w:rsidRPr="6231485F">
        <w:rPr>
          <w:rFonts w:ascii="Times New Roman" w:hAnsi="Times New Roman" w:cs="Times New Roman"/>
        </w:rPr>
        <w:t xml:space="preserve">-day time step, </w:t>
      </w:r>
      <w:r w:rsidR="00C802AB" w:rsidRPr="6231485F">
        <w:rPr>
          <w:rFonts w:ascii="Times New Roman" w:hAnsi="Times New Roman" w:cs="Times New Roman"/>
        </w:rPr>
        <w:t xml:space="preserve">and </w:t>
      </w:r>
      <w:r w:rsidR="00C27ABA" w:rsidRPr="6231485F">
        <w:rPr>
          <w:rFonts w:ascii="Times New Roman" w:hAnsi="Times New Roman" w:cs="Times New Roman"/>
        </w:rPr>
        <w:t>then implement</w:t>
      </w:r>
      <w:r w:rsidR="00C802AB" w:rsidRPr="6231485F">
        <w:rPr>
          <w:rFonts w:ascii="Times New Roman" w:hAnsi="Times New Roman" w:cs="Times New Roman"/>
        </w:rPr>
        <w:t>ed</w:t>
      </w:r>
      <w:r w:rsidR="00C27ABA" w:rsidRPr="6231485F">
        <w:rPr>
          <w:rFonts w:ascii="Times New Roman" w:hAnsi="Times New Roman" w:cs="Times New Roman"/>
        </w:rPr>
        <w:t xml:space="preserve"> a discrete dispersal event for all mosquitoes and birds</w:t>
      </w:r>
      <w:r w:rsidR="00C802AB" w:rsidRPr="6231485F">
        <w:rPr>
          <w:rFonts w:ascii="Times New Roman" w:hAnsi="Times New Roman" w:cs="Times New Roman"/>
        </w:rPr>
        <w:t xml:space="preserve"> each night</w:t>
      </w:r>
      <w:r w:rsidR="00C27ABA" w:rsidRPr="6231485F">
        <w:rPr>
          <w:rFonts w:ascii="Times New Roman" w:hAnsi="Times New Roman" w:cs="Times New Roman"/>
        </w:rPr>
        <w:t xml:space="preserve">. </w:t>
      </w:r>
      <w:r w:rsidR="00322E82" w:rsidRPr="6231485F">
        <w:rPr>
          <w:rFonts w:ascii="Times New Roman" w:hAnsi="Times New Roman" w:cs="Times New Roman"/>
        </w:rPr>
        <w:t>In each patch</w:t>
      </w:r>
      <w:r w:rsidR="00790D4C" w:rsidRPr="6231485F">
        <w:rPr>
          <w:rFonts w:ascii="Times New Roman" w:hAnsi="Times New Roman" w:cs="Times New Roman"/>
        </w:rPr>
        <w:t xml:space="preserve"> (ivermectin-treated and untreated)</w:t>
      </w:r>
      <w:r w:rsidR="00322E82" w:rsidRPr="6231485F">
        <w:rPr>
          <w:rFonts w:ascii="Times New Roman" w:hAnsi="Times New Roman" w:cs="Times New Roman"/>
        </w:rPr>
        <w:t>, our model consist</w:t>
      </w:r>
      <w:r w:rsidR="75FAB4B8" w:rsidRPr="6231485F">
        <w:rPr>
          <w:rFonts w:ascii="Times New Roman" w:hAnsi="Times New Roman" w:cs="Times New Roman"/>
        </w:rPr>
        <w:t>ed</w:t>
      </w:r>
      <w:r w:rsidR="00322E82" w:rsidRPr="6231485F">
        <w:rPr>
          <w:rFonts w:ascii="Times New Roman" w:hAnsi="Times New Roman" w:cs="Times New Roman"/>
        </w:rPr>
        <w:t xml:space="preserve"> of a mosquito vector species and two bird species, a WNV competent and a WNV incompetent species, which </w:t>
      </w:r>
      <w:r w:rsidR="6D8CCC43" w:rsidRPr="6231485F">
        <w:rPr>
          <w:rFonts w:ascii="Times New Roman" w:hAnsi="Times New Roman" w:cs="Times New Roman"/>
        </w:rPr>
        <w:t>were</w:t>
      </w:r>
      <w:r w:rsidR="00322E82" w:rsidRPr="6231485F">
        <w:rPr>
          <w:rFonts w:ascii="Times New Roman" w:hAnsi="Times New Roman" w:cs="Times New Roman"/>
        </w:rPr>
        <w:t xml:space="preserve"> either ivermectin-treated or untreated. </w:t>
      </w:r>
      <w:r w:rsidR="00E13DC2" w:rsidRPr="6231485F">
        <w:rPr>
          <w:rFonts w:ascii="Times New Roman" w:hAnsi="Times New Roman" w:cs="Times New Roman"/>
        </w:rPr>
        <w:t xml:space="preserve">The initial number of mosquitoes and both competencies of birds </w:t>
      </w:r>
      <w:r w:rsidR="0A9C3668" w:rsidRPr="6231485F">
        <w:rPr>
          <w:rFonts w:ascii="Times New Roman" w:hAnsi="Times New Roman" w:cs="Times New Roman"/>
        </w:rPr>
        <w:t>were</w:t>
      </w:r>
      <w:r w:rsidR="00E13DC2" w:rsidRPr="6231485F">
        <w:rPr>
          <w:rFonts w:ascii="Times New Roman" w:hAnsi="Times New Roman" w:cs="Times New Roman"/>
        </w:rPr>
        <w:t xml:space="preserve"> equally distributed across the neighborhood such that the initial number in each patch corresponds to the fraction of the neighborhood in the respective treatment status.</w:t>
      </w:r>
      <w:r w:rsidR="00C844AF" w:rsidRPr="6231485F">
        <w:rPr>
          <w:rFonts w:ascii="Times New Roman" w:hAnsi="Times New Roman" w:cs="Times New Roman"/>
        </w:rPr>
        <w:t xml:space="preserve"> </w:t>
      </w:r>
    </w:p>
    <w:p w14:paraId="32E5E5CC" w14:textId="32E2CD7F" w:rsidR="004D72EC" w:rsidRPr="009D781E" w:rsidRDefault="003823AE" w:rsidP="002362B7">
      <w:pPr>
        <w:spacing w:after="0"/>
        <w:rPr>
          <w:rFonts w:ascii="Times New Roman" w:hAnsi="Times New Roman" w:cs="Times New Roman"/>
          <w:u w:val="single"/>
        </w:rPr>
      </w:pPr>
      <w:r>
        <w:rPr>
          <w:rFonts w:ascii="Times New Roman" w:hAnsi="Times New Roman" w:cs="Times New Roman"/>
          <w:u w:val="single"/>
        </w:rPr>
        <w:t xml:space="preserve">SEIR </w:t>
      </w:r>
      <w:r w:rsidR="00D31820">
        <w:rPr>
          <w:rFonts w:ascii="Times New Roman" w:hAnsi="Times New Roman" w:cs="Times New Roman"/>
          <w:u w:val="single"/>
        </w:rPr>
        <w:t>Compartment Model</w:t>
      </w:r>
    </w:p>
    <w:p w14:paraId="578EC4B9" w14:textId="43A52E16" w:rsidR="00E13DC2" w:rsidRPr="003C32B6" w:rsidRDefault="00C844AF" w:rsidP="00E13DC2">
      <w:pPr>
        <w:rPr>
          <w:rFonts w:ascii="Times New Roman" w:hAnsi="Times New Roman" w:cs="Times New Roman"/>
        </w:rPr>
      </w:pPr>
      <w:r w:rsidRPr="6231485F">
        <w:rPr>
          <w:rFonts w:ascii="Times New Roman" w:hAnsi="Times New Roman" w:cs="Times New Roman"/>
        </w:rPr>
        <w:t xml:space="preserve">Each </w:t>
      </w:r>
      <w:r w:rsidR="00F258BB" w:rsidRPr="6231485F">
        <w:rPr>
          <w:rFonts w:ascii="Times New Roman" w:hAnsi="Times New Roman" w:cs="Times New Roman"/>
        </w:rPr>
        <w:t>group</w:t>
      </w:r>
      <w:r w:rsidR="003D751E" w:rsidRPr="6231485F">
        <w:rPr>
          <w:rFonts w:ascii="Times New Roman" w:hAnsi="Times New Roman" w:cs="Times New Roman"/>
        </w:rPr>
        <w:t xml:space="preserve"> </w:t>
      </w:r>
      <w:r w:rsidR="003D751E" w:rsidRPr="6231485F">
        <w:rPr>
          <w:rFonts w:ascii="Times New Roman" w:hAnsi="Times New Roman" w:cs="Times New Roman"/>
          <w:i/>
          <w:iCs/>
        </w:rPr>
        <w:t>X</w:t>
      </w:r>
      <w:r w:rsidR="00F258BB" w:rsidRPr="6231485F">
        <w:rPr>
          <w:rFonts w:ascii="Times New Roman" w:hAnsi="Times New Roman" w:cs="Times New Roman"/>
        </w:rPr>
        <w:t xml:space="preserve"> (competent birds, incompetent birds, and mosquitoes)</w:t>
      </w:r>
      <w:r w:rsidRPr="6231485F">
        <w:rPr>
          <w:rFonts w:ascii="Times New Roman" w:hAnsi="Times New Roman" w:cs="Times New Roman"/>
        </w:rPr>
        <w:t xml:space="preserve"> ha</w:t>
      </w:r>
      <w:r w:rsidR="36C5A0A5" w:rsidRPr="6231485F">
        <w:rPr>
          <w:rFonts w:ascii="Times New Roman" w:hAnsi="Times New Roman" w:cs="Times New Roman"/>
        </w:rPr>
        <w:t>d</w:t>
      </w:r>
      <w:r w:rsidRPr="6231485F">
        <w:rPr>
          <w:rFonts w:ascii="Times New Roman" w:hAnsi="Times New Roman" w:cs="Times New Roman"/>
        </w:rPr>
        <w:t xml:space="preserve"> a respective birth (</w:t>
      </w:r>
      <w:proofErr w:type="spellStart"/>
      <w:r w:rsidRPr="6231485F">
        <w:rPr>
          <w:rFonts w:ascii="Times New Roman" w:hAnsi="Times New Roman" w:cs="Times New Roman"/>
          <w:i/>
          <w:iCs/>
        </w:rPr>
        <w:t>b</w:t>
      </w:r>
      <w:r w:rsidRPr="6231485F">
        <w:rPr>
          <w:rFonts w:ascii="Times New Roman" w:hAnsi="Times New Roman" w:cs="Times New Roman"/>
          <w:i/>
          <w:iCs/>
          <w:vertAlign w:val="subscript"/>
        </w:rPr>
        <w:t>X</w:t>
      </w:r>
      <w:proofErr w:type="spellEnd"/>
      <w:r w:rsidRPr="6231485F">
        <w:rPr>
          <w:rFonts w:ascii="Times New Roman" w:hAnsi="Times New Roman" w:cs="Times New Roman"/>
        </w:rPr>
        <w:t>) and non-disease related mortality (</w:t>
      </w:r>
      <w:proofErr w:type="spellStart"/>
      <w:r w:rsidRPr="6231485F">
        <w:rPr>
          <w:rFonts w:ascii="Times New Roman" w:hAnsi="Times New Roman" w:cs="Times New Roman"/>
          <w:i/>
          <w:iCs/>
        </w:rPr>
        <w:t>d</w:t>
      </w:r>
      <w:r w:rsidRPr="6231485F">
        <w:rPr>
          <w:rFonts w:ascii="Times New Roman" w:hAnsi="Times New Roman" w:cs="Times New Roman"/>
          <w:i/>
          <w:iCs/>
          <w:vertAlign w:val="subscript"/>
        </w:rPr>
        <w:t>X</w:t>
      </w:r>
      <w:proofErr w:type="spellEnd"/>
      <w:r w:rsidRPr="6231485F">
        <w:rPr>
          <w:rFonts w:ascii="Times New Roman" w:hAnsi="Times New Roman" w:cs="Times New Roman"/>
        </w:rPr>
        <w:t>) and follow</w:t>
      </w:r>
      <w:r w:rsidR="24282376" w:rsidRPr="6231485F">
        <w:rPr>
          <w:rFonts w:ascii="Times New Roman" w:hAnsi="Times New Roman" w:cs="Times New Roman"/>
        </w:rPr>
        <w:t>ed</w:t>
      </w:r>
      <w:r w:rsidRPr="6231485F">
        <w:rPr>
          <w:rFonts w:ascii="Times New Roman" w:hAnsi="Times New Roman" w:cs="Times New Roman"/>
        </w:rPr>
        <w:t xml:space="preserve"> a logistic growth curve with a carrying capacity for the neighborhood (</w:t>
      </w:r>
      <w:r w:rsidRPr="6231485F">
        <w:rPr>
          <w:rFonts w:ascii="Times New Roman" w:hAnsi="Times New Roman" w:cs="Times New Roman"/>
          <w:i/>
          <w:iCs/>
        </w:rPr>
        <w:t>K</w:t>
      </w:r>
      <w:r w:rsidRPr="6231485F">
        <w:rPr>
          <w:rFonts w:ascii="Times New Roman" w:hAnsi="Times New Roman" w:cs="Times New Roman"/>
          <w:i/>
          <w:iCs/>
          <w:vertAlign w:val="subscript"/>
        </w:rPr>
        <w:t>X</w:t>
      </w:r>
      <w:r w:rsidRPr="6231485F">
        <w:rPr>
          <w:rFonts w:ascii="Times New Roman" w:hAnsi="Times New Roman" w:cs="Times New Roman"/>
        </w:rPr>
        <w:t xml:space="preserve">). The carrying capacity for treated and untreated patches of the neighborhood </w:t>
      </w:r>
      <w:r w:rsidR="4F1872B5" w:rsidRPr="6231485F">
        <w:rPr>
          <w:rFonts w:ascii="Times New Roman" w:hAnsi="Times New Roman" w:cs="Times New Roman"/>
        </w:rPr>
        <w:t>was</w:t>
      </w:r>
      <w:r w:rsidRPr="6231485F">
        <w:rPr>
          <w:rFonts w:ascii="Times New Roman" w:hAnsi="Times New Roman" w:cs="Times New Roman"/>
        </w:rPr>
        <w:t xml:space="preserve"> weighted by the proportion of the neighborhood in each treatment status.</w:t>
      </w:r>
    </w:p>
    <w:p w14:paraId="0FCFB849" w14:textId="77777777" w:rsidR="00CA1D3C" w:rsidRDefault="00E13DC2" w:rsidP="005C1429">
      <w:pPr>
        <w:rPr>
          <w:rFonts w:ascii="Times New Roman" w:hAnsi="Times New Roman" w:cs="Times New Roman"/>
        </w:rPr>
      </w:pPr>
      <w:r w:rsidRPr="41CC64B2">
        <w:rPr>
          <w:rFonts w:ascii="Times New Roman" w:hAnsi="Times New Roman" w:cs="Times New Roman"/>
        </w:rPr>
        <w:t>The adult mosquito vector population contain</w:t>
      </w:r>
      <w:r w:rsidR="34D74C40" w:rsidRPr="41CC64B2">
        <w:rPr>
          <w:rFonts w:ascii="Times New Roman" w:hAnsi="Times New Roman" w:cs="Times New Roman"/>
        </w:rPr>
        <w:t>ed</w:t>
      </w:r>
      <w:r w:rsidRPr="41CC64B2">
        <w:rPr>
          <w:rFonts w:ascii="Times New Roman" w:hAnsi="Times New Roman" w:cs="Times New Roman"/>
        </w:rPr>
        <w:t xml:space="preserve"> susceptible (</w:t>
      </w:r>
      <w:r w:rsidRPr="41CC64B2">
        <w:rPr>
          <w:rFonts w:ascii="Times New Roman" w:hAnsi="Times New Roman" w:cs="Times New Roman"/>
          <w:i/>
          <w:iCs/>
        </w:rPr>
        <w:t>S</w:t>
      </w:r>
      <w:r w:rsidRPr="41CC64B2">
        <w:rPr>
          <w:rFonts w:ascii="Times New Roman" w:hAnsi="Times New Roman" w:cs="Times New Roman"/>
          <w:i/>
          <w:iCs/>
          <w:vertAlign w:val="subscript"/>
        </w:rPr>
        <w:t>M</w:t>
      </w:r>
      <w:r w:rsidRPr="41CC64B2">
        <w:rPr>
          <w:rFonts w:ascii="Times New Roman" w:hAnsi="Times New Roman" w:cs="Times New Roman"/>
        </w:rPr>
        <w:t>), exposed (i.e., infected, but not infectious) (</w:t>
      </w:r>
      <w:r w:rsidRPr="41CC64B2">
        <w:rPr>
          <w:rFonts w:ascii="Times New Roman" w:hAnsi="Times New Roman" w:cs="Times New Roman"/>
          <w:i/>
          <w:iCs/>
        </w:rPr>
        <w:t>E</w:t>
      </w:r>
      <w:r w:rsidRPr="41CC64B2">
        <w:rPr>
          <w:rFonts w:ascii="Times New Roman" w:hAnsi="Times New Roman" w:cs="Times New Roman"/>
          <w:i/>
          <w:iCs/>
          <w:vertAlign w:val="subscript"/>
        </w:rPr>
        <w:t>M</w:t>
      </w:r>
      <w:r w:rsidRPr="41CC64B2">
        <w:rPr>
          <w:rFonts w:ascii="Times New Roman" w:hAnsi="Times New Roman" w:cs="Times New Roman"/>
        </w:rPr>
        <w:t>), and infectious (</w:t>
      </w:r>
      <w:r w:rsidRPr="41CC64B2">
        <w:rPr>
          <w:rFonts w:ascii="Times New Roman" w:hAnsi="Times New Roman" w:cs="Times New Roman"/>
          <w:i/>
          <w:iCs/>
        </w:rPr>
        <w:t>I</w:t>
      </w:r>
      <w:r w:rsidRPr="41CC64B2">
        <w:rPr>
          <w:rFonts w:ascii="Times New Roman" w:hAnsi="Times New Roman" w:cs="Times New Roman"/>
          <w:i/>
          <w:iCs/>
          <w:vertAlign w:val="subscript"/>
        </w:rPr>
        <w:t>M</w:t>
      </w:r>
      <w:r w:rsidRPr="41CC64B2">
        <w:rPr>
          <w:rFonts w:ascii="Times New Roman" w:hAnsi="Times New Roman" w:cs="Times New Roman"/>
        </w:rPr>
        <w:t>) individuals as well as uninfected (</w:t>
      </w:r>
      <w:r w:rsidRPr="41CC64B2">
        <w:rPr>
          <w:rFonts w:ascii="Times New Roman" w:hAnsi="Times New Roman" w:cs="Times New Roman"/>
          <w:i/>
          <w:iCs/>
        </w:rPr>
        <w:t>P</w:t>
      </w:r>
      <w:r w:rsidRPr="41CC64B2">
        <w:rPr>
          <w:rFonts w:ascii="Times New Roman" w:hAnsi="Times New Roman" w:cs="Times New Roman"/>
          <w:i/>
          <w:iCs/>
          <w:vertAlign w:val="subscript"/>
        </w:rPr>
        <w:t>M</w:t>
      </w:r>
      <w:r w:rsidRPr="41CC64B2">
        <w:rPr>
          <w:rFonts w:ascii="Times New Roman" w:hAnsi="Times New Roman" w:cs="Times New Roman"/>
        </w:rPr>
        <w:t>) and infected (</w:t>
      </w:r>
      <w:r w:rsidRPr="41CC64B2">
        <w:rPr>
          <w:rFonts w:ascii="Times New Roman" w:hAnsi="Times New Roman" w:cs="Times New Roman"/>
          <w:i/>
          <w:iCs/>
        </w:rPr>
        <w:t>Q</w:t>
      </w:r>
      <w:r w:rsidRPr="41CC64B2">
        <w:rPr>
          <w:rFonts w:ascii="Times New Roman" w:hAnsi="Times New Roman" w:cs="Times New Roman"/>
          <w:i/>
          <w:iCs/>
          <w:vertAlign w:val="subscript"/>
        </w:rPr>
        <w:t>M</w:t>
      </w:r>
      <w:r w:rsidRPr="41CC64B2">
        <w:rPr>
          <w:rFonts w:ascii="Times New Roman" w:hAnsi="Times New Roman" w:cs="Times New Roman"/>
        </w:rPr>
        <w:t xml:space="preserve">) eggs. </w:t>
      </w:r>
      <w:r w:rsidR="00DE5564" w:rsidRPr="41CC64B2">
        <w:rPr>
          <w:rFonts w:ascii="Times New Roman" w:hAnsi="Times New Roman" w:cs="Times New Roman"/>
        </w:rPr>
        <w:t xml:space="preserve">The probability of vertical transmission of WNV to eggs </w:t>
      </w:r>
      <w:r w:rsidR="709EED90" w:rsidRPr="41CC64B2">
        <w:rPr>
          <w:rFonts w:ascii="Times New Roman" w:hAnsi="Times New Roman" w:cs="Times New Roman"/>
        </w:rPr>
        <w:t>was</w:t>
      </w:r>
      <w:r w:rsidR="00DE5564" w:rsidRPr="41CC64B2">
        <w:rPr>
          <w:rFonts w:ascii="Times New Roman" w:hAnsi="Times New Roman" w:cs="Times New Roman"/>
        </w:rPr>
        <w:t xml:space="preserve"> </w:t>
      </w:r>
      <w:proofErr w:type="spellStart"/>
      <w:r w:rsidR="00DE5564" w:rsidRPr="41CC64B2">
        <w:rPr>
          <w:rFonts w:ascii="Times New Roman" w:hAnsi="Times New Roman" w:cs="Times New Roman"/>
          <w:i/>
          <w:iCs/>
        </w:rPr>
        <w:t>q</w:t>
      </w:r>
      <w:r w:rsidR="00DE5564" w:rsidRPr="41CC64B2">
        <w:rPr>
          <w:rFonts w:ascii="Times New Roman" w:hAnsi="Times New Roman" w:cs="Times New Roman"/>
          <w:i/>
          <w:iCs/>
          <w:vertAlign w:val="subscript"/>
        </w:rPr>
        <w:t>M</w:t>
      </w:r>
      <w:proofErr w:type="spellEnd"/>
      <w:r w:rsidR="00DE5564" w:rsidRPr="41CC64B2">
        <w:rPr>
          <w:rFonts w:ascii="Times New Roman" w:hAnsi="Times New Roman" w:cs="Times New Roman"/>
        </w:rPr>
        <w:t xml:space="preserve">. </w:t>
      </w:r>
      <w:r w:rsidR="00373926">
        <w:rPr>
          <w:rFonts w:ascii="Times New Roman" w:hAnsi="Times New Roman" w:cs="Times New Roman"/>
        </w:rPr>
        <w:t>The a</w:t>
      </w:r>
      <w:r w:rsidRPr="41CC64B2">
        <w:rPr>
          <w:rFonts w:ascii="Times New Roman" w:hAnsi="Times New Roman" w:cs="Times New Roman"/>
        </w:rPr>
        <w:t xml:space="preserve">dult mosquito </w:t>
      </w:r>
      <w:r w:rsidR="00373926">
        <w:rPr>
          <w:rFonts w:ascii="Times New Roman" w:hAnsi="Times New Roman" w:cs="Times New Roman"/>
        </w:rPr>
        <w:t xml:space="preserve">total </w:t>
      </w:r>
      <w:r w:rsidRPr="41CC64B2">
        <w:rPr>
          <w:rFonts w:ascii="Times New Roman" w:hAnsi="Times New Roman" w:cs="Times New Roman"/>
        </w:rPr>
        <w:t xml:space="preserve">population size </w:t>
      </w:r>
      <w:r w:rsidR="00373926">
        <w:rPr>
          <w:rFonts w:ascii="Times New Roman" w:hAnsi="Times New Roman" w:cs="Times New Roman"/>
        </w:rPr>
        <w:t>wa</w:t>
      </w:r>
      <w:r w:rsidRPr="41CC64B2">
        <w:rPr>
          <w:rFonts w:ascii="Times New Roman" w:hAnsi="Times New Roman" w:cs="Times New Roman"/>
        </w:rPr>
        <w:t>s</w:t>
      </w:r>
      <w:r w:rsidR="00373926">
        <w:rPr>
          <w:rFonts w:ascii="Times New Roman" w:hAnsi="Times New Roman" w:cs="Times New Roman"/>
        </w:rPr>
        <w:t xml:space="preserve"> then</w:t>
      </w:r>
      <w:r w:rsidRPr="41CC64B2">
        <w:rPr>
          <w:rFonts w:ascii="Times New Roman" w:hAnsi="Times New Roman" w:cs="Times New Roman"/>
        </w:rPr>
        <w:t xml:space="preserve"> </w:t>
      </w:r>
      <w:r w:rsidRPr="41CC64B2">
        <w:rPr>
          <w:rFonts w:ascii="Times New Roman" w:hAnsi="Times New Roman" w:cs="Times New Roman"/>
          <w:i/>
          <w:iCs/>
        </w:rPr>
        <w:t>N</w:t>
      </w:r>
      <w:r w:rsidRPr="41CC64B2">
        <w:rPr>
          <w:rFonts w:ascii="Times New Roman" w:hAnsi="Times New Roman" w:cs="Times New Roman"/>
          <w:i/>
          <w:iCs/>
          <w:vertAlign w:val="subscript"/>
        </w:rPr>
        <w:t>M</w:t>
      </w:r>
      <w:r w:rsidRPr="41CC64B2">
        <w:rPr>
          <w:rFonts w:ascii="Times New Roman" w:hAnsi="Times New Roman" w:cs="Times New Roman"/>
          <w:i/>
          <w:iCs/>
        </w:rPr>
        <w:t xml:space="preserve"> = S</w:t>
      </w:r>
      <w:r w:rsidRPr="41CC64B2">
        <w:rPr>
          <w:rFonts w:ascii="Times New Roman" w:hAnsi="Times New Roman" w:cs="Times New Roman"/>
          <w:i/>
          <w:iCs/>
          <w:vertAlign w:val="subscript"/>
        </w:rPr>
        <w:t>M</w:t>
      </w:r>
      <w:r w:rsidRPr="41CC64B2">
        <w:rPr>
          <w:rFonts w:ascii="Times New Roman" w:hAnsi="Times New Roman" w:cs="Times New Roman"/>
          <w:i/>
          <w:iCs/>
          <w:vertAlign w:val="superscript"/>
        </w:rPr>
        <w:t xml:space="preserve"> </w:t>
      </w:r>
      <w:r w:rsidRPr="41CC64B2">
        <w:rPr>
          <w:rFonts w:ascii="Times New Roman" w:hAnsi="Times New Roman" w:cs="Times New Roman"/>
          <w:i/>
          <w:iCs/>
        </w:rPr>
        <w:t>+ E</w:t>
      </w:r>
      <w:r w:rsidRPr="41CC64B2">
        <w:rPr>
          <w:rFonts w:ascii="Times New Roman" w:hAnsi="Times New Roman" w:cs="Times New Roman"/>
          <w:i/>
          <w:iCs/>
          <w:vertAlign w:val="subscript"/>
        </w:rPr>
        <w:t>M</w:t>
      </w:r>
      <w:r w:rsidRPr="41CC64B2">
        <w:rPr>
          <w:rFonts w:ascii="Times New Roman" w:hAnsi="Times New Roman" w:cs="Times New Roman"/>
          <w:i/>
          <w:iCs/>
          <w:vertAlign w:val="superscript"/>
        </w:rPr>
        <w:t xml:space="preserve"> </w:t>
      </w:r>
      <w:r w:rsidRPr="41CC64B2">
        <w:rPr>
          <w:rFonts w:ascii="Times New Roman" w:hAnsi="Times New Roman" w:cs="Times New Roman"/>
          <w:i/>
          <w:iCs/>
        </w:rPr>
        <w:t>+ I</w:t>
      </w:r>
      <w:r w:rsidRPr="41CC64B2">
        <w:rPr>
          <w:rFonts w:ascii="Times New Roman" w:hAnsi="Times New Roman" w:cs="Times New Roman"/>
          <w:i/>
          <w:iCs/>
          <w:vertAlign w:val="subscript"/>
        </w:rPr>
        <w:t>M</w:t>
      </w:r>
      <w:r w:rsidRPr="41CC64B2">
        <w:rPr>
          <w:rFonts w:ascii="Times New Roman" w:hAnsi="Times New Roman" w:cs="Times New Roman"/>
        </w:rPr>
        <w:t>. The competent bird population consist</w:t>
      </w:r>
      <w:r w:rsidR="0881D928" w:rsidRPr="41CC64B2">
        <w:rPr>
          <w:rFonts w:ascii="Times New Roman" w:hAnsi="Times New Roman" w:cs="Times New Roman"/>
        </w:rPr>
        <w:t>ed</w:t>
      </w:r>
      <w:r w:rsidRPr="41CC64B2">
        <w:rPr>
          <w:rFonts w:ascii="Times New Roman" w:hAnsi="Times New Roman" w:cs="Times New Roman"/>
        </w:rPr>
        <w:t xml:space="preserve"> of individuals that </w:t>
      </w:r>
      <w:r w:rsidR="0B960F4C" w:rsidRPr="41CC64B2">
        <w:rPr>
          <w:rFonts w:ascii="Times New Roman" w:hAnsi="Times New Roman" w:cs="Times New Roman"/>
        </w:rPr>
        <w:t>were</w:t>
      </w:r>
      <w:r w:rsidRPr="41CC64B2">
        <w:rPr>
          <w:rFonts w:ascii="Times New Roman" w:hAnsi="Times New Roman" w:cs="Times New Roman"/>
        </w:rPr>
        <w:t xml:space="preserve"> susceptible, exposed, infectious, and recovered, and either treated (</w:t>
      </w:r>
      <w:r w:rsidRPr="41CC64B2">
        <w:rPr>
          <w:rFonts w:ascii="Times New Roman" w:hAnsi="Times New Roman" w:cs="Times New Roman"/>
          <w:i/>
          <w:iCs/>
        </w:rPr>
        <w:t>S</w:t>
      </w:r>
      <w:r w:rsidRPr="41CC64B2">
        <w:rPr>
          <w:rFonts w:ascii="Times New Roman" w:hAnsi="Times New Roman" w:cs="Times New Roman"/>
          <w:i/>
          <w:iCs/>
          <w:vertAlign w:val="subscript"/>
        </w:rPr>
        <w:t>CT</w:t>
      </w:r>
      <w:r w:rsidRPr="41CC64B2">
        <w:rPr>
          <w:rFonts w:ascii="Times New Roman" w:hAnsi="Times New Roman" w:cs="Times New Roman"/>
          <w:i/>
          <w:iCs/>
        </w:rPr>
        <w:t>, E</w:t>
      </w:r>
      <w:r w:rsidRPr="41CC64B2">
        <w:rPr>
          <w:rFonts w:ascii="Times New Roman" w:hAnsi="Times New Roman" w:cs="Times New Roman"/>
          <w:i/>
          <w:iCs/>
          <w:vertAlign w:val="subscript"/>
        </w:rPr>
        <w:t>CT</w:t>
      </w:r>
      <w:r w:rsidRPr="41CC64B2">
        <w:rPr>
          <w:rFonts w:ascii="Times New Roman" w:hAnsi="Times New Roman" w:cs="Times New Roman"/>
          <w:i/>
          <w:iCs/>
        </w:rPr>
        <w:t>, I</w:t>
      </w:r>
      <w:r w:rsidRPr="41CC64B2">
        <w:rPr>
          <w:rFonts w:ascii="Times New Roman" w:hAnsi="Times New Roman" w:cs="Times New Roman"/>
          <w:i/>
          <w:iCs/>
          <w:vertAlign w:val="subscript"/>
        </w:rPr>
        <w:t>CT</w:t>
      </w:r>
      <w:r w:rsidRPr="41CC64B2">
        <w:rPr>
          <w:rFonts w:ascii="Times New Roman" w:hAnsi="Times New Roman" w:cs="Times New Roman"/>
          <w:i/>
          <w:iCs/>
        </w:rPr>
        <w:t>, R</w:t>
      </w:r>
      <w:r w:rsidRPr="41CC64B2">
        <w:rPr>
          <w:rFonts w:ascii="Times New Roman" w:hAnsi="Times New Roman" w:cs="Times New Roman"/>
          <w:i/>
          <w:iCs/>
          <w:vertAlign w:val="subscript"/>
        </w:rPr>
        <w:t>CT</w:t>
      </w:r>
      <w:r w:rsidRPr="41CC64B2">
        <w:rPr>
          <w:rFonts w:ascii="Times New Roman" w:hAnsi="Times New Roman" w:cs="Times New Roman"/>
        </w:rPr>
        <w:t>) or untreated (</w:t>
      </w:r>
      <w:r w:rsidRPr="41CC64B2">
        <w:rPr>
          <w:rFonts w:ascii="Times New Roman" w:hAnsi="Times New Roman" w:cs="Times New Roman"/>
          <w:i/>
          <w:iCs/>
        </w:rPr>
        <w:t>S</w:t>
      </w:r>
      <w:r w:rsidRPr="41CC64B2">
        <w:rPr>
          <w:rFonts w:ascii="Times New Roman" w:hAnsi="Times New Roman" w:cs="Times New Roman"/>
          <w:i/>
          <w:iCs/>
          <w:vertAlign w:val="subscript"/>
        </w:rPr>
        <w:t>CU</w:t>
      </w:r>
      <w:r w:rsidRPr="41CC64B2">
        <w:rPr>
          <w:rFonts w:ascii="Times New Roman" w:hAnsi="Times New Roman" w:cs="Times New Roman"/>
          <w:i/>
          <w:iCs/>
        </w:rPr>
        <w:t>, E</w:t>
      </w:r>
      <w:r w:rsidRPr="41CC64B2">
        <w:rPr>
          <w:rFonts w:ascii="Times New Roman" w:hAnsi="Times New Roman" w:cs="Times New Roman"/>
          <w:i/>
          <w:iCs/>
          <w:vertAlign w:val="subscript"/>
        </w:rPr>
        <w:t>CU</w:t>
      </w:r>
      <w:r w:rsidRPr="41CC64B2">
        <w:rPr>
          <w:rFonts w:ascii="Times New Roman" w:hAnsi="Times New Roman" w:cs="Times New Roman"/>
          <w:i/>
          <w:iCs/>
        </w:rPr>
        <w:t>, I</w:t>
      </w:r>
      <w:r w:rsidRPr="41CC64B2">
        <w:rPr>
          <w:rFonts w:ascii="Times New Roman" w:hAnsi="Times New Roman" w:cs="Times New Roman"/>
          <w:i/>
          <w:iCs/>
          <w:vertAlign w:val="subscript"/>
        </w:rPr>
        <w:t>CU</w:t>
      </w:r>
      <w:r w:rsidRPr="41CC64B2">
        <w:rPr>
          <w:rFonts w:ascii="Times New Roman" w:hAnsi="Times New Roman" w:cs="Times New Roman"/>
          <w:i/>
          <w:iCs/>
        </w:rPr>
        <w:t>, R</w:t>
      </w:r>
      <w:r w:rsidRPr="41CC64B2">
        <w:rPr>
          <w:rFonts w:ascii="Times New Roman" w:hAnsi="Times New Roman" w:cs="Times New Roman"/>
          <w:i/>
          <w:iCs/>
          <w:vertAlign w:val="subscript"/>
        </w:rPr>
        <w:t>CU</w:t>
      </w:r>
      <w:r w:rsidRPr="41CC64B2">
        <w:rPr>
          <w:rFonts w:ascii="Times New Roman" w:hAnsi="Times New Roman" w:cs="Times New Roman"/>
        </w:rPr>
        <w:t xml:space="preserve">). The total population size of treated, competent birds </w:t>
      </w:r>
      <w:r w:rsidR="0F2D5477" w:rsidRPr="41CC64B2">
        <w:rPr>
          <w:rFonts w:ascii="Times New Roman" w:hAnsi="Times New Roman" w:cs="Times New Roman"/>
        </w:rPr>
        <w:t>was</w:t>
      </w:r>
      <w:r w:rsidRPr="41CC64B2">
        <w:rPr>
          <w:rFonts w:ascii="Times New Roman" w:hAnsi="Times New Roman" w:cs="Times New Roman"/>
        </w:rPr>
        <w:t xml:space="preserve"> </w:t>
      </w:r>
      <w:r w:rsidRPr="41CC64B2">
        <w:rPr>
          <w:rFonts w:ascii="Times New Roman" w:hAnsi="Times New Roman" w:cs="Times New Roman"/>
          <w:i/>
          <w:iCs/>
        </w:rPr>
        <w:t>N</w:t>
      </w:r>
      <w:r w:rsidRPr="41CC64B2">
        <w:rPr>
          <w:rFonts w:ascii="Times New Roman" w:hAnsi="Times New Roman" w:cs="Times New Roman"/>
          <w:i/>
          <w:iCs/>
          <w:vertAlign w:val="subscript"/>
        </w:rPr>
        <w:t>CT</w:t>
      </w:r>
      <w:r w:rsidRPr="41CC64B2">
        <w:rPr>
          <w:rFonts w:ascii="Times New Roman" w:hAnsi="Times New Roman" w:cs="Times New Roman"/>
          <w:i/>
          <w:iCs/>
        </w:rPr>
        <w:t xml:space="preserve"> = S</w:t>
      </w:r>
      <w:r w:rsidRPr="41CC64B2">
        <w:rPr>
          <w:rFonts w:ascii="Times New Roman" w:hAnsi="Times New Roman" w:cs="Times New Roman"/>
          <w:i/>
          <w:iCs/>
          <w:vertAlign w:val="subscript"/>
        </w:rPr>
        <w:t>CT</w:t>
      </w:r>
      <w:r w:rsidRPr="41CC64B2">
        <w:rPr>
          <w:rFonts w:ascii="Times New Roman" w:hAnsi="Times New Roman" w:cs="Times New Roman"/>
          <w:i/>
          <w:iCs/>
          <w:vertAlign w:val="superscript"/>
        </w:rPr>
        <w:t xml:space="preserve"> </w:t>
      </w:r>
      <w:r w:rsidRPr="41CC64B2">
        <w:rPr>
          <w:rFonts w:ascii="Times New Roman" w:hAnsi="Times New Roman" w:cs="Times New Roman"/>
          <w:i/>
          <w:iCs/>
        </w:rPr>
        <w:t>+ E</w:t>
      </w:r>
      <w:r w:rsidRPr="41CC64B2">
        <w:rPr>
          <w:rFonts w:ascii="Times New Roman" w:hAnsi="Times New Roman" w:cs="Times New Roman"/>
          <w:i/>
          <w:iCs/>
          <w:vertAlign w:val="subscript"/>
        </w:rPr>
        <w:t>CT</w:t>
      </w:r>
      <w:r w:rsidRPr="41CC64B2">
        <w:rPr>
          <w:rFonts w:ascii="Times New Roman" w:hAnsi="Times New Roman" w:cs="Times New Roman"/>
          <w:i/>
          <w:iCs/>
          <w:vertAlign w:val="superscript"/>
        </w:rPr>
        <w:t xml:space="preserve"> </w:t>
      </w:r>
      <w:r w:rsidRPr="41CC64B2">
        <w:rPr>
          <w:rFonts w:ascii="Times New Roman" w:hAnsi="Times New Roman" w:cs="Times New Roman"/>
          <w:i/>
          <w:iCs/>
        </w:rPr>
        <w:t>+ I</w:t>
      </w:r>
      <w:r w:rsidRPr="41CC64B2">
        <w:rPr>
          <w:rFonts w:ascii="Times New Roman" w:hAnsi="Times New Roman" w:cs="Times New Roman"/>
          <w:i/>
          <w:iCs/>
          <w:vertAlign w:val="subscript"/>
        </w:rPr>
        <w:t>CT</w:t>
      </w:r>
      <w:r w:rsidRPr="41CC64B2">
        <w:rPr>
          <w:rFonts w:ascii="Times New Roman" w:hAnsi="Times New Roman" w:cs="Times New Roman"/>
          <w:i/>
          <w:iCs/>
        </w:rPr>
        <w:t xml:space="preserve"> + R</w:t>
      </w:r>
      <w:r w:rsidRPr="41CC64B2">
        <w:rPr>
          <w:rFonts w:ascii="Times New Roman" w:hAnsi="Times New Roman" w:cs="Times New Roman"/>
          <w:i/>
          <w:iCs/>
          <w:vertAlign w:val="subscript"/>
        </w:rPr>
        <w:t>CT</w:t>
      </w:r>
      <w:r w:rsidRPr="41CC64B2">
        <w:rPr>
          <w:rFonts w:ascii="Times New Roman" w:hAnsi="Times New Roman" w:cs="Times New Roman"/>
        </w:rPr>
        <w:t xml:space="preserve"> and the total population size of untreated, competent birds </w:t>
      </w:r>
      <w:r w:rsidR="15065F28" w:rsidRPr="41CC64B2">
        <w:rPr>
          <w:rFonts w:ascii="Times New Roman" w:hAnsi="Times New Roman" w:cs="Times New Roman"/>
        </w:rPr>
        <w:t>was</w:t>
      </w:r>
      <w:r w:rsidRPr="41CC64B2">
        <w:rPr>
          <w:rFonts w:ascii="Times New Roman" w:hAnsi="Times New Roman" w:cs="Times New Roman"/>
        </w:rPr>
        <w:t xml:space="preserve"> </w:t>
      </w:r>
      <w:r w:rsidRPr="41CC64B2">
        <w:rPr>
          <w:rFonts w:ascii="Times New Roman" w:hAnsi="Times New Roman" w:cs="Times New Roman"/>
          <w:i/>
          <w:iCs/>
        </w:rPr>
        <w:t>N</w:t>
      </w:r>
      <w:r w:rsidRPr="41CC64B2">
        <w:rPr>
          <w:rFonts w:ascii="Times New Roman" w:hAnsi="Times New Roman" w:cs="Times New Roman"/>
          <w:i/>
          <w:iCs/>
          <w:vertAlign w:val="subscript"/>
        </w:rPr>
        <w:t>UT</w:t>
      </w:r>
      <w:r w:rsidRPr="41CC64B2">
        <w:rPr>
          <w:rFonts w:ascii="Times New Roman" w:hAnsi="Times New Roman" w:cs="Times New Roman"/>
          <w:i/>
          <w:iCs/>
        </w:rPr>
        <w:t xml:space="preserve"> = S</w:t>
      </w:r>
      <w:r w:rsidRPr="41CC64B2">
        <w:rPr>
          <w:rFonts w:ascii="Times New Roman" w:hAnsi="Times New Roman" w:cs="Times New Roman"/>
          <w:i/>
          <w:iCs/>
          <w:vertAlign w:val="subscript"/>
        </w:rPr>
        <w:t>UT</w:t>
      </w:r>
      <w:r w:rsidRPr="41CC64B2">
        <w:rPr>
          <w:rFonts w:ascii="Times New Roman" w:hAnsi="Times New Roman" w:cs="Times New Roman"/>
          <w:i/>
          <w:iCs/>
          <w:vertAlign w:val="superscript"/>
        </w:rPr>
        <w:t xml:space="preserve"> </w:t>
      </w:r>
      <w:r w:rsidRPr="41CC64B2">
        <w:rPr>
          <w:rFonts w:ascii="Times New Roman" w:hAnsi="Times New Roman" w:cs="Times New Roman"/>
          <w:i/>
          <w:iCs/>
        </w:rPr>
        <w:t>+ E</w:t>
      </w:r>
      <w:r w:rsidRPr="41CC64B2">
        <w:rPr>
          <w:rFonts w:ascii="Times New Roman" w:hAnsi="Times New Roman" w:cs="Times New Roman"/>
          <w:i/>
          <w:iCs/>
          <w:vertAlign w:val="subscript"/>
        </w:rPr>
        <w:t>UT</w:t>
      </w:r>
      <w:r w:rsidRPr="41CC64B2">
        <w:rPr>
          <w:rFonts w:ascii="Times New Roman" w:hAnsi="Times New Roman" w:cs="Times New Roman"/>
          <w:i/>
          <w:iCs/>
          <w:vertAlign w:val="superscript"/>
        </w:rPr>
        <w:t xml:space="preserve"> </w:t>
      </w:r>
      <w:r w:rsidRPr="41CC64B2">
        <w:rPr>
          <w:rFonts w:ascii="Times New Roman" w:hAnsi="Times New Roman" w:cs="Times New Roman"/>
          <w:i/>
          <w:iCs/>
        </w:rPr>
        <w:t>+ I</w:t>
      </w:r>
      <w:r w:rsidRPr="41CC64B2">
        <w:rPr>
          <w:rFonts w:ascii="Times New Roman" w:hAnsi="Times New Roman" w:cs="Times New Roman"/>
          <w:i/>
          <w:iCs/>
          <w:vertAlign w:val="subscript"/>
        </w:rPr>
        <w:t>UT</w:t>
      </w:r>
      <w:r w:rsidRPr="41CC64B2">
        <w:rPr>
          <w:rFonts w:ascii="Times New Roman" w:hAnsi="Times New Roman" w:cs="Times New Roman"/>
          <w:i/>
          <w:iCs/>
        </w:rPr>
        <w:t xml:space="preserve"> + R</w:t>
      </w:r>
      <w:r w:rsidRPr="41CC64B2">
        <w:rPr>
          <w:rFonts w:ascii="Times New Roman" w:hAnsi="Times New Roman" w:cs="Times New Roman"/>
          <w:i/>
          <w:iCs/>
          <w:vertAlign w:val="subscript"/>
        </w:rPr>
        <w:t>UT</w:t>
      </w:r>
      <w:r w:rsidRPr="41CC64B2">
        <w:rPr>
          <w:rFonts w:ascii="Times New Roman" w:hAnsi="Times New Roman" w:cs="Times New Roman"/>
        </w:rPr>
        <w:t>. When infected, the incompetent birds d</w:t>
      </w:r>
      <w:r w:rsidR="1468DC8E" w:rsidRPr="41CC64B2">
        <w:rPr>
          <w:rFonts w:ascii="Times New Roman" w:hAnsi="Times New Roman" w:cs="Times New Roman"/>
        </w:rPr>
        <w:t>id</w:t>
      </w:r>
      <w:r w:rsidRPr="41CC64B2">
        <w:rPr>
          <w:rFonts w:ascii="Times New Roman" w:hAnsi="Times New Roman" w:cs="Times New Roman"/>
        </w:rPr>
        <w:t xml:space="preserve"> not achieve high enough viral titers in blood to re-infect mosquitoes so the susceptible, exposed, infected, and recovered categories </w:t>
      </w:r>
      <w:r w:rsidR="496634A7" w:rsidRPr="41CC64B2">
        <w:rPr>
          <w:rFonts w:ascii="Times New Roman" w:hAnsi="Times New Roman" w:cs="Times New Roman"/>
        </w:rPr>
        <w:t>were</w:t>
      </w:r>
      <w:r w:rsidRPr="41CC64B2">
        <w:rPr>
          <w:rFonts w:ascii="Times New Roman" w:hAnsi="Times New Roman" w:cs="Times New Roman"/>
        </w:rPr>
        <w:t xml:space="preserve"> not applicable</w:t>
      </w:r>
      <w:r w:rsidR="30B87332" w:rsidRPr="41CC64B2">
        <w:rPr>
          <w:rFonts w:ascii="Times New Roman" w:hAnsi="Times New Roman" w:cs="Times New Roman"/>
        </w:rPr>
        <w:t>.</w:t>
      </w:r>
      <w:r w:rsidRPr="41CC64B2">
        <w:rPr>
          <w:rFonts w:ascii="Times New Roman" w:hAnsi="Times New Roman" w:cs="Times New Roman"/>
        </w:rPr>
        <w:t xml:space="preserve"> </w:t>
      </w:r>
      <w:r w:rsidR="6B994D1B" w:rsidRPr="41CC64B2">
        <w:rPr>
          <w:rFonts w:ascii="Times New Roman" w:hAnsi="Times New Roman" w:cs="Times New Roman"/>
        </w:rPr>
        <w:t>However,</w:t>
      </w:r>
      <w:r w:rsidRPr="41CC64B2">
        <w:rPr>
          <w:rFonts w:ascii="Times New Roman" w:hAnsi="Times New Roman" w:cs="Times New Roman"/>
        </w:rPr>
        <w:t xml:space="preserve"> incompetent birds </w:t>
      </w:r>
      <w:r w:rsidR="47E41B04" w:rsidRPr="41CC64B2">
        <w:rPr>
          <w:rFonts w:ascii="Times New Roman" w:hAnsi="Times New Roman" w:cs="Times New Roman"/>
        </w:rPr>
        <w:t xml:space="preserve">were </w:t>
      </w:r>
      <w:r w:rsidRPr="41CC64B2">
        <w:rPr>
          <w:rFonts w:ascii="Times New Roman" w:hAnsi="Times New Roman" w:cs="Times New Roman"/>
        </w:rPr>
        <w:t>either treated or untreated</w:t>
      </w:r>
      <w:r w:rsidR="183BE75E" w:rsidRPr="41CC64B2">
        <w:rPr>
          <w:rFonts w:ascii="Times New Roman" w:hAnsi="Times New Roman" w:cs="Times New Roman"/>
        </w:rPr>
        <w:t xml:space="preserve"> so</w:t>
      </w:r>
      <w:r w:rsidRPr="41CC64B2">
        <w:rPr>
          <w:rFonts w:ascii="Times New Roman" w:hAnsi="Times New Roman" w:cs="Times New Roman"/>
        </w:rPr>
        <w:t xml:space="preserve"> the total population size </w:t>
      </w:r>
      <w:r w:rsidR="2EADBD87" w:rsidRPr="41CC64B2">
        <w:rPr>
          <w:rFonts w:ascii="Times New Roman" w:hAnsi="Times New Roman" w:cs="Times New Roman"/>
        </w:rPr>
        <w:t>was</w:t>
      </w:r>
      <w:r w:rsidRPr="41CC64B2">
        <w:rPr>
          <w:rFonts w:ascii="Times New Roman" w:hAnsi="Times New Roman" w:cs="Times New Roman"/>
        </w:rPr>
        <w:t xml:space="preserve"> </w:t>
      </w:r>
      <w:r w:rsidRPr="41CC64B2">
        <w:rPr>
          <w:rFonts w:ascii="Times New Roman" w:hAnsi="Times New Roman" w:cs="Times New Roman"/>
          <w:i/>
          <w:iCs/>
        </w:rPr>
        <w:t>N</w:t>
      </w:r>
      <w:r w:rsidRPr="41CC64B2">
        <w:rPr>
          <w:rFonts w:ascii="Times New Roman" w:hAnsi="Times New Roman" w:cs="Times New Roman"/>
          <w:i/>
          <w:iCs/>
          <w:vertAlign w:val="subscript"/>
        </w:rPr>
        <w:t>IT</w:t>
      </w:r>
      <w:r w:rsidRPr="41CC64B2">
        <w:rPr>
          <w:rFonts w:ascii="Times New Roman" w:hAnsi="Times New Roman" w:cs="Times New Roman"/>
          <w:vertAlign w:val="subscript"/>
        </w:rPr>
        <w:t xml:space="preserve"> </w:t>
      </w:r>
      <w:r w:rsidRPr="41CC64B2">
        <w:rPr>
          <w:rFonts w:ascii="Times New Roman" w:hAnsi="Times New Roman" w:cs="Times New Roman"/>
        </w:rPr>
        <w:t xml:space="preserve">and </w:t>
      </w:r>
      <w:r w:rsidRPr="41CC64B2">
        <w:rPr>
          <w:rFonts w:ascii="Times New Roman" w:hAnsi="Times New Roman" w:cs="Times New Roman"/>
          <w:i/>
          <w:iCs/>
        </w:rPr>
        <w:t>N</w:t>
      </w:r>
      <w:r w:rsidRPr="41CC64B2">
        <w:rPr>
          <w:rFonts w:ascii="Times New Roman" w:hAnsi="Times New Roman" w:cs="Times New Roman"/>
          <w:i/>
          <w:iCs/>
          <w:vertAlign w:val="subscript"/>
        </w:rPr>
        <w:t>IU</w:t>
      </w:r>
      <w:r w:rsidRPr="41CC64B2">
        <w:rPr>
          <w:rFonts w:ascii="Times New Roman" w:hAnsi="Times New Roman" w:cs="Times New Roman"/>
        </w:rPr>
        <w:t xml:space="preserve">, respectively. </w:t>
      </w:r>
      <w:r w:rsidR="002208DD" w:rsidRPr="41CC64B2">
        <w:rPr>
          <w:rFonts w:ascii="Times New Roman" w:hAnsi="Times New Roman" w:cs="Times New Roman"/>
        </w:rPr>
        <w:t>Infections in competent birds occur</w:t>
      </w:r>
      <w:r w:rsidR="7445587A" w:rsidRPr="41CC64B2">
        <w:rPr>
          <w:rFonts w:ascii="Times New Roman" w:hAnsi="Times New Roman" w:cs="Times New Roman"/>
        </w:rPr>
        <w:t>red</w:t>
      </w:r>
      <w:r w:rsidR="002208DD" w:rsidRPr="41CC64B2">
        <w:rPr>
          <w:rFonts w:ascii="Times New Roman" w:hAnsi="Times New Roman" w:cs="Times New Roman"/>
        </w:rPr>
        <w:t xml:space="preserve"> at rate </w:t>
      </w:r>
      <w:r w:rsidR="002208DD" w:rsidRPr="41CC64B2">
        <w:rPr>
          <w:rFonts w:ascii="Calibri" w:hAnsi="Calibri" w:cs="Calibri"/>
          <w:i/>
          <w:iCs/>
        </w:rPr>
        <w:t>β</w:t>
      </w:r>
      <w:r w:rsidR="002208DD" w:rsidRPr="41CC64B2">
        <w:rPr>
          <w:rFonts w:ascii="Times New Roman" w:hAnsi="Times New Roman" w:cs="Times New Roman"/>
          <w:i/>
          <w:iCs/>
          <w:vertAlign w:val="subscript"/>
        </w:rPr>
        <w:t>MC</w:t>
      </w:r>
      <w:r w:rsidR="002208DD" w:rsidRPr="41CC64B2">
        <w:rPr>
          <w:rFonts w:ascii="Times New Roman" w:hAnsi="Times New Roman" w:cs="Times New Roman"/>
        </w:rPr>
        <w:t xml:space="preserve"> and in mosquitoes at rate </w:t>
      </w:r>
      <w:r w:rsidR="002208DD" w:rsidRPr="41CC64B2">
        <w:rPr>
          <w:rFonts w:ascii="Calibri" w:hAnsi="Calibri" w:cs="Calibri"/>
          <w:i/>
          <w:iCs/>
        </w:rPr>
        <w:t>β</w:t>
      </w:r>
      <w:r w:rsidR="002208DD" w:rsidRPr="41CC64B2">
        <w:rPr>
          <w:rFonts w:ascii="Times New Roman" w:hAnsi="Times New Roman" w:cs="Times New Roman"/>
          <w:i/>
          <w:iCs/>
          <w:vertAlign w:val="subscript"/>
        </w:rPr>
        <w:t>CM</w:t>
      </w:r>
      <w:r w:rsidR="002208DD" w:rsidRPr="41CC64B2">
        <w:rPr>
          <w:rFonts w:ascii="Times New Roman" w:hAnsi="Times New Roman" w:cs="Times New Roman"/>
        </w:rPr>
        <w:t xml:space="preserve">. Exposed individuals become infectious at rate </w:t>
      </w:r>
      <w:proofErr w:type="spellStart"/>
      <w:r w:rsidR="002208DD" w:rsidRPr="41CC64B2">
        <w:rPr>
          <w:rFonts w:ascii="Calibri" w:hAnsi="Calibri" w:cs="Calibri"/>
          <w:i/>
          <w:iCs/>
        </w:rPr>
        <w:t>ε</w:t>
      </w:r>
      <w:r w:rsidR="002208DD" w:rsidRPr="41CC64B2">
        <w:rPr>
          <w:rFonts w:ascii="Times New Roman" w:hAnsi="Times New Roman" w:cs="Times New Roman"/>
          <w:i/>
          <w:iCs/>
          <w:vertAlign w:val="subscript"/>
        </w:rPr>
        <w:t>C</w:t>
      </w:r>
      <w:proofErr w:type="spellEnd"/>
      <w:r w:rsidR="002208DD" w:rsidRPr="41CC64B2">
        <w:rPr>
          <w:rFonts w:ascii="Times New Roman" w:hAnsi="Times New Roman" w:cs="Times New Roman"/>
        </w:rPr>
        <w:t xml:space="preserve"> (competent birds) and </w:t>
      </w:r>
      <w:proofErr w:type="spellStart"/>
      <w:r w:rsidR="002208DD" w:rsidRPr="41CC64B2">
        <w:rPr>
          <w:rFonts w:ascii="Calibri" w:hAnsi="Calibri" w:cs="Calibri"/>
          <w:i/>
          <w:iCs/>
        </w:rPr>
        <w:t>ε</w:t>
      </w:r>
      <w:r w:rsidR="002208DD" w:rsidRPr="41CC64B2">
        <w:rPr>
          <w:rFonts w:ascii="Times New Roman" w:hAnsi="Times New Roman" w:cs="Times New Roman"/>
          <w:i/>
          <w:iCs/>
          <w:vertAlign w:val="subscript"/>
        </w:rPr>
        <w:t>M</w:t>
      </w:r>
      <w:proofErr w:type="spellEnd"/>
      <w:r w:rsidR="002208DD" w:rsidRPr="41CC64B2">
        <w:rPr>
          <w:rFonts w:ascii="Times New Roman" w:hAnsi="Times New Roman" w:cs="Times New Roman"/>
        </w:rPr>
        <w:t xml:space="preserve"> (mosquitoes). Infectious competent birds succumb</w:t>
      </w:r>
      <w:r w:rsidR="542A05CF" w:rsidRPr="41CC64B2">
        <w:rPr>
          <w:rFonts w:ascii="Times New Roman" w:hAnsi="Times New Roman" w:cs="Times New Roman"/>
        </w:rPr>
        <w:t>ed</w:t>
      </w:r>
      <w:r w:rsidR="002208DD" w:rsidRPr="41CC64B2">
        <w:rPr>
          <w:rFonts w:ascii="Times New Roman" w:hAnsi="Times New Roman" w:cs="Times New Roman"/>
        </w:rPr>
        <w:t xml:space="preserve"> to WNV at rate </w:t>
      </w:r>
      <w:proofErr w:type="spellStart"/>
      <w:r w:rsidR="002208DD" w:rsidRPr="41CC64B2">
        <w:rPr>
          <w:rFonts w:ascii="Calibri" w:hAnsi="Calibri" w:cs="Calibri"/>
          <w:i/>
          <w:iCs/>
        </w:rPr>
        <w:t>μ</w:t>
      </w:r>
      <w:r w:rsidR="002208DD" w:rsidRPr="41CC64B2">
        <w:rPr>
          <w:rFonts w:ascii="Times New Roman" w:hAnsi="Times New Roman" w:cs="Times New Roman"/>
          <w:i/>
          <w:iCs/>
          <w:vertAlign w:val="subscript"/>
        </w:rPr>
        <w:t>C</w:t>
      </w:r>
      <w:proofErr w:type="spellEnd"/>
      <w:r w:rsidR="002208DD" w:rsidRPr="41CC64B2">
        <w:rPr>
          <w:rFonts w:ascii="Times New Roman" w:hAnsi="Times New Roman" w:cs="Times New Roman"/>
        </w:rPr>
        <w:t xml:space="preserve"> and recovered at rate </w:t>
      </w:r>
      <w:proofErr w:type="spellStart"/>
      <w:r w:rsidR="002208DD" w:rsidRPr="41CC64B2">
        <w:rPr>
          <w:rFonts w:ascii="Calibri" w:hAnsi="Calibri" w:cs="Calibri"/>
          <w:i/>
          <w:iCs/>
        </w:rPr>
        <w:t>γ</w:t>
      </w:r>
      <w:r w:rsidR="002208DD" w:rsidRPr="41CC64B2">
        <w:rPr>
          <w:rFonts w:ascii="Times New Roman" w:hAnsi="Times New Roman" w:cs="Times New Roman"/>
          <w:i/>
          <w:iCs/>
          <w:vertAlign w:val="subscript"/>
        </w:rPr>
        <w:t>C</w:t>
      </w:r>
      <w:proofErr w:type="spellEnd"/>
      <w:r w:rsidR="002208DD" w:rsidRPr="41CC64B2">
        <w:rPr>
          <w:rFonts w:ascii="Times New Roman" w:hAnsi="Times New Roman" w:cs="Times New Roman"/>
        </w:rPr>
        <w:t>.</w:t>
      </w:r>
      <w:r w:rsidR="00480ECE" w:rsidRPr="00480ECE">
        <w:rPr>
          <w:rFonts w:ascii="Times New Roman" w:hAnsi="Times New Roman" w:cs="Times New Roman"/>
        </w:rPr>
        <w:t xml:space="preserve"> </w:t>
      </w:r>
    </w:p>
    <w:p w14:paraId="2E322DD7" w14:textId="123CE713" w:rsidR="002208DD" w:rsidRDefault="00480ECE" w:rsidP="005C1429">
      <w:pPr>
        <w:rPr>
          <w:rFonts w:ascii="Times New Roman" w:hAnsi="Times New Roman" w:cs="Times New Roman"/>
        </w:rPr>
      </w:pPr>
      <w:r>
        <w:rPr>
          <w:rFonts w:ascii="Times New Roman" w:hAnsi="Times New Roman" w:cs="Times New Roman"/>
        </w:rPr>
        <w:t xml:space="preserve">Untreated birds in group </w:t>
      </w:r>
      <w:r w:rsidRPr="6231485F">
        <w:rPr>
          <w:rFonts w:ascii="Times New Roman" w:hAnsi="Times New Roman" w:cs="Times New Roman"/>
          <w:i/>
          <w:iCs/>
        </w:rPr>
        <w:t>X</w:t>
      </w:r>
      <w:r>
        <w:rPr>
          <w:rFonts w:ascii="Times New Roman" w:hAnsi="Times New Roman" w:cs="Times New Roman"/>
        </w:rPr>
        <w:t xml:space="preserve"> visit</w:t>
      </w:r>
      <w:r w:rsidR="00216EB6">
        <w:rPr>
          <w:rFonts w:ascii="Times New Roman" w:hAnsi="Times New Roman" w:cs="Times New Roman"/>
        </w:rPr>
        <w:t>ed</w:t>
      </w:r>
      <w:r>
        <w:rPr>
          <w:rFonts w:ascii="Times New Roman" w:hAnsi="Times New Roman" w:cs="Times New Roman"/>
        </w:rPr>
        <w:t xml:space="preserve"> an ivermectin-treated feeder with probability </w:t>
      </w:r>
      <w:proofErr w:type="spellStart"/>
      <w:r w:rsidRPr="6231485F">
        <w:rPr>
          <w:rFonts w:ascii="Calibri" w:hAnsi="Calibri" w:cs="Calibri"/>
          <w:i/>
          <w:iCs/>
        </w:rPr>
        <w:t>ρ</w:t>
      </w:r>
      <w:r w:rsidRPr="6231485F">
        <w:rPr>
          <w:rFonts w:ascii="Times New Roman" w:hAnsi="Times New Roman" w:cs="Times New Roman"/>
          <w:i/>
          <w:iCs/>
          <w:vertAlign w:val="subscript"/>
        </w:rPr>
        <w:t>X</w:t>
      </w:r>
      <w:proofErr w:type="spellEnd"/>
      <w:r>
        <w:rPr>
          <w:rFonts w:ascii="Times New Roman" w:hAnsi="Times New Roman" w:cs="Times New Roman"/>
        </w:rPr>
        <w:t xml:space="preserve"> and become treated. Ivermectin was removed from the blood of treated birds at rate </w:t>
      </w:r>
      <w:proofErr w:type="spellStart"/>
      <w:r w:rsidRPr="6231485F">
        <w:rPr>
          <w:rFonts w:ascii="Calibri" w:hAnsi="Calibri" w:cs="Calibri"/>
          <w:i/>
          <w:iCs/>
        </w:rPr>
        <w:t>λ</w:t>
      </w:r>
      <w:r w:rsidRPr="6231485F">
        <w:rPr>
          <w:rFonts w:ascii="Times New Roman" w:hAnsi="Times New Roman" w:cs="Times New Roman"/>
          <w:i/>
          <w:iCs/>
          <w:vertAlign w:val="subscript"/>
        </w:rPr>
        <w:t>D</w:t>
      </w:r>
      <w:proofErr w:type="spellEnd"/>
      <w:r>
        <w:rPr>
          <w:rFonts w:ascii="Times New Roman" w:hAnsi="Times New Roman" w:cs="Times New Roman"/>
        </w:rPr>
        <w:t xml:space="preserve">. IVM-induced mortality in mosquito populations occurred at rate </w:t>
      </w:r>
      <w:r w:rsidRPr="6231485F">
        <w:rPr>
          <w:rFonts w:ascii="Calibri" w:hAnsi="Calibri" w:cs="Calibri"/>
          <w:i/>
          <w:iCs/>
        </w:rPr>
        <w:t>β</w:t>
      </w:r>
      <w:r w:rsidRPr="6231485F">
        <w:rPr>
          <w:rFonts w:ascii="Times New Roman" w:hAnsi="Times New Roman" w:cs="Times New Roman"/>
          <w:i/>
          <w:iCs/>
          <w:vertAlign w:val="subscript"/>
        </w:rPr>
        <w:t>D</w:t>
      </w:r>
      <w:r>
        <w:rPr>
          <w:rFonts w:ascii="Times New Roman" w:hAnsi="Times New Roman" w:cs="Times New Roman"/>
        </w:rPr>
        <w:t>.</w:t>
      </w:r>
    </w:p>
    <w:p w14:paraId="68D3DF18" w14:textId="066305B8" w:rsidR="00A54F5F" w:rsidRDefault="00F555E0" w:rsidP="00A54F5F">
      <w:pPr>
        <w:rPr>
          <w:rFonts w:ascii="Times New Roman" w:hAnsi="Times New Roman" w:cs="Times New Roman"/>
        </w:rPr>
      </w:pPr>
      <w:r>
        <w:rPr>
          <w:rFonts w:ascii="Times New Roman" w:hAnsi="Times New Roman" w:cs="Times New Roman"/>
        </w:rPr>
        <w:t>Therefore, the disease dynamics in mosquitoes and avian host</w:t>
      </w:r>
      <w:r w:rsidR="00FF4C0F">
        <w:rPr>
          <w:rFonts w:ascii="Times New Roman" w:hAnsi="Times New Roman" w:cs="Times New Roman"/>
        </w:rPr>
        <w:t>s in between dispersal events</w:t>
      </w:r>
      <w:r w:rsidR="00A54F5F" w:rsidRPr="6231485F">
        <w:rPr>
          <w:rFonts w:ascii="Times New Roman" w:hAnsi="Times New Roman" w:cs="Times New Roman"/>
        </w:rPr>
        <w:t xml:space="preserve"> (</w:t>
      </w:r>
      <w:r w:rsidR="00A54F5F" w:rsidRPr="6231485F">
        <w:rPr>
          <w:rFonts w:ascii="Times New Roman" w:hAnsi="Times New Roman" w:cs="Times New Roman"/>
          <w:i/>
          <w:iCs/>
        </w:rPr>
        <w:t xml:space="preserve">t </w:t>
      </w:r>
      <w:r w:rsidR="00A54F5F" w:rsidRPr="6231485F">
        <w:rPr>
          <w:rFonts w:ascii="Calibri" w:hAnsi="Calibri" w:cs="Calibri"/>
          <w:i/>
          <w:iCs/>
        </w:rPr>
        <w:t>≠</w:t>
      </w:r>
      <w:r w:rsidR="00A54F5F" w:rsidRPr="6231485F">
        <w:rPr>
          <w:rFonts w:ascii="Times New Roman" w:hAnsi="Times New Roman" w:cs="Times New Roman"/>
          <w:i/>
          <w:iCs/>
        </w:rPr>
        <w:t xml:space="preserve"> </w:t>
      </w:r>
      <w:r w:rsidR="00A54F5F" w:rsidRPr="6231485F">
        <w:rPr>
          <w:rFonts w:ascii="Calibri" w:hAnsi="Calibri" w:cs="Calibri"/>
          <w:i/>
          <w:iCs/>
        </w:rPr>
        <w:t>τ</w:t>
      </w:r>
      <w:r w:rsidR="00A54F5F" w:rsidRPr="6231485F">
        <w:rPr>
          <w:rFonts w:ascii="Times New Roman" w:hAnsi="Times New Roman" w:cs="Times New Roman"/>
        </w:rPr>
        <w:t>) w</w:t>
      </w:r>
      <w:r w:rsidR="00FF4C0F">
        <w:rPr>
          <w:rFonts w:ascii="Times New Roman" w:hAnsi="Times New Roman" w:cs="Times New Roman"/>
        </w:rPr>
        <w:t>ere</w:t>
      </w:r>
      <w:r w:rsidR="00A54F5F" w:rsidRPr="6231485F">
        <w:rPr>
          <w:rFonts w:ascii="Times New Roman" w:hAnsi="Times New Roman" w:cs="Times New Roman"/>
        </w:rPr>
        <w:t xml:space="preserve"> as follows:</w:t>
      </w:r>
    </w:p>
    <w:p w14:paraId="23228046" w14:textId="77777777" w:rsidR="00A54F5F" w:rsidRDefault="00A54F5F" w:rsidP="00A54F5F">
      <w:pPr>
        <w:rPr>
          <w:rFonts w:ascii="Times New Roman" w:hAnsi="Times New Roman" w:cs="Times New Roman"/>
        </w:rPr>
      </w:pPr>
      <w:r>
        <w:rPr>
          <w:rFonts w:ascii="Times New Roman" w:hAnsi="Times New Roman" w:cs="Times New Roman"/>
        </w:rPr>
        <w:t>For the vector mosquitoes,</w:t>
      </w:r>
    </w:p>
    <w:p w14:paraId="7D9FCE20"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dP</m:t>
                  </m:r>
                </m:e>
                <m:sub>
                  <m:r>
                    <w:rPr>
                      <w:rFonts w:ascii="Cambria Math" w:hAnsi="Cambria Math" w:cs="Times New Roman"/>
                    </w:rPr>
                    <m:t>M</m:t>
                  </m:r>
                </m:sub>
              </m:sSub>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M</m:t>
              </m:r>
            </m:sub>
          </m:sSub>
          <m:r>
            <w:rPr>
              <w:rFonts w:ascii="Cambria Math" w:hAnsi="Cambria Math" w:cs="Times New Roman"/>
            </w:rPr>
            <m:t>)</m:t>
          </m:r>
        </m:oMath>
      </m:oMathPara>
    </w:p>
    <w:p w14:paraId="76B39383"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dQ</m:t>
                  </m:r>
                </m:e>
                <m:sub>
                  <m:r>
                    <w:rPr>
                      <w:rFonts w:ascii="Cambria Math" w:hAnsi="Cambria Math" w:cs="Times New Roman"/>
                    </w:rPr>
                    <m:t>M</m:t>
                  </m:r>
                </m:sub>
              </m:sSub>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r>
            <w:rPr>
              <w:rFonts w:ascii="Cambria Math" w:hAnsi="Cambria Math" w:cs="Times New Roman"/>
            </w:rPr>
            <m:t>)</m:t>
          </m:r>
        </m:oMath>
      </m:oMathPara>
    </w:p>
    <w:p w14:paraId="622F0C63"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dS</m:t>
                  </m:r>
                </m:e>
                <m:sub>
                  <m:r>
                    <w:rPr>
                      <w:rFonts w:ascii="Cambria Math" w:hAnsi="Cambria Math" w:cs="Times New Roman"/>
                    </w:rPr>
                    <m:t>M</m:t>
                  </m:r>
                </m:sub>
              </m:sSub>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CM</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den>
          </m:f>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oMath>
      </m:oMathPara>
    </w:p>
    <w:p w14:paraId="41FB1F49"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dE</m:t>
                  </m:r>
                </m:e>
                <m:sub>
                  <m:r>
                    <w:rPr>
                      <w:rFonts w:ascii="Cambria Math" w:hAnsi="Cambria Math" w:cs="Times New Roman"/>
                    </w:rPr>
                    <m:t>M</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CM</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den>
          </m:f>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m:t>
              </m:r>
            </m:sub>
          </m:sSub>
        </m:oMath>
      </m:oMathPara>
    </w:p>
    <w:p w14:paraId="59EC0DE2"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dI</m:t>
                  </m:r>
                </m:e>
                <m:sub>
                  <m:r>
                    <w:rPr>
                      <w:rFonts w:ascii="Cambria Math" w:hAnsi="Cambria Math" w:cs="Times New Roman"/>
                    </w:rPr>
                    <m:t>M</m:t>
                  </m:r>
                </m:sub>
              </m:sSub>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den>
          </m:f>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oMath>
      </m:oMathPara>
    </w:p>
    <w:p w14:paraId="4FDD7330" w14:textId="77777777" w:rsidR="00A54F5F" w:rsidRPr="00DC0E17"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dN</m:t>
                  </m:r>
                </m:e>
                <m:sub>
                  <m:r>
                    <w:rPr>
                      <w:rFonts w:ascii="Cambria Math" w:hAnsi="Cambria Math" w:cs="Times New Roman"/>
                    </w:rPr>
                    <m:t>M</m:t>
                  </m:r>
                </m:sub>
              </m:sSub>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den>
          </m:f>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oMath>
      </m:oMathPara>
    </w:p>
    <w:p w14:paraId="7D98DB57" w14:textId="77777777" w:rsidR="00A54F5F" w:rsidRDefault="00A54F5F" w:rsidP="00A54F5F">
      <w:pPr>
        <w:rPr>
          <w:rFonts w:ascii="Times New Roman" w:hAnsi="Times New Roman" w:cs="Times New Roman"/>
        </w:rPr>
      </w:pPr>
      <w:r>
        <w:rPr>
          <w:rFonts w:ascii="Times New Roman" w:hAnsi="Times New Roman" w:cs="Times New Roman"/>
        </w:rPr>
        <w:t>For the treated competent bird species,</w:t>
      </w:r>
    </w:p>
    <w:p w14:paraId="6C238FD0"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dS</m:t>
                  </m:r>
                </m:e>
                <m:sub>
                  <m:r>
                    <w:rPr>
                      <w:rFonts w:ascii="Cambria Math" w:hAnsi="Cambria Math" w:cs="Times New Roman"/>
                    </w:rPr>
                    <m:t>CT</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MC</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CT</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CT</m:t>
              </m:r>
            </m:sub>
          </m:sSub>
        </m:oMath>
      </m:oMathPara>
    </w:p>
    <w:p w14:paraId="2B511E77"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dE</m:t>
                  </m:r>
                </m:e>
                <m:sub>
                  <m:r>
                    <w:rPr>
                      <w:rFonts w:ascii="Cambria Math" w:hAnsi="Cambria Math" w:cs="Times New Roman"/>
                    </w:rPr>
                    <m:t>CT</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MC</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CT</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CT</m:t>
              </m:r>
            </m:sub>
          </m:sSub>
        </m:oMath>
      </m:oMathPara>
    </w:p>
    <w:p w14:paraId="620A9777"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dI</m:t>
                  </m:r>
                </m:e>
                <m:sub>
                  <m:r>
                    <w:rPr>
                      <w:rFonts w:ascii="Cambria Math" w:hAnsi="Cambria Math" w:cs="Times New Roman"/>
                    </w:rPr>
                    <m:t>CT</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oMath>
      </m:oMathPara>
    </w:p>
    <w:p w14:paraId="4B61A112"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dR</m:t>
                  </m:r>
                </m:e>
                <m:sub>
                  <m:r>
                    <w:rPr>
                      <w:rFonts w:ascii="Cambria Math" w:hAnsi="Cambria Math" w:cs="Times New Roman"/>
                    </w:rPr>
                    <m:t>CT</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oMath>
      </m:oMathPara>
    </w:p>
    <w:p w14:paraId="7B6D1E81" w14:textId="77777777" w:rsidR="00A54F5F" w:rsidRPr="00622A0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dN</m:t>
                  </m:r>
                </m:e>
                <m:sub>
                  <m:r>
                    <w:rPr>
                      <w:rFonts w:ascii="Cambria Math" w:hAnsi="Cambria Math" w:cs="Times New Roman"/>
                    </w:rPr>
                    <m:t>CT</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oMath>
      </m:oMathPara>
    </w:p>
    <w:p w14:paraId="24383B71" w14:textId="77777777" w:rsidR="00A54F5F" w:rsidRDefault="00A54F5F" w:rsidP="00A54F5F">
      <w:pPr>
        <w:rPr>
          <w:rFonts w:ascii="Times New Roman" w:hAnsi="Times New Roman" w:cs="Times New Roman"/>
        </w:rPr>
      </w:pPr>
      <w:r>
        <w:rPr>
          <w:rFonts w:ascii="Times New Roman" w:hAnsi="Times New Roman" w:cs="Times New Roman"/>
        </w:rPr>
        <w:t>For the untreated competent bird species,</w:t>
      </w:r>
    </w:p>
    <w:p w14:paraId="1C4D2C34"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dS</m:t>
                  </m:r>
                </m:e>
                <m:sub>
                  <m:r>
                    <w:rPr>
                      <w:rFonts w:ascii="Cambria Math" w:hAnsi="Cambria Math" w:cs="Times New Roman"/>
                    </w:rPr>
                    <m:t>CU</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MC</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CU</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CT</m:t>
              </m:r>
            </m:sub>
          </m:sSub>
        </m:oMath>
      </m:oMathPara>
    </w:p>
    <w:p w14:paraId="57A58BAC"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dE</m:t>
                  </m:r>
                </m:e>
                <m:sub>
                  <m:r>
                    <w:rPr>
                      <w:rFonts w:ascii="Cambria Math" w:hAnsi="Cambria Math" w:cs="Times New Roman"/>
                    </w:rPr>
                    <m:t>CU</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MC</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CU</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CT</m:t>
              </m:r>
            </m:sub>
          </m:sSub>
        </m:oMath>
      </m:oMathPara>
    </w:p>
    <w:p w14:paraId="04EC3BF3"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dI</m:t>
                  </m:r>
                </m:e>
                <m:sub>
                  <m:r>
                    <w:rPr>
                      <w:rFonts w:ascii="Cambria Math" w:hAnsi="Cambria Math" w:cs="Times New Roman"/>
                    </w:rPr>
                    <m:t>CU</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CU</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C</m:t>
                  </m:r>
                </m:sub>
              </m:sSub>
            </m:e>
          </m:d>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CT</m:t>
              </m:r>
            </m:sub>
          </m:sSub>
        </m:oMath>
      </m:oMathPara>
    </w:p>
    <w:p w14:paraId="75C4936B" w14:textId="77777777" w:rsidR="00A54F5F" w:rsidRPr="007D057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dR</m:t>
                  </m:r>
                </m:e>
                <m:sub>
                  <m:r>
                    <w:rPr>
                      <w:rFonts w:ascii="Cambria Math" w:hAnsi="Cambria Math" w:cs="Times New Roman"/>
                    </w:rPr>
                    <m:t>CU</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oMath>
      </m:oMathPara>
    </w:p>
    <w:p w14:paraId="11586E47" w14:textId="77777777" w:rsidR="00A54F5F" w:rsidRPr="00622A0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dN</m:t>
                  </m:r>
                </m:e>
                <m:sub>
                  <m:r>
                    <w:rPr>
                      <w:rFonts w:ascii="Cambria Math" w:hAnsi="Cambria Math" w:cs="Times New Roman"/>
                    </w:rPr>
                    <m:t>CU</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den>
          </m:f>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oMath>
      </m:oMathPara>
    </w:p>
    <w:p w14:paraId="088B5DC2" w14:textId="77777777" w:rsidR="00A54F5F" w:rsidRDefault="00A54F5F" w:rsidP="00A54F5F">
      <w:pPr>
        <w:rPr>
          <w:rFonts w:ascii="Times New Roman" w:hAnsi="Times New Roman" w:cs="Times New Roman"/>
        </w:rPr>
      </w:pPr>
      <w:r>
        <w:rPr>
          <w:rFonts w:ascii="Times New Roman" w:hAnsi="Times New Roman" w:cs="Times New Roman"/>
        </w:rPr>
        <w:t>For the treated incompetent bird species,</w:t>
      </w:r>
    </w:p>
    <w:p w14:paraId="65988549" w14:textId="77777777" w:rsidR="00A54F5F" w:rsidRPr="00622A0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dN</m:t>
                  </m:r>
                </m:e>
                <m:sub>
                  <m:r>
                    <w:rPr>
                      <w:rFonts w:ascii="Cambria Math" w:hAnsi="Cambria Math" w:cs="Times New Roman"/>
                    </w:rPr>
                    <m:t>IT</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den>
          </m:f>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oMath>
      </m:oMathPara>
    </w:p>
    <w:p w14:paraId="273E28FF" w14:textId="77777777" w:rsidR="00A54F5F" w:rsidRDefault="00A54F5F" w:rsidP="00A54F5F">
      <w:pPr>
        <w:rPr>
          <w:rFonts w:ascii="Times New Roman" w:hAnsi="Times New Roman" w:cs="Times New Roman"/>
        </w:rPr>
      </w:pPr>
      <w:r>
        <w:rPr>
          <w:rFonts w:ascii="Times New Roman" w:hAnsi="Times New Roman" w:cs="Times New Roman"/>
        </w:rPr>
        <w:t>For the untreated incompetent bird species,</w:t>
      </w:r>
    </w:p>
    <w:p w14:paraId="16B7928F" w14:textId="77777777" w:rsidR="00A54F5F" w:rsidRPr="00D2110C" w:rsidRDefault="00000000" w:rsidP="00A54F5F">
      <w:pPr>
        <w:ind w:left="360"/>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dN</m:t>
                  </m:r>
                </m:e>
                <m:sub>
                  <m:r>
                    <w:rPr>
                      <w:rFonts w:ascii="Cambria Math" w:hAnsi="Cambria Math" w:cs="Times New Roman"/>
                    </w:rPr>
                    <m:t>IU</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den>
          </m:f>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oMath>
      </m:oMathPara>
    </w:p>
    <w:p w14:paraId="72CFFB0B" w14:textId="2B7DDF5C" w:rsidR="009D781E" w:rsidRPr="009D781E" w:rsidRDefault="00D31820" w:rsidP="002362B7">
      <w:pPr>
        <w:spacing w:after="0"/>
        <w:rPr>
          <w:rFonts w:ascii="Times New Roman" w:hAnsi="Times New Roman" w:cs="Times New Roman"/>
          <w:u w:val="single"/>
        </w:rPr>
      </w:pPr>
      <w:bookmarkStart w:id="0" w:name="_Hlk71652674"/>
      <w:r>
        <w:rPr>
          <w:rFonts w:ascii="Times New Roman" w:hAnsi="Times New Roman" w:cs="Times New Roman"/>
          <w:u w:val="single"/>
        </w:rPr>
        <w:t>Dispersal Events</w:t>
      </w:r>
    </w:p>
    <w:p w14:paraId="19F934AB" w14:textId="1EF7EA2A" w:rsidR="00E80CCB" w:rsidRPr="00FF4C0F" w:rsidRDefault="00786971" w:rsidP="00266AB9">
      <w:pPr>
        <w:rPr>
          <w:rFonts w:ascii="Times New Roman" w:eastAsiaTheme="minorEastAsia" w:hAnsi="Times New Roman" w:cs="Times New Roman"/>
        </w:rPr>
      </w:pPr>
      <w:r>
        <w:rPr>
          <w:rFonts w:ascii="Times New Roman" w:hAnsi="Times New Roman" w:cs="Times New Roman"/>
        </w:rPr>
        <w:t>In addition to the</w:t>
      </w:r>
      <w:r w:rsidR="0056591F">
        <w:rPr>
          <w:rFonts w:ascii="Times New Roman" w:hAnsi="Times New Roman" w:cs="Times New Roman"/>
        </w:rPr>
        <w:t xml:space="preserve"> above</w:t>
      </w:r>
      <w:r>
        <w:rPr>
          <w:rFonts w:ascii="Times New Roman" w:hAnsi="Times New Roman" w:cs="Times New Roman"/>
        </w:rPr>
        <w:t xml:space="preserve"> continuous-time dynamics, we added a discrete, group-specific movement probability</w:t>
      </w:r>
      <w:r w:rsidRPr="004F0389">
        <w:rPr>
          <w:rFonts w:ascii="Times New Roman" w:hAnsi="Times New Roman" w:cs="Times New Roman"/>
        </w:rPr>
        <w:t xml:space="preserve"> </w:t>
      </w:r>
      <w:r>
        <w:rPr>
          <w:rFonts w:ascii="Times New Roman" w:hAnsi="Times New Roman" w:cs="Times New Roman"/>
        </w:rPr>
        <w:t>derived</w:t>
      </w:r>
      <w:r w:rsidR="005C49E8">
        <w:rPr>
          <w:rFonts w:ascii="Times New Roman" w:hAnsi="Times New Roman" w:cs="Times New Roman"/>
        </w:rPr>
        <w:t xml:space="preserve"> with</w:t>
      </w:r>
      <w:r w:rsidRPr="00AA3703">
        <w:rPr>
          <w:rFonts w:ascii="Times New Roman" w:hAnsi="Times New Roman" w:cs="Times New Roman"/>
        </w:rPr>
        <w:t xml:space="preserve"> integrodifference equations</w:t>
      </w:r>
      <w:r>
        <w:rPr>
          <w:rFonts w:ascii="Times New Roman" w:hAnsi="Times New Roman" w:cs="Times New Roman"/>
        </w:rPr>
        <w:t xml:space="preserve"> </w:t>
      </w:r>
      <w:r>
        <w:rPr>
          <w:rFonts w:ascii="Times New Roman" w:hAnsi="Times New Roman" w:cs="Times New Roman"/>
        </w:rPr>
        <w:fldChar w:fldCharType="begin" w:fldLock="1"/>
      </w:r>
      <w:r w:rsidR="00A5317B">
        <w:rPr>
          <w:rFonts w:ascii="Times New Roman" w:hAnsi="Times New Roman" w:cs="Times New Roman"/>
        </w:rPr>
        <w:instrText>ADDIN CSL_CITATION {"citationItems":[{"id":"ITEM-1","itemData":{"DOI":"10.1016/0025-5564(86)90069-6","ISBN":"0025-5564","ISSN":"00255564","abstract":"Integrodifference equations are discrete-time models that share many of the attributes of scalar reaction-diffusion equations. At the same time, they readily exhibit period doubling and chaos. We examine the properties of some simple integrodifference equations.","author":[{"dropping-particle":"","family":"Kot","given":"Mark","non-dropping-particle":"","parse-names":false,"suffix":""},{"dropping-particle":"","family":"Schaffer","given":"William M","non-dropping-particle":"","parse-names":false,"suffix":""}],"container-title":"Mathematical Biosciences","id":"ITEM-1","issue":"1","issued":{"date-parts":[["1986"]]},"page":"109-136","title":"Discrete-time growth-dispersal models","type":"article-journal","volume":"80"},"uris":["http://www.mendeley.com/documents/?uuid=a2c6c060-394d-4517-b013-570141460650"]},{"id":"ITEM-2","itemData":{"author":[{"dropping-particle":"","family":"Kirk","given":"R W","non-dropping-particle":"Van","parse-names":false,"suffix":""},{"dropping-particle":"","family":"Lewis","given":"M A","non-dropping-particle":"","parse-names":false,"suffix":""}],"container-title":"Bulletin of Mathematical Biology","id":"ITEM-2","issue":"1","issued":{"date-parts":[["1997"]]},"page":"107-137","title":"Integrodifference models for peristence in fragmented habitats","type":"article-journal","volume":"59"},"uris":["http://www.mendeley.com/documents/?uuid=c7f08559-5fb6-4ffd-9ee6-1dfa8ca94214"]}],"mendeley":{"formattedCitation":"[2,3]","plainTextFormattedCitation":"[2,3]","previouslyFormattedCitation":"[2,3]"},"properties":{"noteIndex":0},"schema":"https://github.com/citation-style-language/schema/raw/master/csl-citation.json"}</w:instrText>
      </w:r>
      <w:r>
        <w:rPr>
          <w:rFonts w:ascii="Times New Roman" w:hAnsi="Times New Roman" w:cs="Times New Roman"/>
        </w:rPr>
        <w:fldChar w:fldCharType="separate"/>
      </w:r>
      <w:r w:rsidRPr="008779FC">
        <w:rPr>
          <w:rFonts w:ascii="Times New Roman" w:hAnsi="Times New Roman" w:cs="Times New Roman"/>
          <w:noProof/>
        </w:rPr>
        <w:t>[2,3]</w:t>
      </w:r>
      <w:r>
        <w:rPr>
          <w:rFonts w:ascii="Times New Roman" w:hAnsi="Times New Roman" w:cs="Times New Roman"/>
        </w:rPr>
        <w:fldChar w:fldCharType="end"/>
      </w:r>
      <w:r>
        <w:rPr>
          <w:rFonts w:ascii="Times New Roman" w:hAnsi="Times New Roman" w:cs="Times New Roman"/>
        </w:rPr>
        <w:t xml:space="preserve"> to capture the dispersal between nocturnal roosts (birds) and host-seeking behavior (mosquitoes)</w:t>
      </w:r>
      <w:r w:rsidR="009A61A6">
        <w:rPr>
          <w:rFonts w:ascii="Times New Roman" w:hAnsi="Times New Roman" w:cs="Times New Roman"/>
        </w:rPr>
        <w:t xml:space="preserve"> each night</w:t>
      </w:r>
      <w:r w:rsidR="0005678B">
        <w:rPr>
          <w:rFonts w:ascii="Times New Roman" w:hAnsi="Times New Roman" w:cs="Times New Roman"/>
        </w:rPr>
        <w:t>, similar to</w:t>
      </w:r>
      <w:r w:rsidR="001469D5">
        <w:rPr>
          <w:rFonts w:ascii="Times New Roman" w:hAnsi="Times New Roman" w:cs="Times New Roman"/>
        </w:rPr>
        <w:t xml:space="preserve"> </w:t>
      </w:r>
      <w:r w:rsidR="001469D5">
        <w:rPr>
          <w:rFonts w:ascii="Times New Roman" w:hAnsi="Times New Roman" w:cs="Times New Roman"/>
        </w:rPr>
        <w:fldChar w:fldCharType="begin" w:fldLock="1"/>
      </w:r>
      <w:r w:rsidR="00817F5D">
        <w:rPr>
          <w:rFonts w:ascii="Times New Roman" w:hAnsi="Times New Roman" w:cs="Times New Roman"/>
        </w:rPr>
        <w:instrText>ADDIN CSL_CITATION {"citationItems":[{"id":"ITEM-1","itemData":{"DOI":"Doi 10.1139/F06-013","ISBN":"0706-652x","abstract":"Community interactions alter the management actions necessary to recover overfished species using marine reserves. For example, in communities where a larger species preys on their juveniles' competitors, overfishing of the larger species may cause prey population expansion; subsequent increased competition for the juveniles of the over fished species may impede its recovery within reserves. We explore the implications of such community interactions for reserve design with a model of a subtidal rockfish (genus Sebastes) system from the Northeast Pacific Ocean within a no-take reserve. Ignoring community interactions, the model predicts that a reserve large enough for internal recruitment to counterbalance mortality will allow recovery of the overfished species. However, after incorporating community interactions, the model predicts that two alternative stable states exist: one where the overfished species dominates and one where the prey dominates. In the community model, the ability of an overfished system to recover to the equilibrium where the overfished species dominates after reserve establishment depends on the initial densities of both species, and a larger reserve is required for recovery to be possible.","author":[{"dropping-particle":"","family":"Baskett","given":"M L","non-dropping-particle":"","parse-names":false,"suffix":""},{"dropping-particle":"","family":"Yoklavich","given":"M","non-dropping-particle":"","parse-names":false,"suffix":""},{"dropping-particle":"","family":"Love","given":"M S","non-dropping-particle":"","parse-names":false,"suffix":""}],"container-title":"Canadian Journal of Fisheries and Aquatic Sciences","id":"ITEM-1","issue":"6","issued":{"date-parts":[["2006"]]},"language":"English","note":"053dt\nTimes Cited:31\nCited References Count:54","page":"1214-1229","title":"Predation, competition, and the recovery of overexploited fish stocks in marine reserves","type":"article-journal","volume":"63"},"uris":["http://www.mendeley.com/documents/?uuid=1c8addcf-c523-4b06-a497-d11e876bbe3b"]}],"mendeley":{"formattedCitation":"[4]","plainTextFormattedCitation":"[4]","previouslyFormattedCitation":"[4]"},"properties":{"noteIndex":0},"schema":"https://github.com/citation-style-language/schema/raw/master/csl-citation.json"}</w:instrText>
      </w:r>
      <w:r w:rsidR="001469D5">
        <w:rPr>
          <w:rFonts w:ascii="Times New Roman" w:hAnsi="Times New Roman" w:cs="Times New Roman"/>
        </w:rPr>
        <w:fldChar w:fldCharType="separate"/>
      </w:r>
      <w:r w:rsidR="00A5317B" w:rsidRPr="00A5317B">
        <w:rPr>
          <w:rFonts w:ascii="Times New Roman" w:hAnsi="Times New Roman" w:cs="Times New Roman"/>
          <w:noProof/>
        </w:rPr>
        <w:t>[4]</w:t>
      </w:r>
      <w:r w:rsidR="001469D5">
        <w:rPr>
          <w:rFonts w:ascii="Times New Roman" w:hAnsi="Times New Roman" w:cs="Times New Roman"/>
        </w:rPr>
        <w:fldChar w:fldCharType="end"/>
      </w:r>
      <w:r>
        <w:rPr>
          <w:rFonts w:ascii="Times New Roman" w:hAnsi="Times New Roman" w:cs="Times New Roman"/>
        </w:rPr>
        <w:t xml:space="preserve">. </w:t>
      </w:r>
      <w:r w:rsidR="00E3714F">
        <w:rPr>
          <w:rFonts w:ascii="Times New Roman" w:hAnsi="Times New Roman" w:cs="Times New Roman"/>
        </w:rPr>
        <w:t>We used a normal dispersal kernel</w:t>
      </w:r>
      <w:r w:rsidR="0063186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oMath>
      <w:r w:rsidR="00631869">
        <w:rPr>
          <w:rFonts w:ascii="Times New Roman" w:hAnsi="Times New Roman" w:cs="Times New Roman"/>
        </w:rPr>
        <w:t>,</w:t>
      </w:r>
      <w:r w:rsidR="00E90FC7">
        <w:rPr>
          <w:rFonts w:ascii="Times New Roman" w:hAnsi="Times New Roman" w:cs="Times New Roman"/>
        </w:rPr>
        <w:t xml:space="preserve"> to describe the movement of birds between nocturnal roosts and </w:t>
      </w:r>
      <w:r w:rsidR="00DD2E98">
        <w:rPr>
          <w:rFonts w:ascii="Times New Roman" w:hAnsi="Times New Roman" w:cs="Times New Roman"/>
        </w:rPr>
        <w:t>mosquitoes across the neighborhood.</w:t>
      </w:r>
      <w:r w:rsidR="00B84BEB">
        <w:rPr>
          <w:rFonts w:ascii="Times New Roman" w:hAnsi="Times New Roman" w:cs="Times New Roman"/>
        </w:rPr>
        <w:t xml:space="preserve"> </w:t>
      </w:r>
      <w:r w:rsidR="00E91247">
        <w:rPr>
          <w:rFonts w:ascii="Times New Roman" w:hAnsi="Times New Roman" w:cs="Times New Roman"/>
        </w:rPr>
        <w:t>The</w:t>
      </w:r>
      <w:r w:rsidR="00770F3F">
        <w:rPr>
          <w:rFonts w:ascii="Times New Roman" w:hAnsi="Times New Roman" w:cs="Times New Roman"/>
        </w:rPr>
        <w:t xml:space="preserve"> normal kernel </w:t>
      </w:r>
      <w:r w:rsidR="00E91247">
        <w:rPr>
          <w:rFonts w:ascii="Times New Roman" w:hAnsi="Times New Roman" w:cs="Times New Roman"/>
        </w:rPr>
        <w:t xml:space="preserve">for each group </w:t>
      </w:r>
      <w:r w:rsidR="009F366D">
        <w:rPr>
          <w:rFonts w:ascii="Times New Roman" w:hAnsi="Times New Roman" w:cs="Times New Roman"/>
        </w:rPr>
        <w:t xml:space="preserve">had a </w:t>
      </w:r>
      <w:r w:rsidR="00E47DFF">
        <w:rPr>
          <w:rFonts w:ascii="Times New Roman" w:hAnsi="Times New Roman" w:cs="Times New Roman"/>
        </w:rPr>
        <w:t>variance</w:t>
      </w:r>
      <w:r w:rsidR="000D76E7">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X</m:t>
            </m:r>
          </m:sub>
          <m:sup>
            <m:r>
              <w:rPr>
                <w:rFonts w:ascii="Cambria Math" w:hAnsi="Cambria Math" w:cs="Times New Roman"/>
              </w:rPr>
              <m:t>2</m:t>
            </m:r>
          </m:sup>
        </m:sSubSup>
      </m:oMath>
      <w:r w:rsidR="0050493E" w:rsidRPr="6231485F">
        <w:rPr>
          <w:rFonts w:ascii="Calibri" w:hAnsi="Calibri" w:cs="Calibri"/>
          <w:i/>
          <w:iCs/>
        </w:rPr>
        <w:t xml:space="preserve"> </w:t>
      </w:r>
      <w:r w:rsidR="00C23945">
        <w:rPr>
          <w:rFonts w:ascii="Times New Roman" w:hAnsi="Times New Roman" w:cs="Times New Roman"/>
        </w:rPr>
        <w:t xml:space="preserve">related to the observed mean dispersal distance of group </w:t>
      </w:r>
      <w:r w:rsidR="00C23945" w:rsidRPr="6231485F">
        <w:rPr>
          <w:rFonts w:ascii="Times New Roman" w:hAnsi="Times New Roman" w:cs="Times New Roman"/>
          <w:i/>
          <w:iCs/>
        </w:rPr>
        <w:t>X</w:t>
      </w:r>
      <w:r w:rsidR="004027ED">
        <w:rPr>
          <w:rFonts w:ascii="Times New Roman" w:hAnsi="Times New Roman" w:cs="Times New Roman"/>
        </w:rPr>
        <w:t xml:space="preserve"> </w:t>
      </w:r>
      <w:r w:rsidR="00AB1C05">
        <w:rPr>
          <w:rFonts w:ascii="Times New Roman" w:hAnsi="Times New Roman" w:cs="Times New Roman"/>
        </w:rPr>
        <w:t>(</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X</m:t>
            </m:r>
          </m:sub>
        </m:sSub>
      </m:oMath>
      <w:r w:rsidR="00AB1C05">
        <w:rPr>
          <w:rFonts w:ascii="Times New Roman" w:hAnsi="Times New Roman" w:cs="Times New Roman"/>
        </w:rPr>
        <w:t xml:space="preserve">) </w:t>
      </w:r>
      <w:r w:rsidR="004027ED">
        <w:rPr>
          <w:rFonts w:ascii="Times New Roman" w:hAnsi="Times New Roman" w:cs="Times New Roman"/>
        </w:rPr>
        <w:t xml:space="preserve">according to </w:t>
      </w:r>
      <w:r w:rsidR="004027ED">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{"citationItems":[{"id":"ITEM-1","itemData":{"DOI":"10.1006/tpbi.2002.1572","ISSN":"00405809","PMID":"12027616","abstract":"The concept of marine reserves as a method of improving management of fisheries is gaining momentum. While the list of benefits from reserves is frequently promoted, precise formulations of theory to support reserve design are not fully developed. To determine the size of reserves and the distances between reserves an understanding of the requirements for persistence of local populations is required. Unfortunately, conditions for persistence are poorly characterized, as are the larval dispersal patterns on which persistence depends. With the current paucity of information regarding meroplanktonic larval transport processes, understanding the robustness of theoretical results to larval dispersal is of key importance. From this formulation a broad range of dispersal patterns are analyzed. Larval dispersal is represented by a probability distribution that defines the fraction of successful settlers from an arbitrary location, the origin of the distribution, to any other location along the coast. While the effects of specific dispersal patterns have been investigated for invasion processes, critical habitat size and persistence issues have generally been addressed with only one or two dispersal types. To that end, we formulate models based on integrodifference equations that are spatially continuous and temporally discrete. We consider a range of dispersal distributions from leptokurtic to platykurtic. The effect of different dispersal patterns is considered for a single isolated reserve of varying size receiving no external larvae, as well as multiple reserves with varying degrees of connectivity. While different patterns result in quantitative differences in persistence, qualitatively similar effects across all patterns are seen in both single- and multiple reserve models. Persistence in an isolated reserve requires a size that is approximately twice the mean dispersal distance and regardless of the dispersal pattern the population in a patch is not persistent if the reserve size is reduced to just the mean dispersal distance. With an idealized coastline structure consisting of an infinite line of equally spaced reserves separated by regions of coastline in which reproduction is nil, the relative settlement as a function of the fraction of coastline and size of reserve is qualitatively very similar over a broad range of dispersal patterns. The upper limit for the minimum fraction of coastline held in reserve is about 40%. As the fraction of coastline is r…","author":[{"dropping-particle":"","family":"Lockwood","given":"Dale R.","non-dropping-particle":"","parse-names":false,"suffix":""},{"dropping-particle":"","family":"Hastings","given":"Alan","non-dropping-particle":"","parse-names":false,"suffix":""},{"dropping-particle":"","family":"Botsford","given":"Louis W.","non-dropping-particle":"","parse-names":false,"suffix":""}],"container-title":"Theoretical Population Biology","id":"ITEM-1","issue":"3","issued":{"date-parts":[["2002"]]},"page":"297-309","title":"The effects of dispersal patterns on marine reserves: does the tail wag the dog?","type":"article-journal","volume":"61"},"uris":["http://www.mendeley.com/documents/?uuid=8d62d1b1-ef00-411a-badd-e24fb4d6ba22"]}],"mendeley":{"formattedCitation":"[5]","plainTextFormattedCitation":"[5]"},"properties":{"noteIndex":0},"schema":"https://github.com/citation-style-language/schema/raw/master/csl-citation.json"}</w:instrText>
      </w:r>
      <w:r w:rsidR="004027ED">
        <w:rPr>
          <w:rFonts w:ascii="Times New Roman" w:hAnsi="Times New Roman" w:cs="Times New Roman"/>
        </w:rPr>
        <w:fldChar w:fldCharType="separate"/>
      </w:r>
      <w:r w:rsidR="004027ED" w:rsidRPr="004027ED">
        <w:rPr>
          <w:rFonts w:ascii="Times New Roman" w:hAnsi="Times New Roman" w:cs="Times New Roman"/>
          <w:noProof/>
        </w:rPr>
        <w:t>[5]</w:t>
      </w:r>
      <w:r w:rsidR="004027ED">
        <w:rPr>
          <w:rFonts w:ascii="Times New Roman" w:hAnsi="Times New Roman" w:cs="Times New Roman"/>
        </w:rPr>
        <w:fldChar w:fldCharType="end"/>
      </w:r>
      <w:r w:rsidR="00AB1C05">
        <w:rPr>
          <w:rFonts w:ascii="Times New Roman" w:hAnsi="Times New Roman" w:cs="Times New Roman"/>
        </w:rPr>
        <w:t>,</w:t>
      </w:r>
      <w:r w:rsidR="00B603BA">
        <w:rPr>
          <w:rFonts w:ascii="Times New Roman" w:hAnsi="Times New Roman" w:cs="Times New Roman"/>
        </w:rPr>
        <w:t xml:space="preserve"> such that</w:t>
      </w:r>
    </w:p>
    <w:p w14:paraId="48D26A7E" w14:textId="33C21BAE" w:rsidR="003613D6" w:rsidRPr="004027ED" w:rsidRDefault="00000000" w:rsidP="00D90512">
      <w:pPr>
        <w:jc w:val="center"/>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X</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sz w:val="24"/>
                <w:szCs w:val="24"/>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 xml:space="preserve">x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rPr>
                      <m:t>D</m:t>
                    </m:r>
                  </m:e>
                </m:acc>
              </m:e>
              <m:sup>
                <m:r>
                  <w:rPr>
                    <w:rFonts w:ascii="Cambria Math" w:hAnsi="Cambria Math" w:cs="Times New Roman"/>
                  </w:rPr>
                  <m:t>2</m:t>
                </m:r>
              </m:sup>
            </m:sSup>
          </m:e>
          <m:sub>
            <m:r>
              <w:rPr>
                <w:rFonts w:ascii="Cambria Math" w:hAnsi="Cambria Math" w:cs="Times New Roman"/>
              </w:rPr>
              <m:t>X</m:t>
            </m:r>
          </m:sub>
        </m:sSub>
      </m:oMath>
      <w:r w:rsidR="00D90512">
        <w:rPr>
          <w:rFonts w:ascii="Times New Roman" w:eastAsiaTheme="minorEastAsia" w:hAnsi="Times New Roman" w:cs="Times New Roman"/>
          <w:sz w:val="24"/>
          <w:szCs w:val="24"/>
        </w:rPr>
        <w:t>.</w:t>
      </w:r>
    </w:p>
    <w:p w14:paraId="560DA7A1" w14:textId="28D2A686" w:rsidR="00E80CCB" w:rsidRDefault="00DA5EA5" w:rsidP="00786971">
      <w:pPr>
        <w:rPr>
          <w:rFonts w:ascii="Times New Roman" w:hAnsi="Times New Roman" w:cs="Times New Roman"/>
        </w:rPr>
      </w:pPr>
      <w:r w:rsidRPr="6231485F">
        <w:rPr>
          <w:rFonts w:ascii="Times New Roman" w:hAnsi="Times New Roman" w:cs="Times New Roman"/>
        </w:rPr>
        <w:t xml:space="preserve">Considering </w:t>
      </w:r>
      <w:r w:rsidR="00767879" w:rsidRPr="6231485F">
        <w:rPr>
          <w:rFonts w:ascii="Times New Roman" w:hAnsi="Times New Roman" w:cs="Times New Roman"/>
        </w:rPr>
        <w:t>all</w:t>
      </w:r>
      <w:r w:rsidR="00F325D1" w:rsidRPr="6231485F">
        <w:rPr>
          <w:rFonts w:ascii="Times New Roman" w:hAnsi="Times New Roman" w:cs="Times New Roman"/>
        </w:rPr>
        <w:t xml:space="preserve"> </w:t>
      </w:r>
      <w:r w:rsidR="00904086" w:rsidRPr="6231485F">
        <w:rPr>
          <w:rFonts w:ascii="Times New Roman" w:hAnsi="Times New Roman" w:cs="Times New Roman"/>
        </w:rPr>
        <w:t xml:space="preserve">combinations of </w:t>
      </w:r>
      <w:r w:rsidR="00F325D1" w:rsidRPr="6231485F">
        <w:rPr>
          <w:rFonts w:ascii="Times New Roman" w:hAnsi="Times New Roman" w:cs="Times New Roman"/>
        </w:rPr>
        <w:t>treated</w:t>
      </w:r>
      <w:r w:rsidR="00767879" w:rsidRPr="6231485F">
        <w:rPr>
          <w:rFonts w:ascii="Times New Roman" w:hAnsi="Times New Roman" w:cs="Times New Roman"/>
        </w:rPr>
        <w:t xml:space="preserve"> (</w:t>
      </w:r>
      <w:r w:rsidR="00767879" w:rsidRPr="6231485F">
        <w:rPr>
          <w:rFonts w:ascii="Times New Roman" w:hAnsi="Times New Roman" w:cs="Times New Roman"/>
          <w:i/>
          <w:iCs/>
        </w:rPr>
        <w:t>d</w:t>
      </w:r>
      <w:r w:rsidR="00767879" w:rsidRPr="6231485F">
        <w:rPr>
          <w:rFonts w:ascii="Times New Roman" w:hAnsi="Times New Roman" w:cs="Times New Roman"/>
          <w:i/>
          <w:iCs/>
          <w:vertAlign w:val="subscript"/>
        </w:rPr>
        <w:t>i</w:t>
      </w:r>
      <w:r w:rsidR="00767879" w:rsidRPr="6231485F">
        <w:rPr>
          <w:rFonts w:ascii="Times New Roman" w:hAnsi="Times New Roman" w:cs="Times New Roman"/>
        </w:rPr>
        <w:t>)</w:t>
      </w:r>
      <w:r w:rsidR="00F325D1" w:rsidRPr="6231485F">
        <w:rPr>
          <w:rFonts w:ascii="Times New Roman" w:hAnsi="Times New Roman" w:cs="Times New Roman"/>
        </w:rPr>
        <w:t xml:space="preserve"> and untreated</w:t>
      </w:r>
      <w:r w:rsidR="00767879" w:rsidRPr="6231485F">
        <w:rPr>
          <w:rFonts w:ascii="Times New Roman" w:hAnsi="Times New Roman" w:cs="Times New Roman"/>
        </w:rPr>
        <w:t xml:space="preserve"> (</w:t>
      </w:r>
      <w:proofErr w:type="spellStart"/>
      <w:r w:rsidR="00767879" w:rsidRPr="6231485F">
        <w:rPr>
          <w:rFonts w:ascii="Times New Roman" w:hAnsi="Times New Roman" w:cs="Times New Roman"/>
          <w:i/>
          <w:iCs/>
        </w:rPr>
        <w:t>c</w:t>
      </w:r>
      <w:r w:rsidR="00767879" w:rsidRPr="6231485F">
        <w:rPr>
          <w:rFonts w:ascii="Times New Roman" w:hAnsi="Times New Roman" w:cs="Times New Roman"/>
          <w:i/>
          <w:iCs/>
          <w:vertAlign w:val="subscript"/>
        </w:rPr>
        <w:t>j</w:t>
      </w:r>
      <w:proofErr w:type="spellEnd"/>
      <w:r w:rsidR="00767879" w:rsidRPr="6231485F">
        <w:rPr>
          <w:rFonts w:ascii="Times New Roman" w:hAnsi="Times New Roman" w:cs="Times New Roman"/>
        </w:rPr>
        <w:t>)</w:t>
      </w:r>
      <w:r w:rsidR="00F325D1" w:rsidRPr="6231485F">
        <w:rPr>
          <w:rFonts w:ascii="Times New Roman" w:hAnsi="Times New Roman" w:cs="Times New Roman"/>
        </w:rPr>
        <w:t xml:space="preserve"> properties in th</w:t>
      </w:r>
      <w:r w:rsidR="00767879" w:rsidRPr="6231485F">
        <w:rPr>
          <w:rFonts w:ascii="Times New Roman" w:hAnsi="Times New Roman" w:cs="Times New Roman"/>
        </w:rPr>
        <w:t>e</w:t>
      </w:r>
      <w:r w:rsidR="00F325D1" w:rsidRPr="6231485F">
        <w:rPr>
          <w:rFonts w:ascii="Times New Roman" w:hAnsi="Times New Roman" w:cs="Times New Roman"/>
        </w:rPr>
        <w:t xml:space="preserve"> neighborhood, </w:t>
      </w:r>
      <w:r w:rsidR="004D59FE" w:rsidRPr="6231485F">
        <w:rPr>
          <w:rFonts w:ascii="Times New Roman" w:hAnsi="Times New Roman" w:cs="Times New Roman"/>
        </w:rPr>
        <w:t xml:space="preserve">movement </w:t>
      </w:r>
      <w:r w:rsidR="00767879" w:rsidRPr="6231485F">
        <w:rPr>
          <w:rFonts w:ascii="Times New Roman" w:hAnsi="Times New Roman" w:cs="Times New Roman"/>
        </w:rPr>
        <w:t xml:space="preserve">for group </w:t>
      </w:r>
      <w:r w:rsidR="00767879" w:rsidRPr="6231485F">
        <w:rPr>
          <w:rFonts w:ascii="Times New Roman" w:hAnsi="Times New Roman" w:cs="Times New Roman"/>
          <w:i/>
          <w:iCs/>
        </w:rPr>
        <w:t>X</w:t>
      </w:r>
      <w:r w:rsidR="003D751E" w:rsidRPr="6231485F">
        <w:rPr>
          <w:rFonts w:ascii="Times New Roman" w:hAnsi="Times New Roman" w:cs="Times New Roman"/>
        </w:rPr>
        <w:t xml:space="preserve"> </w:t>
      </w:r>
      <w:r w:rsidR="004D59FE" w:rsidRPr="6231485F">
        <w:rPr>
          <w:rFonts w:ascii="Times New Roman" w:hAnsi="Times New Roman" w:cs="Times New Roman"/>
        </w:rPr>
        <w:t xml:space="preserve">originating </w:t>
      </w:r>
      <w:r w:rsidR="003910B9" w:rsidRPr="6231485F">
        <w:rPr>
          <w:rFonts w:ascii="Times New Roman" w:hAnsi="Times New Roman" w:cs="Times New Roman"/>
        </w:rPr>
        <w:t>from</w:t>
      </w:r>
      <w:r w:rsidR="000519B4" w:rsidRPr="6231485F">
        <w:rPr>
          <w:rFonts w:ascii="Times New Roman" w:hAnsi="Times New Roman" w:cs="Times New Roman"/>
        </w:rPr>
        <w:t xml:space="preserve"> location</w:t>
      </w:r>
      <w:r w:rsidR="003308CA" w:rsidRPr="6231485F">
        <w:rPr>
          <w:rFonts w:ascii="Times New Roman" w:hAnsi="Times New Roman" w:cs="Times New Roman"/>
        </w:rPr>
        <w:t xml:space="preserve"> </w:t>
      </w:r>
      <w:r w:rsidR="003048F5" w:rsidRPr="6231485F">
        <w:rPr>
          <w:rFonts w:ascii="Times New Roman" w:hAnsi="Times New Roman" w:cs="Times New Roman"/>
          <w:i/>
          <w:iCs/>
        </w:rPr>
        <w:t>x</w:t>
      </w:r>
      <w:r w:rsidR="003048F5" w:rsidRPr="6231485F">
        <w:rPr>
          <w:rFonts w:ascii="Times New Roman" w:hAnsi="Times New Roman" w:cs="Times New Roman"/>
        </w:rPr>
        <w:t xml:space="preserve"> in </w:t>
      </w:r>
      <w:r w:rsidR="003308CA" w:rsidRPr="6231485F">
        <w:rPr>
          <w:rFonts w:ascii="Times New Roman" w:hAnsi="Times New Roman" w:cs="Times New Roman"/>
        </w:rPr>
        <w:t xml:space="preserve">treated lot </w:t>
      </w:r>
      <w:proofErr w:type="spellStart"/>
      <w:r w:rsidR="00904086" w:rsidRPr="6231485F">
        <w:rPr>
          <w:rFonts w:ascii="Times New Roman" w:hAnsi="Times New Roman" w:cs="Times New Roman"/>
          <w:i/>
          <w:iCs/>
        </w:rPr>
        <w:t>i</w:t>
      </w:r>
      <w:proofErr w:type="spellEnd"/>
      <w:r w:rsidR="00904086" w:rsidRPr="6231485F">
        <w:rPr>
          <w:rFonts w:ascii="Times New Roman" w:hAnsi="Times New Roman" w:cs="Times New Roman"/>
        </w:rPr>
        <w:t xml:space="preserve"> </w:t>
      </w:r>
      <w:r w:rsidR="005658D8" w:rsidRPr="6231485F">
        <w:rPr>
          <w:rFonts w:ascii="Times New Roman" w:hAnsi="Times New Roman" w:cs="Times New Roman"/>
        </w:rPr>
        <w:t xml:space="preserve">and ending at </w:t>
      </w:r>
      <w:r w:rsidR="000519B4" w:rsidRPr="6231485F">
        <w:rPr>
          <w:rFonts w:ascii="Times New Roman" w:hAnsi="Times New Roman" w:cs="Times New Roman"/>
        </w:rPr>
        <w:t xml:space="preserve">location </w:t>
      </w:r>
      <w:r w:rsidR="005658D8" w:rsidRPr="6231485F">
        <w:rPr>
          <w:rFonts w:ascii="Times New Roman" w:hAnsi="Times New Roman" w:cs="Times New Roman"/>
          <w:i/>
          <w:iCs/>
        </w:rPr>
        <w:t>y</w:t>
      </w:r>
      <w:r w:rsidR="005658D8" w:rsidRPr="6231485F">
        <w:rPr>
          <w:rFonts w:ascii="Times New Roman" w:hAnsi="Times New Roman" w:cs="Times New Roman"/>
        </w:rPr>
        <w:t xml:space="preserve"> in untreated lot </w:t>
      </w:r>
      <w:r w:rsidR="00904086" w:rsidRPr="6231485F">
        <w:rPr>
          <w:rFonts w:ascii="Times New Roman" w:hAnsi="Times New Roman" w:cs="Times New Roman"/>
          <w:i/>
          <w:iCs/>
        </w:rPr>
        <w:t>j</w:t>
      </w:r>
      <w:r w:rsidR="00D948B3" w:rsidRPr="6231485F">
        <w:rPr>
          <w:rFonts w:ascii="Times New Roman" w:hAnsi="Times New Roman" w:cs="Times New Roman"/>
        </w:rPr>
        <w:t xml:space="preserve"> </w:t>
      </w:r>
      <w:r w:rsidR="35C4767E" w:rsidRPr="6231485F">
        <w:rPr>
          <w:rFonts w:ascii="Times New Roman" w:hAnsi="Times New Roman" w:cs="Times New Roman"/>
        </w:rPr>
        <w:t>was</w:t>
      </w:r>
      <w:r w:rsidR="00D948B3" w:rsidRPr="6231485F">
        <w:rPr>
          <w:rFonts w:ascii="Times New Roman" w:hAnsi="Times New Roman" w:cs="Times New Roman"/>
        </w:rPr>
        <w:t xml:space="preserve"> defined as </w:t>
      </w:r>
    </w:p>
    <w:p w14:paraId="576A35F6" w14:textId="3112CFC1" w:rsidR="00D948B3" w:rsidRPr="00F167A8" w:rsidRDefault="00000000" w:rsidP="001B40B1">
      <w:pPr>
        <w:jc w:val="center"/>
        <w:rPr>
          <w:rFonts w:ascii="Times New Roman" w:eastAsiaTheme="minorEastAsia" w:hAnsi="Times New Roman" w:cs="Times New Roman"/>
        </w:rPr>
      </w:pPr>
      <m:oMath>
        <m:nary>
          <m:naryPr>
            <m:chr m:val="∑"/>
            <m:limLoc m:val="undOvr"/>
            <m:supHide m:val="1"/>
            <m:ctrlPr>
              <w:rPr>
                <w:rFonts w:ascii="Cambria Math" w:hAnsi="Cambria Math" w:cs="Times New Roman"/>
                <w:i/>
              </w:rPr>
            </m:ctrlPr>
          </m:naryPr>
          <m:sub>
            <m:r>
              <w:rPr>
                <w:rFonts w:ascii="Cambria Math" w:hAnsi="Cambria Math" w:cs="Times New Roman"/>
              </w:rPr>
              <m:t>i, j</m:t>
            </m:r>
          </m:sub>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m:t>
                    </m:r>
                  </m:sub>
                </m:sSub>
              </m:sub>
              <m:sup>
                <m:r>
                  <w:rPr>
                    <w:rFonts w:ascii="Cambria Math" w:hAnsi="Cambria Math" w:cs="Times New Roman"/>
                  </w:rPr>
                  <m:t xml:space="preserve"> </m:t>
                </m:r>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dxdy</m:t>
                    </m:r>
                  </m:e>
                </m:nary>
              </m:e>
            </m:nary>
          </m:e>
        </m:nary>
      </m:oMath>
      <w:r w:rsidR="00BA47DB">
        <w:rPr>
          <w:rFonts w:ascii="Times New Roman" w:eastAsiaTheme="minorEastAsia" w:hAnsi="Times New Roman" w:cs="Times New Roman"/>
        </w:rPr>
        <w:t>.</w:t>
      </w:r>
    </w:p>
    <w:p w14:paraId="02019BF1" w14:textId="344B2E5C" w:rsidR="00A85CCA" w:rsidRDefault="00BA47DB" w:rsidP="6231485F">
      <w:pPr>
        <w:rPr>
          <w:rFonts w:ascii="Times New Roman" w:eastAsiaTheme="minorEastAsia" w:hAnsi="Times New Roman" w:cs="Times New Roman"/>
        </w:rPr>
      </w:pPr>
      <w:r w:rsidRPr="6231485F">
        <w:rPr>
          <w:rFonts w:ascii="Times New Roman" w:eastAsiaTheme="minorEastAsia" w:hAnsi="Times New Roman" w:cs="Times New Roman"/>
        </w:rPr>
        <w:t>Dividing th</w:t>
      </w:r>
      <w:r w:rsidR="00FA3EA8" w:rsidRPr="6231485F">
        <w:rPr>
          <w:rFonts w:ascii="Times New Roman" w:eastAsiaTheme="minorEastAsia" w:hAnsi="Times New Roman" w:cs="Times New Roman"/>
        </w:rPr>
        <w:t>e above</w:t>
      </w:r>
      <w:r w:rsidRPr="6231485F">
        <w:rPr>
          <w:rFonts w:ascii="Times New Roman" w:eastAsiaTheme="minorEastAsia" w:hAnsi="Times New Roman" w:cs="Times New Roman"/>
        </w:rPr>
        <w:t xml:space="preserve"> by all movements </w:t>
      </w:r>
      <w:r w:rsidR="003D3056" w:rsidRPr="6231485F">
        <w:rPr>
          <w:rFonts w:ascii="Times New Roman" w:eastAsiaTheme="minorEastAsia" w:hAnsi="Times New Roman" w:cs="Times New Roman"/>
        </w:rPr>
        <w:t>in the neighborhood (</w:t>
      </w:r>
      <w:r w:rsidR="003D3056" w:rsidRPr="6231485F">
        <w:rPr>
          <w:rFonts w:ascii="Times New Roman" w:eastAsiaTheme="minorEastAsia" w:hAnsi="Times New Roman" w:cs="Times New Roman"/>
          <w:i/>
          <w:iCs/>
        </w:rPr>
        <w:t>D</w:t>
      </w:r>
      <w:r w:rsidR="003D3056" w:rsidRPr="6231485F">
        <w:rPr>
          <w:rFonts w:ascii="Times New Roman" w:eastAsiaTheme="minorEastAsia" w:hAnsi="Times New Roman" w:cs="Times New Roman"/>
        </w:rPr>
        <w:t xml:space="preserve">) </w:t>
      </w:r>
      <w:r w:rsidRPr="6231485F">
        <w:rPr>
          <w:rFonts w:ascii="Times New Roman" w:eastAsiaTheme="minorEastAsia" w:hAnsi="Times New Roman" w:cs="Times New Roman"/>
        </w:rPr>
        <w:t xml:space="preserve">originating from treated </w:t>
      </w:r>
      <w:r w:rsidR="00A16BA8" w:rsidRPr="6231485F">
        <w:rPr>
          <w:rFonts w:ascii="Times New Roman" w:eastAsiaTheme="minorEastAsia" w:hAnsi="Times New Roman" w:cs="Times New Roman"/>
        </w:rPr>
        <w:t>lot</w:t>
      </w:r>
      <w:r w:rsidRPr="6231485F">
        <w:rPr>
          <w:rFonts w:ascii="Times New Roman" w:eastAsiaTheme="minorEastAsia" w:hAnsi="Times New Roman" w:cs="Times New Roman"/>
        </w:rPr>
        <w:t>s</w:t>
      </w:r>
      <w:r w:rsidR="00A85CCA" w:rsidRPr="6231485F">
        <w:rPr>
          <w:rFonts w:ascii="Times New Roman" w:eastAsiaTheme="minorEastAsia" w:hAnsi="Times New Roman" w:cs="Times New Roman"/>
        </w:rPr>
        <w:t xml:space="preserve">, the movement probability for group </w:t>
      </w:r>
      <w:r w:rsidR="00A85CCA" w:rsidRPr="6231485F">
        <w:rPr>
          <w:rFonts w:ascii="Times New Roman" w:eastAsiaTheme="minorEastAsia" w:hAnsi="Times New Roman" w:cs="Times New Roman"/>
          <w:i/>
          <w:iCs/>
        </w:rPr>
        <w:t xml:space="preserve">X </w:t>
      </w:r>
      <w:r w:rsidR="00A16BA8" w:rsidRPr="6231485F">
        <w:rPr>
          <w:rFonts w:ascii="Times New Roman" w:eastAsiaTheme="minorEastAsia" w:hAnsi="Times New Roman" w:cs="Times New Roman"/>
        </w:rPr>
        <w:t xml:space="preserve">from treated to untreated patches </w:t>
      </w:r>
      <w:r w:rsidR="6F4313EB" w:rsidRPr="6231485F">
        <w:rPr>
          <w:rFonts w:ascii="Times New Roman" w:eastAsiaTheme="minorEastAsia" w:hAnsi="Times New Roman" w:cs="Times New Roman"/>
        </w:rPr>
        <w:t>was</w:t>
      </w:r>
    </w:p>
    <w:p w14:paraId="732361D8" w14:textId="41EF0390" w:rsidR="00F167A8" w:rsidRPr="00820BBC" w:rsidRDefault="00000000" w:rsidP="001B40B1">
      <w:pPr>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X</m:t>
            </m:r>
          </m:sub>
        </m:sSub>
        <m:r>
          <w:rPr>
            <w:rFonts w:ascii="Cambria Math" w:eastAsiaTheme="minorEastAsia" w:hAnsi="Cambria Math" w:cs="Times New Roman"/>
          </w:rPr>
          <m:t>=</m:t>
        </m:r>
        <m:f>
          <m:fPr>
            <m:ctrlPr>
              <w:rPr>
                <w:rFonts w:ascii="Cambria Math" w:eastAsiaTheme="minorEastAsia" w:hAnsi="Cambria Math" w:cs="Times New Roman"/>
                <w:i/>
              </w:rPr>
            </m:ctrlPr>
          </m:fPr>
          <m:num>
            <m:nary>
              <m:naryPr>
                <m:chr m:val="∑"/>
                <m:limLoc m:val="undOvr"/>
                <m:supHide m:val="1"/>
                <m:ctrlPr>
                  <w:rPr>
                    <w:rFonts w:ascii="Cambria Math" w:hAnsi="Cambria Math" w:cs="Times New Roman"/>
                    <w:i/>
                  </w:rPr>
                </m:ctrlPr>
              </m:naryPr>
              <m:sub>
                <m:r>
                  <w:rPr>
                    <w:rFonts w:ascii="Cambria Math" w:hAnsi="Cambria Math" w:cs="Times New Roman"/>
                  </w:rPr>
                  <m:t>i, j</m:t>
                </m:r>
              </m:sub>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m:t>
                        </m:r>
                      </m:sub>
                    </m:sSub>
                  </m:sub>
                  <m:sup>
                    <m:r>
                      <w:rPr>
                        <w:rFonts w:ascii="Cambria Math" w:hAnsi="Cambria Math" w:cs="Times New Roman"/>
                      </w:rPr>
                      <m:t xml:space="preserve"> </m:t>
                    </m:r>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dxdy</m:t>
                        </m:r>
                      </m:e>
                    </m:nary>
                  </m:e>
                </m:nary>
              </m:e>
            </m:nary>
          </m:num>
          <m:den>
            <m:nary>
              <m:naryPr>
                <m:limLoc m:val="undOvr"/>
                <m:ctrlPr>
                  <w:rPr>
                    <w:rFonts w:ascii="Cambria Math" w:hAnsi="Cambria Math" w:cs="Times New Roman"/>
                    <w:i/>
                  </w:rPr>
                </m:ctrlPr>
              </m:naryPr>
              <m:sub>
                <m:r>
                  <w:rPr>
                    <w:rFonts w:ascii="Cambria Math" w:hAnsi="Cambria Math" w:cs="Times New Roman"/>
                  </w:rPr>
                  <m:t>D</m:t>
                </m:r>
              </m:sub>
              <m:sup>
                <m:r>
                  <w:rPr>
                    <w:rFonts w:ascii="Cambria Math" w:hAnsi="Cambria Math" w:cs="Times New Roman"/>
                  </w:rPr>
                  <m:t xml:space="preserve"> </m:t>
                </m:r>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dxdy</m:t>
                    </m:r>
                  </m:e>
                </m:nary>
              </m:e>
            </m:nary>
          </m:den>
        </m:f>
      </m:oMath>
      <w:r w:rsidR="009E5CA4">
        <w:rPr>
          <w:rFonts w:ascii="Times New Roman" w:eastAsiaTheme="minorEastAsia" w:hAnsi="Times New Roman" w:cs="Times New Roman"/>
        </w:rPr>
        <w:t>.</w:t>
      </w:r>
    </w:p>
    <w:p w14:paraId="53DD8712" w14:textId="669CB8ED" w:rsidR="00F77F18" w:rsidRPr="00DC14A1" w:rsidRDefault="005229D0" w:rsidP="00786971">
      <w:pPr>
        <w:rPr>
          <w:rFonts w:ascii="Times New Roman" w:hAnsi="Times New Roman" w:cs="Times New Roman"/>
        </w:rPr>
      </w:pPr>
      <w:r>
        <w:rPr>
          <w:rFonts w:ascii="Times New Roman" w:hAnsi="Times New Roman" w:cs="Times New Roman"/>
        </w:rPr>
        <w:t xml:space="preserve">To </w:t>
      </w:r>
      <w:r w:rsidR="00E54DAA">
        <w:rPr>
          <w:rFonts w:ascii="Times New Roman" w:hAnsi="Times New Roman" w:cs="Times New Roman"/>
        </w:rPr>
        <w:t>represent</w:t>
      </w:r>
      <w:r>
        <w:rPr>
          <w:rFonts w:ascii="Times New Roman" w:hAnsi="Times New Roman" w:cs="Times New Roman"/>
        </w:rPr>
        <w:t xml:space="preserve"> </w:t>
      </w:r>
      <w:r w:rsidR="00901B0D">
        <w:rPr>
          <w:rFonts w:ascii="Times New Roman" w:hAnsi="Times New Roman" w:cs="Times New Roman"/>
        </w:rPr>
        <w:t>observed</w:t>
      </w:r>
      <w:r w:rsidR="00EE709A">
        <w:rPr>
          <w:rFonts w:ascii="Times New Roman" w:hAnsi="Times New Roman" w:cs="Times New Roman"/>
        </w:rPr>
        <w:t xml:space="preserve"> </w:t>
      </w:r>
      <w:r w:rsidR="00EE709A" w:rsidRPr="00B60CF0">
        <w:rPr>
          <w:rFonts w:ascii="Times New Roman" w:hAnsi="Times New Roman" w:cs="Times New Roman"/>
        </w:rPr>
        <w:t>bird homing dynamics to roosts and prevent complete mixing throughout the area</w:t>
      </w:r>
      <w:r w:rsidR="00901B0D">
        <w:rPr>
          <w:rFonts w:ascii="Times New Roman" w:hAnsi="Times New Roman" w:cs="Times New Roman"/>
        </w:rPr>
        <w:t xml:space="preserve">, we </w:t>
      </w:r>
      <w:r w:rsidR="3ED30965" w:rsidRPr="00B60CF0">
        <w:rPr>
          <w:rFonts w:ascii="Times New Roman" w:hAnsi="Times New Roman" w:cs="Times New Roman"/>
        </w:rPr>
        <w:t xml:space="preserve">parameterized </w:t>
      </w:r>
      <w:r w:rsidR="00B60CF0" w:rsidRPr="00B60CF0">
        <w:rPr>
          <w:rFonts w:ascii="Times New Roman" w:hAnsi="Times New Roman" w:cs="Times New Roman"/>
        </w:rPr>
        <w:t xml:space="preserve">dispersal according to a normal kernel </w:t>
      </w:r>
      <w:r w:rsidR="07724BEC">
        <w:rPr>
          <w:rFonts w:ascii="Times New Roman" w:hAnsi="Times New Roman" w:cs="Times New Roman"/>
        </w:rPr>
        <w:t>truncated to the</w:t>
      </w:r>
      <w:r w:rsidR="00EE709A">
        <w:rPr>
          <w:rFonts w:ascii="Times New Roman" w:hAnsi="Times New Roman" w:cs="Times New Roman"/>
        </w:rPr>
        <w:t xml:space="preserve"> “nocturnal </w:t>
      </w:r>
      <w:r w:rsidR="00B60CF0" w:rsidRPr="00B60CF0">
        <w:rPr>
          <w:rFonts w:ascii="Times New Roman" w:hAnsi="Times New Roman" w:cs="Times New Roman"/>
        </w:rPr>
        <w:t>home range</w:t>
      </w:r>
      <w:r w:rsidR="00EE709A">
        <w:rPr>
          <w:rFonts w:ascii="Times New Roman" w:hAnsi="Times New Roman" w:cs="Times New Roman"/>
        </w:rPr>
        <w:t>”</w:t>
      </w:r>
      <w:r w:rsidR="003977F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X</m:t>
            </m:r>
          </m:sub>
        </m:sSub>
      </m:oMath>
      <w:r w:rsidR="003977FC">
        <w:rPr>
          <w:rFonts w:ascii="Times New Roman" w:hAnsi="Times New Roman" w:cs="Times New Roman"/>
        </w:rPr>
        <w:t>)</w:t>
      </w:r>
      <w:r w:rsidR="003C7A51">
        <w:rPr>
          <w:rFonts w:ascii="Times New Roman" w:hAnsi="Times New Roman" w:cs="Times New Roman"/>
        </w:rPr>
        <w:t>, or the full area utilized for nocturnal roosting</w:t>
      </w:r>
      <w:r w:rsidR="003C7A51" w:rsidRPr="7D3D787C">
        <w:rPr>
          <w:rFonts w:ascii="Times New Roman" w:eastAsiaTheme="minorEastAsia" w:hAnsi="Times New Roman" w:cs="Times New Roman"/>
        </w:rPr>
        <w:t xml:space="preserve"> by competent and incompetent birds</w:t>
      </w:r>
      <w:r w:rsidR="003977FC">
        <w:rPr>
          <w:rFonts w:ascii="Times New Roman" w:hAnsi="Times New Roman" w:cs="Times New Roman"/>
        </w:rPr>
        <w:t>.</w:t>
      </w:r>
      <w:r w:rsidR="003C7A51">
        <w:rPr>
          <w:rFonts w:ascii="Times New Roman" w:hAnsi="Times New Roman" w:cs="Times New Roman"/>
        </w:rPr>
        <w:t xml:space="preserve"> </w:t>
      </w:r>
      <w:r w:rsidR="004647AD">
        <w:rPr>
          <w:rFonts w:ascii="Times New Roman" w:hAnsi="Times New Roman" w:cs="Times New Roman"/>
        </w:rPr>
        <w:t>Thus, dispersal for</w:t>
      </w:r>
      <w:r w:rsidR="003A4EF3" w:rsidRPr="7D3D787C">
        <w:rPr>
          <w:rFonts w:ascii="Times New Roman" w:eastAsiaTheme="minorEastAsia" w:hAnsi="Times New Roman" w:cs="Times New Roman"/>
        </w:rPr>
        <w:t xml:space="preserve"> </w:t>
      </w:r>
      <w:r w:rsidR="00DA104C" w:rsidRPr="7D3D787C">
        <w:rPr>
          <w:rFonts w:ascii="Times New Roman" w:eastAsiaTheme="minorEastAsia" w:hAnsi="Times New Roman" w:cs="Times New Roman"/>
        </w:rPr>
        <w:t xml:space="preserve">competent </w:t>
      </w:r>
      <w:r w:rsidR="002161CC">
        <w:rPr>
          <w:rFonts w:ascii="Times New Roman" w:eastAsiaTheme="minorEastAsia" w:hAnsi="Times New Roman" w:cs="Times New Roman"/>
        </w:rPr>
        <w:t>(</w:t>
      </w:r>
      <w:r w:rsidR="002161CC">
        <w:rPr>
          <w:rFonts w:ascii="Times New Roman" w:eastAsiaTheme="minorEastAsia" w:hAnsi="Times New Roman" w:cs="Times New Roman"/>
          <w:i/>
          <w:iCs/>
        </w:rPr>
        <w:t>X</w:t>
      </w:r>
      <w:r w:rsidR="00B80029">
        <w:rPr>
          <w:rFonts w:ascii="Times New Roman" w:eastAsiaTheme="minorEastAsia" w:hAnsi="Times New Roman" w:cs="Times New Roman"/>
        </w:rPr>
        <w:t>=</w:t>
      </w:r>
      <w:r w:rsidR="00B80029">
        <w:rPr>
          <w:rFonts w:ascii="Times New Roman" w:eastAsiaTheme="minorEastAsia" w:hAnsi="Times New Roman" w:cs="Times New Roman"/>
          <w:i/>
          <w:iCs/>
        </w:rPr>
        <w:t xml:space="preserve">CT </w:t>
      </w:r>
      <w:r w:rsidR="00B80029">
        <w:rPr>
          <w:rFonts w:ascii="Times New Roman" w:eastAsiaTheme="minorEastAsia" w:hAnsi="Times New Roman" w:cs="Times New Roman"/>
        </w:rPr>
        <w:t xml:space="preserve">and </w:t>
      </w:r>
      <w:r w:rsidR="00B80029">
        <w:rPr>
          <w:rFonts w:ascii="Times New Roman" w:eastAsiaTheme="minorEastAsia" w:hAnsi="Times New Roman" w:cs="Times New Roman"/>
          <w:i/>
          <w:iCs/>
        </w:rPr>
        <w:t>CU</w:t>
      </w:r>
      <w:r w:rsidR="002161CC">
        <w:rPr>
          <w:rFonts w:ascii="Times New Roman" w:eastAsiaTheme="minorEastAsia" w:hAnsi="Times New Roman" w:cs="Times New Roman"/>
        </w:rPr>
        <w:t xml:space="preserve">) </w:t>
      </w:r>
      <w:r w:rsidR="00DA104C" w:rsidRPr="7D3D787C">
        <w:rPr>
          <w:rFonts w:ascii="Times New Roman" w:eastAsiaTheme="minorEastAsia" w:hAnsi="Times New Roman" w:cs="Times New Roman"/>
        </w:rPr>
        <w:t xml:space="preserve">and incompetent </w:t>
      </w:r>
      <w:r w:rsidR="00B80029">
        <w:rPr>
          <w:rFonts w:ascii="Times New Roman" w:eastAsiaTheme="minorEastAsia" w:hAnsi="Times New Roman" w:cs="Times New Roman"/>
        </w:rPr>
        <w:t>(</w:t>
      </w:r>
      <w:r w:rsidR="00B80029">
        <w:rPr>
          <w:rFonts w:ascii="Times New Roman" w:eastAsiaTheme="minorEastAsia" w:hAnsi="Times New Roman" w:cs="Times New Roman"/>
          <w:i/>
          <w:iCs/>
        </w:rPr>
        <w:t>X</w:t>
      </w:r>
      <w:r w:rsidR="00B80029">
        <w:rPr>
          <w:rFonts w:ascii="Times New Roman" w:eastAsiaTheme="minorEastAsia" w:hAnsi="Times New Roman" w:cs="Times New Roman"/>
        </w:rPr>
        <w:t>=</w:t>
      </w:r>
      <w:r w:rsidR="00B80029">
        <w:rPr>
          <w:rFonts w:ascii="Times New Roman" w:eastAsiaTheme="minorEastAsia" w:hAnsi="Times New Roman" w:cs="Times New Roman"/>
          <w:i/>
          <w:iCs/>
        </w:rPr>
        <w:t xml:space="preserve">IT </w:t>
      </w:r>
      <w:r w:rsidR="00B80029">
        <w:rPr>
          <w:rFonts w:ascii="Times New Roman" w:eastAsiaTheme="minorEastAsia" w:hAnsi="Times New Roman" w:cs="Times New Roman"/>
        </w:rPr>
        <w:t xml:space="preserve">and </w:t>
      </w:r>
      <w:r w:rsidR="00B80029">
        <w:rPr>
          <w:rFonts w:ascii="Times New Roman" w:eastAsiaTheme="minorEastAsia" w:hAnsi="Times New Roman" w:cs="Times New Roman"/>
          <w:i/>
          <w:iCs/>
        </w:rPr>
        <w:t>IU</w:t>
      </w:r>
      <w:r w:rsidR="00B80029">
        <w:rPr>
          <w:rFonts w:ascii="Times New Roman" w:eastAsiaTheme="minorEastAsia" w:hAnsi="Times New Roman" w:cs="Times New Roman"/>
        </w:rPr>
        <w:t xml:space="preserve">) </w:t>
      </w:r>
      <w:r w:rsidR="00DA104C" w:rsidRPr="7D3D787C">
        <w:rPr>
          <w:rFonts w:ascii="Times New Roman" w:eastAsiaTheme="minorEastAsia" w:hAnsi="Times New Roman" w:cs="Times New Roman"/>
        </w:rPr>
        <w:t>birds</w:t>
      </w:r>
      <w:r w:rsidR="004647AD" w:rsidRPr="7D3D787C">
        <w:rPr>
          <w:rFonts w:ascii="Times New Roman" w:eastAsiaTheme="minorEastAsia" w:hAnsi="Times New Roman" w:cs="Times New Roman"/>
        </w:rPr>
        <w:t xml:space="preserve"> </w:t>
      </w:r>
      <w:r w:rsidR="2636BE8B" w:rsidRPr="6231485F">
        <w:rPr>
          <w:rFonts w:ascii="Times New Roman" w:eastAsiaTheme="minorEastAsia" w:hAnsi="Times New Roman" w:cs="Times New Roman"/>
        </w:rPr>
        <w:t>wa</w:t>
      </w:r>
      <w:r w:rsidR="29939098" w:rsidRPr="6231485F">
        <w:rPr>
          <w:rFonts w:ascii="Times New Roman" w:eastAsiaTheme="minorEastAsia" w:hAnsi="Times New Roman" w:cs="Times New Roman"/>
        </w:rPr>
        <w:t>s</w:t>
      </w:r>
      <w:r w:rsidR="00F77F18" w:rsidRPr="7D3D787C">
        <w:rPr>
          <w:rFonts w:ascii="Times New Roman" w:eastAsiaTheme="minorEastAsia" w:hAnsi="Times New Roman" w:cs="Times New Roman"/>
        </w:rPr>
        <w:t xml:space="preserve"> </w:t>
      </w:r>
      <w:r w:rsidR="00B45735" w:rsidRPr="7D3D787C">
        <w:rPr>
          <w:rFonts w:ascii="Times New Roman" w:eastAsiaTheme="minorEastAsia" w:hAnsi="Times New Roman" w:cs="Times New Roman"/>
        </w:rPr>
        <w:t>defined as</w:t>
      </w:r>
    </w:p>
    <w:p w14:paraId="60E06AD8" w14:textId="594821EA" w:rsidR="00F77F18" w:rsidRPr="00DA104C" w:rsidRDefault="00000000" w:rsidP="00786971">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X</m:t>
                          </m:r>
                        </m:sub>
                      </m:sSub>
                      <m:rad>
                        <m:radPr>
                          <m:degHide m:val="1"/>
                          <m:ctrlPr>
                            <w:rPr>
                              <w:rFonts w:ascii="Cambria Math" w:hAnsi="Cambria Math" w:cs="Times New Roman"/>
                              <w:i/>
                            </w:rPr>
                          </m:ctrlPr>
                        </m:radPr>
                        <m:deg/>
                        <m:e>
                          <m:r>
                            <w:rPr>
                              <w:rFonts w:ascii="Cambria Math" w:hAnsi="Cambria Math" w:cs="Times New Roman"/>
                            </w:rPr>
                            <m:t>2π</m:t>
                          </m:r>
                        </m:e>
                      </m:rad>
                    </m:den>
                  </m:f>
                  <m:sSup>
                    <m:sSupPr>
                      <m:ctrlPr>
                        <w:rPr>
                          <w:rFonts w:ascii="Cambria Math" w:hAnsi="Cambria Math" w:cs="Times New Roman"/>
                          <w:i/>
                        </w:rPr>
                      </m:ctrlPr>
                    </m:sSupPr>
                    <m:e>
                      <m:r>
                        <w:rPr>
                          <w:rFonts w:ascii="Cambria Math" w:hAnsi="Cambria Math" w:cs="Times New Roman"/>
                        </w:rPr>
                        <m:t>e</m:t>
                      </m:r>
                    </m:e>
                    <m:sup>
                      <m:f>
                        <m:fPr>
                          <m:type m:val="skw"/>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d>
                                <m:dPr>
                                  <m:ctrlPr>
                                    <w:rPr>
                                      <w:rFonts w:ascii="Cambria Math" w:hAnsi="Cambria Math" w:cs="Times New Roman"/>
                                      <w:i/>
                                    </w:rPr>
                                  </m:ctrlPr>
                                </m:dPr>
                                <m:e>
                                  <m:r>
                                    <w:rPr>
                                      <w:rFonts w:ascii="Cambria Math" w:hAnsi="Cambria Math" w:cs="Times New Roman"/>
                                    </w:rPr>
                                    <m:t>x-y</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X</m:t>
                                  </m:r>
                                </m:sub>
                              </m:sSub>
                            </m:e>
                            <m:sup>
                              <m:r>
                                <w:rPr>
                                  <w:rFonts w:ascii="Cambria Math" w:hAnsi="Cambria Math" w:cs="Times New Roman"/>
                                </w:rPr>
                                <m:t>2</m:t>
                              </m:r>
                            </m:sup>
                          </m:sSup>
                        </m:den>
                      </m:f>
                    </m:sup>
                  </m:sSup>
                  <m:r>
                    <w:rPr>
                      <w:rFonts w:ascii="Cambria Math" w:hAnsi="Cambria Math" w:cs="Times New Roman"/>
                    </w:rPr>
                    <m:t>,</m:t>
                  </m:r>
                  <m:r>
                    <m:rPr>
                      <m:sty m:val="p"/>
                    </m:rPr>
                    <w:rPr>
                      <w:rFonts w:ascii="Cambria Math" w:hAnsi="Cambria Math" w:cs="Times New Roman"/>
                    </w:rPr>
                    <m:t xml:space="preserve">  </m:t>
                  </m:r>
                  <m:r>
                    <w:rPr>
                      <w:rFonts w:ascii="Cambria Math" w:hAnsi="Cambria Math" w:cs="Times New Roman"/>
                    </w:rPr>
                    <m:t>x-</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X</m:t>
                          </m:r>
                        </m:sub>
                      </m:sSub>
                    </m:num>
                    <m:den>
                      <m:r>
                        <w:rPr>
                          <w:rFonts w:ascii="Cambria Math" w:hAnsi="Cambria Math" w:cs="Times New Roman"/>
                        </w:rPr>
                        <m:t>2</m:t>
                      </m:r>
                    </m:den>
                  </m:f>
                  <m:r>
                    <w:rPr>
                      <w:rFonts w:ascii="Cambria Math" w:hAnsi="Cambria Math" w:cs="Times New Roman"/>
                    </w:rPr>
                    <m:t xml:space="preserve"> &amp;≤ y≤x+</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X</m:t>
                          </m:r>
                        </m:sub>
                      </m:sSub>
                    </m:num>
                    <m:den>
                      <m:r>
                        <w:rPr>
                          <w:rFonts w:ascii="Cambria Math" w:hAnsi="Cambria Math" w:cs="Times New Roman"/>
                        </w:rPr>
                        <m:t>2</m:t>
                      </m:r>
                    </m:den>
                  </m:f>
                  <m:r>
                    <w:rPr>
                      <w:rFonts w:ascii="Cambria Math" w:hAnsi="Cambria Math" w:cs="Times New Roman"/>
                    </w:rPr>
                    <m:t xml:space="preserve"> </m:t>
                  </m:r>
                </m:e>
                <m:e>
                  <m:r>
                    <w:rPr>
                      <w:rFonts w:ascii="Cambria Math" w:hAnsi="Cambria Math" w:cs="Times New Roman"/>
                    </w:rPr>
                    <m:t xml:space="preserve">0,   </m:t>
                  </m:r>
                  <m:r>
                    <m:rPr>
                      <m:sty m:val="p"/>
                    </m:rPr>
                    <w:rPr>
                      <w:rFonts w:ascii="Cambria Math" w:hAnsi="Cambria Math" w:cs="Times New Roman"/>
                    </w:rPr>
                    <m:t>otherwise</m:t>
                  </m:r>
                </m:e>
              </m:eqArr>
              <m:r>
                <w:rPr>
                  <w:rFonts w:ascii="Cambria Math" w:hAnsi="Cambria Math" w:cs="Times New Roman"/>
                </w:rPr>
                <m:t>.</m:t>
              </m:r>
            </m:e>
          </m:d>
          <m:r>
            <w:rPr>
              <w:rFonts w:ascii="Cambria Math" w:eastAsiaTheme="minorEastAsia" w:hAnsi="Cambria Math" w:cs="Times New Roman"/>
            </w:rPr>
            <m:t xml:space="preserve"> </m:t>
          </m:r>
        </m:oMath>
      </m:oMathPara>
    </w:p>
    <w:p w14:paraId="25B3CB3A" w14:textId="00B964CD" w:rsidR="00DA104C" w:rsidRDefault="001D3203" w:rsidP="7D3D787C">
      <w:pPr>
        <w:rPr>
          <w:rFonts w:ascii="Times New Roman" w:eastAsiaTheme="minorEastAsia" w:hAnsi="Times New Roman" w:cs="Times New Roman"/>
        </w:rPr>
      </w:pPr>
      <w:r w:rsidRPr="7D3D787C">
        <w:rPr>
          <w:rFonts w:ascii="Times New Roman" w:eastAsiaTheme="minorEastAsia" w:hAnsi="Times New Roman" w:cs="Times New Roman"/>
        </w:rPr>
        <w:t>Because</w:t>
      </w:r>
      <w:r w:rsidR="004647AD" w:rsidRPr="7D3D787C">
        <w:rPr>
          <w:rFonts w:ascii="Times New Roman" w:eastAsiaTheme="minorEastAsia" w:hAnsi="Times New Roman" w:cs="Times New Roman"/>
        </w:rPr>
        <w:t xml:space="preserve"> mosquitoes do </w:t>
      </w:r>
      <w:r w:rsidR="00B45735" w:rsidRPr="7D3D787C">
        <w:rPr>
          <w:rFonts w:ascii="Times New Roman" w:eastAsiaTheme="minorEastAsia" w:hAnsi="Times New Roman" w:cs="Times New Roman"/>
        </w:rPr>
        <w:t xml:space="preserve">not </w:t>
      </w:r>
      <w:r w:rsidRPr="7D3D787C">
        <w:rPr>
          <w:rFonts w:ascii="Times New Roman" w:eastAsiaTheme="minorEastAsia" w:hAnsi="Times New Roman" w:cs="Times New Roman"/>
        </w:rPr>
        <w:t xml:space="preserve">appear to </w:t>
      </w:r>
      <w:r w:rsidR="00B45735" w:rsidRPr="7D3D787C">
        <w:rPr>
          <w:rFonts w:ascii="Times New Roman" w:eastAsiaTheme="minorEastAsia" w:hAnsi="Times New Roman" w:cs="Times New Roman"/>
        </w:rPr>
        <w:t>have home ranges, the dispersal f</w:t>
      </w:r>
      <w:r w:rsidR="00FB0CCF" w:rsidRPr="7D3D787C">
        <w:rPr>
          <w:rFonts w:ascii="Times New Roman" w:eastAsiaTheme="minorEastAsia" w:hAnsi="Times New Roman" w:cs="Times New Roman"/>
        </w:rPr>
        <w:t>or</w:t>
      </w:r>
      <w:r w:rsidR="00DA104C" w:rsidRPr="7D3D787C">
        <w:rPr>
          <w:rFonts w:ascii="Times New Roman" w:eastAsiaTheme="minorEastAsia" w:hAnsi="Times New Roman" w:cs="Times New Roman"/>
        </w:rPr>
        <w:t xml:space="preserve"> mosquitoes</w:t>
      </w:r>
      <w:r w:rsidR="00B45735" w:rsidRPr="7D3D787C">
        <w:rPr>
          <w:rFonts w:ascii="Times New Roman" w:eastAsiaTheme="minorEastAsia" w:hAnsi="Times New Roman" w:cs="Times New Roman"/>
        </w:rPr>
        <w:t xml:space="preserve"> </w:t>
      </w:r>
      <w:r w:rsidR="4A90EB95" w:rsidRPr="7D3D787C">
        <w:rPr>
          <w:rFonts w:ascii="Times New Roman" w:eastAsiaTheme="minorEastAsia" w:hAnsi="Times New Roman" w:cs="Times New Roman"/>
        </w:rPr>
        <w:t>was</w:t>
      </w:r>
      <w:r w:rsidR="00B45735" w:rsidRPr="7D3D787C">
        <w:rPr>
          <w:rFonts w:ascii="Times New Roman" w:eastAsiaTheme="minorEastAsia" w:hAnsi="Times New Roman" w:cs="Times New Roman"/>
        </w:rPr>
        <w:t xml:space="preserve"> defined as</w:t>
      </w:r>
    </w:p>
    <w:p w14:paraId="2489E0C4" w14:textId="3DCA2A0B" w:rsidR="00DA104C" w:rsidRDefault="00000000" w:rsidP="001B40B1">
      <w:pPr>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M</m:t>
                </m:r>
              </m:sub>
            </m:sSub>
            <m:rad>
              <m:radPr>
                <m:degHide m:val="1"/>
                <m:ctrlPr>
                  <w:rPr>
                    <w:rFonts w:ascii="Cambria Math" w:hAnsi="Cambria Math" w:cs="Times New Roman"/>
                    <w:i/>
                  </w:rPr>
                </m:ctrlPr>
              </m:radPr>
              <m:deg/>
              <m:e>
                <m:r>
                  <w:rPr>
                    <w:rFonts w:ascii="Cambria Math" w:hAnsi="Cambria Math" w:cs="Times New Roman"/>
                  </w:rPr>
                  <m:t>2π</m:t>
                </m:r>
              </m:e>
            </m:rad>
          </m:den>
        </m:f>
        <m:sSup>
          <m:sSupPr>
            <m:ctrlPr>
              <w:rPr>
                <w:rFonts w:ascii="Cambria Math" w:hAnsi="Cambria Math" w:cs="Times New Roman"/>
                <w:i/>
              </w:rPr>
            </m:ctrlPr>
          </m:sSupPr>
          <m:e>
            <m:r>
              <w:rPr>
                <w:rFonts w:ascii="Cambria Math" w:hAnsi="Cambria Math" w:cs="Times New Roman"/>
              </w:rPr>
              <m:t>e</m:t>
            </m:r>
          </m:e>
          <m:sup>
            <m:f>
              <m:fPr>
                <m:type m:val="skw"/>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d>
                      <m:dPr>
                        <m:ctrlPr>
                          <w:rPr>
                            <w:rFonts w:ascii="Cambria Math" w:hAnsi="Cambria Math" w:cs="Times New Roman"/>
                            <w:i/>
                          </w:rPr>
                        </m:ctrlPr>
                      </m:dPr>
                      <m:e>
                        <m:r>
                          <w:rPr>
                            <w:rFonts w:ascii="Cambria Math" w:hAnsi="Cambria Math" w:cs="Times New Roman"/>
                          </w:rPr>
                          <m:t>x-y</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M</m:t>
                        </m:r>
                      </m:sub>
                    </m:sSub>
                  </m:e>
                  <m:sup>
                    <m:r>
                      <w:rPr>
                        <w:rFonts w:ascii="Cambria Math" w:hAnsi="Cambria Math" w:cs="Times New Roman"/>
                      </w:rPr>
                      <m:t>2</m:t>
                    </m:r>
                  </m:sup>
                </m:sSup>
              </m:den>
            </m:f>
          </m:sup>
        </m:sSup>
      </m:oMath>
      <w:r w:rsidR="00DA104C">
        <w:rPr>
          <w:rFonts w:ascii="Times New Roman" w:eastAsiaTheme="minorEastAsia" w:hAnsi="Times New Roman" w:cs="Times New Roman"/>
        </w:rPr>
        <w:t>.</w:t>
      </w:r>
    </w:p>
    <w:p w14:paraId="65334D67" w14:textId="635CAE1D" w:rsidR="00601F24" w:rsidRDefault="00601F24" w:rsidP="00786971">
      <w:pPr>
        <w:rPr>
          <w:rFonts w:ascii="Times New Roman" w:hAnsi="Times New Roman" w:cs="Times New Roman"/>
        </w:rPr>
      </w:pPr>
      <w:r w:rsidRPr="6231485F">
        <w:rPr>
          <w:rFonts w:ascii="Times New Roman" w:hAnsi="Times New Roman" w:cs="Times New Roman"/>
        </w:rPr>
        <w:t>Similarly,</w:t>
      </w:r>
      <w:r w:rsidR="00A16BA8" w:rsidRPr="6231485F">
        <w:rPr>
          <w:rFonts w:ascii="Times New Roman" w:hAnsi="Times New Roman" w:cs="Times New Roman"/>
        </w:rPr>
        <w:t xml:space="preserve"> the movement probability for group </w:t>
      </w:r>
      <w:r w:rsidR="00A16BA8" w:rsidRPr="6231485F">
        <w:rPr>
          <w:rFonts w:ascii="Times New Roman" w:hAnsi="Times New Roman" w:cs="Times New Roman"/>
          <w:i/>
          <w:iCs/>
        </w:rPr>
        <w:t>X</w:t>
      </w:r>
      <w:r w:rsidR="00A16BA8" w:rsidRPr="6231485F">
        <w:rPr>
          <w:rFonts w:ascii="Times New Roman" w:hAnsi="Times New Roman" w:cs="Times New Roman"/>
        </w:rPr>
        <w:t xml:space="preserve"> from untreated to treated patches </w:t>
      </w:r>
      <w:r w:rsidR="0D8DF73D" w:rsidRPr="6231485F">
        <w:rPr>
          <w:rFonts w:ascii="Times New Roman" w:hAnsi="Times New Roman" w:cs="Times New Roman"/>
        </w:rPr>
        <w:t>was</w:t>
      </w:r>
    </w:p>
    <w:p w14:paraId="353FA14D" w14:textId="3036C0AB" w:rsidR="00A16BA8" w:rsidRPr="001B40B1" w:rsidRDefault="00000000" w:rsidP="001B40B1">
      <w:pPr>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X</m:t>
            </m:r>
          </m:sub>
        </m:sSub>
        <m:r>
          <w:rPr>
            <w:rFonts w:ascii="Cambria Math" w:eastAsiaTheme="minorEastAsia" w:hAnsi="Cambria Math" w:cs="Times New Roman"/>
          </w:rPr>
          <m:t>=</m:t>
        </m:r>
        <m:f>
          <m:fPr>
            <m:ctrlPr>
              <w:rPr>
                <w:rFonts w:ascii="Cambria Math" w:eastAsiaTheme="minorEastAsia" w:hAnsi="Cambria Math" w:cs="Times New Roman"/>
                <w:i/>
              </w:rPr>
            </m:ctrlPr>
          </m:fPr>
          <m:num>
            <m:nary>
              <m:naryPr>
                <m:chr m:val="∑"/>
                <m:limLoc m:val="undOvr"/>
                <m:supHide m:val="1"/>
                <m:ctrlPr>
                  <w:rPr>
                    <w:rFonts w:ascii="Cambria Math" w:hAnsi="Cambria Math" w:cs="Times New Roman"/>
                    <w:i/>
                  </w:rPr>
                </m:ctrlPr>
              </m:naryPr>
              <m:sub>
                <m:r>
                  <w:rPr>
                    <w:rFonts w:ascii="Cambria Math" w:hAnsi="Cambria Math" w:cs="Times New Roman"/>
                  </w:rPr>
                  <m:t>i, j</m:t>
                </m:r>
              </m:sub>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ub>
                  <m:sup>
                    <m:r>
                      <w:rPr>
                        <w:rFonts w:ascii="Cambria Math" w:hAnsi="Cambria Math" w:cs="Times New Roman"/>
                      </w:rPr>
                      <m:t xml:space="preserve"> </m:t>
                    </m:r>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m:t>
                            </m:r>
                          </m:sub>
                        </m:sSub>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dxdy</m:t>
                        </m:r>
                      </m:e>
                    </m:nary>
                  </m:e>
                </m:nary>
              </m:e>
            </m:nary>
          </m:num>
          <m:den>
            <m:nary>
              <m:naryPr>
                <m:limLoc m:val="undOvr"/>
                <m:ctrlPr>
                  <w:rPr>
                    <w:rFonts w:ascii="Cambria Math" w:hAnsi="Cambria Math" w:cs="Times New Roman"/>
                    <w:i/>
                  </w:rPr>
                </m:ctrlPr>
              </m:naryPr>
              <m:sub>
                <m:r>
                  <w:rPr>
                    <w:rFonts w:ascii="Cambria Math" w:hAnsi="Cambria Math" w:cs="Times New Roman"/>
                  </w:rPr>
                  <m:t>D</m:t>
                </m:r>
              </m:sub>
              <m:sup>
                <m:r>
                  <w:rPr>
                    <w:rFonts w:ascii="Cambria Math" w:hAnsi="Cambria Math" w:cs="Times New Roman"/>
                  </w:rPr>
                  <m:t xml:space="preserve"> </m:t>
                </m:r>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m:t>
                        </m:r>
                      </m:sub>
                    </m:sSub>
                  </m:sub>
                  <m:sup>
                    <m:r>
                      <w:rPr>
                        <w:rFonts w:ascii="Cambria Math" w:hAnsi="Cambria Math" w:cs="Times New Roman"/>
                      </w:rPr>
                      <m:t xml:space="preserve"> </m:t>
                    </m:r>
                  </m:sup>
                  <m:e>
                    <m:sSub>
                      <m:sSubPr>
                        <m:ctrlPr>
                          <w:rPr>
                            <w:rFonts w:ascii="Cambria Math" w:hAnsi="Cambria Math" w:cs="Times New Roman"/>
                            <w:i/>
                          </w:rPr>
                        </m:ctrlPr>
                      </m:sSubPr>
                      <m:e>
                        <m:r>
                          <w:rPr>
                            <w:rFonts w:ascii="Cambria Math" w:hAnsi="Cambria Math" w:cs="Times New Roman"/>
                          </w:rPr>
                          <m:t>κ</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dxdy</m:t>
                    </m:r>
                  </m:e>
                </m:nary>
              </m:e>
            </m:nary>
          </m:den>
        </m:f>
      </m:oMath>
      <w:r w:rsidR="00A16BA8">
        <w:rPr>
          <w:rFonts w:ascii="Times New Roman" w:eastAsiaTheme="minorEastAsia" w:hAnsi="Times New Roman" w:cs="Times New Roman"/>
        </w:rPr>
        <w:t>.</w:t>
      </w:r>
    </w:p>
    <w:p w14:paraId="298A46C7" w14:textId="75907DBA" w:rsidR="00234C9A" w:rsidRDefault="00DE3ED3" w:rsidP="00786971">
      <w:pPr>
        <w:rPr>
          <w:rFonts w:ascii="Times New Roman" w:hAnsi="Times New Roman" w:cs="Times New Roman"/>
        </w:rPr>
      </w:pPr>
      <w:r w:rsidRPr="6231485F">
        <w:rPr>
          <w:rFonts w:ascii="Times New Roman" w:hAnsi="Times New Roman" w:cs="Times New Roman"/>
        </w:rPr>
        <w:t>F</w:t>
      </w:r>
      <w:r w:rsidR="00786971" w:rsidRPr="6231485F">
        <w:rPr>
          <w:rFonts w:ascii="Times New Roman" w:hAnsi="Times New Roman" w:cs="Times New Roman"/>
        </w:rPr>
        <w:t xml:space="preserve">ollowing the semi-discrete model notation of </w:t>
      </w:r>
      <w:proofErr w:type="spellStart"/>
      <w:r w:rsidR="00786971" w:rsidRPr="6231485F">
        <w:rPr>
          <w:rFonts w:ascii="Times New Roman" w:hAnsi="Times New Roman" w:cs="Times New Roman"/>
        </w:rPr>
        <w:t>Mailleret</w:t>
      </w:r>
      <w:proofErr w:type="spellEnd"/>
      <w:r w:rsidR="00786971" w:rsidRPr="6231485F">
        <w:rPr>
          <w:rFonts w:ascii="Times New Roman" w:hAnsi="Times New Roman" w:cs="Times New Roman"/>
        </w:rPr>
        <w:t xml:space="preserve"> and </w:t>
      </w:r>
      <w:proofErr w:type="spellStart"/>
      <w:r w:rsidR="00786971" w:rsidRPr="6231485F">
        <w:rPr>
          <w:rFonts w:ascii="Times New Roman" w:hAnsi="Times New Roman" w:cs="Times New Roman"/>
        </w:rPr>
        <w:t>Lemesle</w:t>
      </w:r>
      <w:proofErr w:type="spellEnd"/>
      <w:r w:rsidR="00817F5D" w:rsidRPr="6231485F">
        <w:rPr>
          <w:rFonts w:ascii="Times New Roman" w:hAnsi="Times New Roman" w:cs="Times New Roman"/>
        </w:rPr>
        <w:t xml:space="preserve"> </w:t>
      </w:r>
      <w:r w:rsidRPr="6231485F">
        <w:rPr>
          <w:rFonts w:ascii="Times New Roman" w:hAnsi="Times New Roman" w:cs="Times New Roman"/>
        </w:rPr>
        <w:fldChar w:fldCharType="begin" w:fldLock="1"/>
      </w:r>
      <w:r w:rsidRPr="6231485F">
        <w:rPr>
          <w:rFonts w:ascii="Times New Roman" w:hAnsi="Times New Roman" w:cs="Times New Roman"/>
        </w:rPr>
        <w:instrText>ADDIN CSL_CITATION {"citationItems":[{"id":"ITEM-1","itemData":{"DOI":"10.1098/rsta.2009.0153","ISSN":"1364503X","PMID":"19884180","abstract":"Semi-discrete models are a particular class of hybrid dynamical systems that undergo continuous dynamics most of the time but repeatedly experience discrete changes at some given moments. In the life sciences, since the first semi-discrete model was derived to describe population dynamics by Beverton &amp; Holt (Beverton &amp; Holt 1957 In Fisheries investigations, series 2, vol. 19), a large body of literature has been concerned with such modelling approaches. The aim of the present contribution is twofold. on the one hand, it provides a comprehensive introduction to semi-discrete modelling through two illustrative examples: the classical work by Beverton and Holt is recalled and an original example on immigration in a population model affected by a strong Allee effect is worked out. On the other hand, a short overview of the different applications of semi-discrete models in the life sciences is proposed. © 2009 The Royal Society.","author":[{"dropping-particle":"","family":"Mailleret","given":"Ludovic","non-dropping-particle":"","parse-names":false,"suffix":""},{"dropping-particle":"","family":"Lemesle","given":"Valérie","non-dropping-particle":"","parse-names":false,"suffix":""}],"container-title":"Philosophical Transactions of the Royal Society A: Mathematical, Physical and Engineering Sciences","id":"ITEM-1","issue":"1908","issued":{"date-parts":[["2009"]]},"page":"4779-4799","title":"A note on semi-discrete modelling in the life sciences","type":"article-journal","volume":"367"},"uris":["http://www.mendeley.com/documents/?uuid=b76688cf-e2dc-4a04-9d58-b5fc3f234f75"]}],"mendeley":{"formattedCitation":"[6]","plainTextFormattedCitation":"[6]","previouslyFormattedCitation":"[5]"},"properties":{"noteIndex":0},"schema":"https://github.com/citation-style-language/schema/raw/master/csl-citation.json"}</w:instrText>
      </w:r>
      <w:r w:rsidRPr="6231485F">
        <w:rPr>
          <w:rFonts w:ascii="Times New Roman" w:hAnsi="Times New Roman" w:cs="Times New Roman"/>
        </w:rPr>
        <w:fldChar w:fldCharType="separate"/>
      </w:r>
      <w:r w:rsidR="004027ED" w:rsidRPr="6231485F">
        <w:rPr>
          <w:rFonts w:ascii="Times New Roman" w:hAnsi="Times New Roman" w:cs="Times New Roman"/>
          <w:noProof/>
        </w:rPr>
        <w:t>[6]</w:t>
      </w:r>
      <w:r w:rsidRPr="6231485F">
        <w:rPr>
          <w:rFonts w:ascii="Times New Roman" w:hAnsi="Times New Roman" w:cs="Times New Roman"/>
        </w:rPr>
        <w:fldChar w:fldCharType="end"/>
      </w:r>
      <w:r w:rsidR="00817F5D" w:rsidRPr="6231485F">
        <w:rPr>
          <w:rFonts w:ascii="Times New Roman" w:hAnsi="Times New Roman" w:cs="Times New Roman"/>
        </w:rPr>
        <w:t>,</w:t>
      </w:r>
      <w:r w:rsidR="00786971" w:rsidRPr="6231485F">
        <w:rPr>
          <w:rFonts w:ascii="Times New Roman" w:hAnsi="Times New Roman" w:cs="Times New Roman"/>
        </w:rPr>
        <w:t xml:space="preserve"> </w:t>
      </w:r>
      <w:r w:rsidRPr="6231485F">
        <w:rPr>
          <w:rFonts w:ascii="Times New Roman" w:hAnsi="Times New Roman" w:cs="Times New Roman"/>
        </w:rPr>
        <w:t>and incorporating the probability that birds and mosquitoes remain</w:t>
      </w:r>
      <w:r w:rsidR="516EFF9A" w:rsidRPr="6231485F">
        <w:rPr>
          <w:rFonts w:ascii="Times New Roman" w:hAnsi="Times New Roman" w:cs="Times New Roman"/>
        </w:rPr>
        <w:t>ed</w:t>
      </w:r>
      <w:r w:rsidRPr="6231485F">
        <w:rPr>
          <w:rFonts w:ascii="Times New Roman" w:hAnsi="Times New Roman" w:cs="Times New Roman"/>
        </w:rPr>
        <w:t xml:space="preserve"> in the same roost or resting location each evening </w:t>
      </w:r>
      <w:r w:rsidR="00972EF6" w:rsidRPr="6231485F">
        <w:rPr>
          <w:rFonts w:ascii="Times New Roman" w:hAnsi="Times New Roman" w:cs="Times New Roman"/>
        </w:rPr>
        <w:t xml:space="preserve">(time </w:t>
      </w:r>
      <w:r w:rsidR="00DE775A" w:rsidRPr="6231485F">
        <w:rPr>
          <w:rFonts w:ascii="Calibri" w:hAnsi="Calibri" w:cs="Calibri"/>
          <w:i/>
          <w:iCs/>
        </w:rPr>
        <w:t>τ</w:t>
      </w:r>
      <w:r w:rsidR="00DE775A" w:rsidRPr="6231485F">
        <w:rPr>
          <w:rFonts w:ascii="Times New Roman" w:hAnsi="Times New Roman" w:cs="Times New Roman"/>
        </w:rPr>
        <w:t>)</w:t>
      </w:r>
      <w:r w:rsidRPr="6231485F">
        <w:rPr>
          <w:rFonts w:ascii="Times New Roman" w:hAnsi="Times New Roman" w:cs="Times New Roman"/>
        </w:rPr>
        <w:t xml:space="preserve">, the full </w:t>
      </w:r>
      <w:r w:rsidR="00234C9A" w:rsidRPr="6231485F">
        <w:rPr>
          <w:rFonts w:ascii="Times New Roman" w:hAnsi="Times New Roman" w:cs="Times New Roman"/>
        </w:rPr>
        <w:t xml:space="preserve">movement probability for each group from the treated to untreated patch </w:t>
      </w:r>
      <w:r w:rsidR="248C1262" w:rsidRPr="6231485F">
        <w:rPr>
          <w:rFonts w:ascii="Times New Roman" w:hAnsi="Times New Roman" w:cs="Times New Roman"/>
        </w:rPr>
        <w:t>was</w:t>
      </w:r>
      <w:r w:rsidR="00234C9A" w:rsidRPr="6231485F">
        <w:rPr>
          <w:rFonts w:ascii="Times New Roman" w:hAnsi="Times New Roman" w:cs="Times New Roman"/>
        </w:rPr>
        <w:t xml:space="preserve"> </w:t>
      </w:r>
    </w:p>
    <w:p w14:paraId="3ACF8DBE" w14:textId="58605269" w:rsidR="00234C9A" w:rsidRDefault="00000000" w:rsidP="00786971">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oMath>
      </m:oMathPara>
    </w:p>
    <w:p w14:paraId="02591FB6" w14:textId="38CA0FDE" w:rsidR="00234C9A" w:rsidRDefault="00234C9A" w:rsidP="00786971">
      <w:pPr>
        <w:rPr>
          <w:rFonts w:ascii="Times New Roman" w:hAnsi="Times New Roman" w:cs="Times New Roman"/>
        </w:rPr>
      </w:pPr>
      <w:r>
        <w:rPr>
          <w:rFonts w:ascii="Times New Roman" w:hAnsi="Times New Roman" w:cs="Times New Roman"/>
        </w:rPr>
        <w:t>and from the untreated to treated patch is</w:t>
      </w:r>
    </w:p>
    <w:p w14:paraId="278455C4" w14:textId="4172FA34" w:rsidR="0050031D" w:rsidRDefault="00000000" w:rsidP="001B40B1">
      <w:pPr>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X</m:t>
            </m:r>
          </m:sub>
        </m:sSub>
      </m:oMath>
      <w:r w:rsidR="00B21FCA">
        <w:rPr>
          <w:rFonts w:ascii="Times New Roman" w:eastAsiaTheme="minorEastAsia" w:hAnsi="Times New Roman" w:cs="Times New Roman"/>
        </w:rPr>
        <w:t>,</w:t>
      </w:r>
    </w:p>
    <w:p w14:paraId="30A6CA87" w14:textId="77777777" w:rsidR="0066417F" w:rsidRDefault="000F43E0" w:rsidP="00786971">
      <w:pPr>
        <w:rPr>
          <w:rFonts w:ascii="Times New Roman" w:eastAsiaTheme="minorEastAsia" w:hAnsi="Times New Roman" w:cs="Times New Roman"/>
        </w:rPr>
      </w:pPr>
      <w:proofErr w:type="gramStart"/>
      <w:r>
        <w:rPr>
          <w:rFonts w:ascii="Times New Roman" w:hAnsi="Times New Roman" w:cs="Times New Roman"/>
        </w:rPr>
        <w:t>where</w:t>
      </w:r>
      <w:proofErr w:type="gramEnd"/>
      <w:r w:rsidR="00B21FCA">
        <w:rPr>
          <w:rFonts w:ascii="Times New Roman" w:hAnsi="Times New Roman" w:cs="Times New Roman"/>
        </w:rPr>
        <w:t xml:space="preserve"> </w:t>
      </w:r>
    </w:p>
    <w:p w14:paraId="383BD6A0" w14:textId="3246F9B0" w:rsidR="00234C9A" w:rsidRDefault="00000000" w:rsidP="005E3650">
      <w:pPr>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 xml:space="preserve">1,   </m:t>
                </m:r>
                <m:r>
                  <m:rPr>
                    <m:sty m:val="p"/>
                  </m:rPr>
                  <w:rPr>
                    <w:rFonts w:ascii="Cambria Math" w:eastAsiaTheme="minorEastAsia" w:hAnsi="Cambria Math" w:cs="Times New Roman"/>
                  </w:rPr>
                  <m:t>if</m:t>
                </m:r>
                <m:r>
                  <w:rPr>
                    <w:rFonts w:ascii="Cambria Math" w:eastAsiaTheme="minorEastAsia" w:hAnsi="Cambria Math" w:cs="Times New Roman"/>
                  </w:rPr>
                  <m:t xml:space="preserve"> r&gt;</m:t>
                </m:r>
                <m:sSub>
                  <m:sSubPr>
                    <m:ctrlPr>
                      <w:rPr>
                        <w:rFonts w:ascii="Cambria Math" w:eastAsiaTheme="minorEastAsia" w:hAnsi="Cambria Math" w:cs="Times New Roman"/>
                        <w:i/>
                      </w:rPr>
                    </m:ctrlPr>
                  </m:sSubPr>
                  <m:e>
                    <m:r>
                      <w:rPr>
                        <w:rFonts w:ascii="Cambria Math" w:eastAsiaTheme="minorEastAsia" w:hAnsi="Cambria Math" w:cs="Times New Roman"/>
                      </w:rPr>
                      <m:t>P(stay)</m:t>
                    </m:r>
                  </m:e>
                  <m:sub>
                    <m:r>
                      <w:rPr>
                        <w:rFonts w:ascii="Cambria Math" w:eastAsiaTheme="minorEastAsia" w:hAnsi="Cambria Math" w:cs="Times New Roman"/>
                      </w:rPr>
                      <m:t>X</m:t>
                    </m:r>
                  </m:sub>
                </m:sSub>
              </m:e>
              <m:e>
                <m:r>
                  <w:rPr>
                    <w:rFonts w:ascii="Cambria Math" w:eastAsiaTheme="minorEastAsia" w:hAnsi="Cambria Math" w:cs="Times New Roman"/>
                  </w:rPr>
                  <m:t>0,</m:t>
                </m:r>
                <m:r>
                  <m:rPr>
                    <m:sty m:val="p"/>
                  </m:rPr>
                  <w:rPr>
                    <w:rFonts w:ascii="Cambria Math" w:eastAsiaTheme="minorEastAsia" w:hAnsi="Cambria Math" w:cs="Times New Roman"/>
                  </w:rPr>
                  <m:t xml:space="preserve">  otherwise</m:t>
                </m:r>
              </m:e>
            </m:eqArr>
          </m:e>
        </m:d>
      </m:oMath>
      <w:r w:rsidR="005E3650">
        <w:rPr>
          <w:rFonts w:ascii="Times New Roman" w:eastAsiaTheme="minorEastAsia" w:hAnsi="Times New Roman" w:cs="Times New Roman"/>
        </w:rPr>
        <w:t>.</w:t>
      </w:r>
    </w:p>
    <w:p w14:paraId="394BCCC5" w14:textId="43344327" w:rsidR="005E3650" w:rsidRDefault="00074A15" w:rsidP="005E3650">
      <w:pPr>
        <w:rPr>
          <w:rFonts w:ascii="Times New Roman" w:hAnsi="Times New Roman" w:cs="Times New Roman"/>
        </w:rPr>
      </w:pPr>
      <w:r w:rsidRPr="461BA086">
        <w:rPr>
          <w:rFonts w:ascii="Times New Roman" w:eastAsiaTheme="minorEastAsia" w:hAnsi="Times New Roman" w:cs="Times New Roman"/>
        </w:rPr>
        <w:t xml:space="preserve">For </w:t>
      </w:r>
      <w:r w:rsidR="00C27FE4" w:rsidRPr="461BA086">
        <w:rPr>
          <w:rFonts w:ascii="Times New Roman" w:eastAsiaTheme="minorEastAsia" w:hAnsi="Times New Roman" w:cs="Times New Roman"/>
        </w:rPr>
        <w:t>calculating the movement probabilities for each group</w:t>
      </w:r>
      <w:r w:rsidRPr="461BA086">
        <w:rPr>
          <w:rFonts w:ascii="Times New Roman" w:eastAsiaTheme="minorEastAsia" w:hAnsi="Times New Roman" w:cs="Times New Roman"/>
        </w:rPr>
        <w:t xml:space="preserve">, we compared </w:t>
      </w:r>
      <w:r w:rsidR="005E3650" w:rsidRPr="461BA086">
        <w:rPr>
          <w:rFonts w:ascii="Times New Roman" w:eastAsiaTheme="minorEastAsia" w:hAnsi="Times New Roman" w:cs="Times New Roman"/>
        </w:rPr>
        <w:t xml:space="preserve">a random </w:t>
      </w:r>
      <w:r w:rsidR="005876BD" w:rsidRPr="461BA086">
        <w:rPr>
          <w:rFonts w:ascii="Times New Roman" w:eastAsiaTheme="minorEastAsia" w:hAnsi="Times New Roman" w:cs="Times New Roman"/>
        </w:rPr>
        <w:t xml:space="preserve">draw </w:t>
      </w:r>
      <w:r w:rsidR="001E1273" w:rsidRPr="461BA086">
        <w:rPr>
          <w:rFonts w:ascii="Times New Roman" w:eastAsiaTheme="minorEastAsia" w:hAnsi="Times New Roman" w:cs="Times New Roman"/>
        </w:rPr>
        <w:t>(</w:t>
      </w:r>
      <w:r w:rsidR="001E1273" w:rsidRPr="6231485F">
        <w:rPr>
          <w:rFonts w:ascii="Times New Roman" w:eastAsiaTheme="minorEastAsia" w:hAnsi="Times New Roman" w:cs="Times New Roman"/>
          <w:i/>
          <w:iCs/>
        </w:rPr>
        <w:t>r</w:t>
      </w:r>
      <w:r w:rsidR="001E1273" w:rsidRPr="461BA086">
        <w:rPr>
          <w:rFonts w:ascii="Times New Roman" w:eastAsiaTheme="minorEastAsia" w:hAnsi="Times New Roman" w:cs="Times New Roman"/>
        </w:rPr>
        <w:t xml:space="preserve">) </w:t>
      </w:r>
      <w:r w:rsidR="005876BD" w:rsidRPr="461BA086">
        <w:rPr>
          <w:rFonts w:ascii="Times New Roman" w:eastAsiaTheme="minorEastAsia" w:hAnsi="Times New Roman" w:cs="Times New Roman"/>
        </w:rPr>
        <w:t xml:space="preserve">from a uniform </w:t>
      </w:r>
      <w:r w:rsidRPr="461BA086">
        <w:rPr>
          <w:rFonts w:ascii="Times New Roman" w:eastAsiaTheme="minorEastAsia" w:hAnsi="Times New Roman" w:cs="Times New Roman"/>
        </w:rPr>
        <w:t xml:space="preserve">distribution on [0,1] </w:t>
      </w:r>
      <w:r w:rsidR="006A0B18" w:rsidRPr="461BA086">
        <w:rPr>
          <w:rFonts w:ascii="Times New Roman" w:eastAsiaTheme="minorEastAsia" w:hAnsi="Times New Roman" w:cs="Times New Roman"/>
        </w:rPr>
        <w:t xml:space="preserve">with the </w:t>
      </w:r>
      <w:r w:rsidR="00EB7B3C" w:rsidRPr="461BA086">
        <w:rPr>
          <w:rFonts w:ascii="Times New Roman" w:eastAsiaTheme="minorEastAsia" w:hAnsi="Times New Roman" w:cs="Times New Roman"/>
        </w:rPr>
        <w:t>observed roost constancy for house sparrows (competent birds) and mourning doves (incompetent birds)</w:t>
      </w:r>
      <w:r w:rsidR="00F6450A" w:rsidRPr="461BA086">
        <w:rPr>
          <w:rFonts w:ascii="Times New Roman" w:eastAsiaTheme="minorEastAsia" w:hAnsi="Times New Roman" w:cs="Times New Roman"/>
        </w:rPr>
        <w:t xml:space="preserve"> (</w:t>
      </w:r>
      <w:r w:rsidR="004F0B93" w:rsidRPr="461BA086">
        <w:rPr>
          <w:rFonts w:ascii="Times New Roman" w:eastAsiaTheme="minorEastAsia" w:hAnsi="Times New Roman" w:cs="Times New Roman"/>
        </w:rPr>
        <w:t>Table 2</w:t>
      </w:r>
      <w:r w:rsidR="00F6450A" w:rsidRPr="461BA086">
        <w:rPr>
          <w:rFonts w:ascii="Times New Roman" w:eastAsiaTheme="minorEastAsia" w:hAnsi="Times New Roman" w:cs="Times New Roman"/>
        </w:rPr>
        <w:t xml:space="preserve">) and </w:t>
      </w:r>
      <m:oMath>
        <m:r>
          <w:rPr>
            <w:rFonts w:ascii="Cambria Math" w:hAnsi="Cambria Math" w:cs="Times New Roman"/>
          </w:rPr>
          <m:t>1-1/(gonotrophic period)</m:t>
        </m:r>
      </m:oMath>
      <w:r w:rsidR="004F0B93">
        <w:rPr>
          <w:rFonts w:ascii="Times New Roman" w:hAnsi="Times New Roman" w:cs="Times New Roman"/>
        </w:rPr>
        <w:t xml:space="preserve"> for mosquitoes</w:t>
      </w:r>
      <w:r w:rsidR="43918C22">
        <w:rPr>
          <w:rFonts w:ascii="Times New Roman" w:hAnsi="Times New Roman" w:cs="Times New Roman"/>
        </w:rPr>
        <w:t>.</w:t>
      </w:r>
      <w:r w:rsidR="001469D5">
        <w:rPr>
          <w:rFonts w:ascii="Times New Roman" w:hAnsi="Times New Roman" w:cs="Times New Roman"/>
        </w:rPr>
        <w:t xml:space="preserve"> </w:t>
      </w:r>
      <w:r w:rsidR="0B7C9424">
        <w:rPr>
          <w:rFonts w:ascii="Times New Roman" w:hAnsi="Times New Roman" w:cs="Times New Roman"/>
        </w:rPr>
        <w:t>For mosquitoes, we assumed</w:t>
      </w:r>
      <w:r w:rsidR="001469D5">
        <w:rPr>
          <w:rFonts w:ascii="Times New Roman" w:hAnsi="Times New Roman" w:cs="Times New Roman"/>
        </w:rPr>
        <w:t xml:space="preserve"> on average only a proportion of the female mosquitoes would be host-seeking on a given night (i.e., </w:t>
      </w:r>
      <m:oMath>
        <m:r>
          <w:rPr>
            <w:rFonts w:ascii="Cambria Math" w:hAnsi="Cambria Math" w:cs="Times New Roman"/>
          </w:rPr>
          <m:t>1/(gonotrophic period)</m:t>
        </m:r>
      </m:oMath>
      <w:r w:rsidR="001469D5">
        <w:rPr>
          <w:rFonts w:ascii="Times New Roman" w:hAnsi="Times New Roman" w:cs="Times New Roman"/>
        </w:rPr>
        <w:t>), with the rest in other stages of the gonotrophic cycle (e.g., laying eggs or digesting bloodmeal).</w:t>
      </w:r>
    </w:p>
    <w:bookmarkEnd w:id="0"/>
    <w:p w14:paraId="56815DFE" w14:textId="0EB4D88A" w:rsidR="00350136" w:rsidRDefault="000B7B6A" w:rsidP="00786971">
      <w:pPr>
        <w:rPr>
          <w:rFonts w:ascii="Times New Roman" w:hAnsi="Times New Roman" w:cs="Times New Roman"/>
        </w:rPr>
      </w:pPr>
      <w:r w:rsidRPr="6231485F">
        <w:rPr>
          <w:rFonts w:ascii="Times New Roman" w:hAnsi="Times New Roman" w:cs="Times New Roman"/>
        </w:rPr>
        <w:t xml:space="preserve">At the moment immediately following </w:t>
      </w:r>
      <w:r w:rsidRPr="6231485F">
        <w:rPr>
          <w:rFonts w:ascii="Calibri" w:hAnsi="Calibri" w:cs="Calibri"/>
          <w:i/>
          <w:iCs/>
        </w:rPr>
        <w:t>τ</w:t>
      </w:r>
      <w:r w:rsidRPr="6231485F">
        <w:rPr>
          <w:rFonts w:ascii="Times New Roman" w:hAnsi="Times New Roman" w:cs="Times New Roman"/>
        </w:rPr>
        <w:t>, that is the end of the night (</w:t>
      </w:r>
      <w:r w:rsidRPr="6231485F">
        <w:rPr>
          <w:rFonts w:ascii="Calibri" w:hAnsi="Calibri" w:cs="Calibri"/>
          <w:i/>
          <w:iCs/>
        </w:rPr>
        <w:t>τ</w:t>
      </w:r>
      <w:r w:rsidRPr="6231485F">
        <w:rPr>
          <w:rFonts w:ascii="Times New Roman" w:hAnsi="Times New Roman" w:cs="Times New Roman"/>
          <w:i/>
          <w:iCs/>
          <w:vertAlign w:val="superscript"/>
        </w:rPr>
        <w:t>+</w:t>
      </w:r>
      <w:r w:rsidRPr="6231485F">
        <w:rPr>
          <w:rFonts w:ascii="Times New Roman" w:hAnsi="Times New Roman" w:cs="Times New Roman"/>
        </w:rPr>
        <w:t xml:space="preserve">), </w:t>
      </w:r>
      <w:r w:rsidR="00350136" w:rsidRPr="6231485F">
        <w:rPr>
          <w:rFonts w:ascii="Times New Roman" w:hAnsi="Times New Roman" w:cs="Times New Roman"/>
        </w:rPr>
        <w:t>the total number of mosquitoes (</w:t>
      </w:r>
      <w:r w:rsidR="00350136" w:rsidRPr="6231485F">
        <w:rPr>
          <w:rFonts w:ascii="Times New Roman" w:hAnsi="Times New Roman" w:cs="Times New Roman"/>
          <w:i/>
          <w:iCs/>
        </w:rPr>
        <w:t>M</w:t>
      </w:r>
      <w:r w:rsidR="00350136" w:rsidRPr="6231485F">
        <w:rPr>
          <w:rFonts w:ascii="Times New Roman" w:hAnsi="Times New Roman" w:cs="Times New Roman"/>
        </w:rPr>
        <w:t>) in each patch</w:t>
      </w:r>
      <w:r w:rsidR="00C950C4" w:rsidRPr="6231485F">
        <w:rPr>
          <w:rFonts w:ascii="Times New Roman" w:hAnsi="Times New Roman" w:cs="Times New Roman"/>
        </w:rPr>
        <w:t xml:space="preserve"> (</w:t>
      </w:r>
      <w:r w:rsidR="009E5E6D" w:rsidRPr="6231485F">
        <w:rPr>
          <w:rFonts w:ascii="Times New Roman" w:hAnsi="Times New Roman" w:cs="Times New Roman"/>
          <w:i/>
          <w:iCs/>
        </w:rPr>
        <w:t>T</w:t>
      </w:r>
      <w:r w:rsidR="00A2160A" w:rsidRPr="6231485F">
        <w:rPr>
          <w:rFonts w:ascii="Times New Roman" w:hAnsi="Times New Roman" w:cs="Times New Roman"/>
          <w:i/>
          <w:iCs/>
        </w:rPr>
        <w:t xml:space="preserve"> </w:t>
      </w:r>
      <w:r w:rsidR="00C950C4" w:rsidRPr="6231485F">
        <w:rPr>
          <w:rFonts w:ascii="Times New Roman" w:hAnsi="Times New Roman" w:cs="Times New Roman"/>
        </w:rPr>
        <w:t>=</w:t>
      </w:r>
      <w:r w:rsidR="00A2160A" w:rsidRPr="6231485F">
        <w:rPr>
          <w:rFonts w:ascii="Times New Roman" w:hAnsi="Times New Roman" w:cs="Times New Roman"/>
        </w:rPr>
        <w:t xml:space="preserve"> </w:t>
      </w:r>
      <w:r w:rsidR="00C950C4" w:rsidRPr="6231485F">
        <w:rPr>
          <w:rFonts w:ascii="Times New Roman" w:hAnsi="Times New Roman" w:cs="Times New Roman"/>
        </w:rPr>
        <w:t xml:space="preserve">treated, </w:t>
      </w:r>
      <w:r w:rsidR="009E5E6D" w:rsidRPr="6231485F">
        <w:rPr>
          <w:rFonts w:ascii="Times New Roman" w:hAnsi="Times New Roman" w:cs="Times New Roman"/>
          <w:i/>
          <w:iCs/>
        </w:rPr>
        <w:t>U</w:t>
      </w:r>
      <w:r w:rsidR="00A2160A" w:rsidRPr="6231485F">
        <w:rPr>
          <w:rFonts w:ascii="Times New Roman" w:hAnsi="Times New Roman" w:cs="Times New Roman"/>
          <w:i/>
          <w:iCs/>
        </w:rPr>
        <w:t xml:space="preserve"> </w:t>
      </w:r>
      <w:r w:rsidR="00C950C4" w:rsidRPr="6231485F">
        <w:rPr>
          <w:rFonts w:ascii="Times New Roman" w:hAnsi="Times New Roman" w:cs="Times New Roman"/>
        </w:rPr>
        <w:t>=</w:t>
      </w:r>
      <w:r w:rsidR="00A2160A" w:rsidRPr="6231485F">
        <w:rPr>
          <w:rFonts w:ascii="Times New Roman" w:hAnsi="Times New Roman" w:cs="Times New Roman"/>
        </w:rPr>
        <w:t xml:space="preserve"> </w:t>
      </w:r>
      <w:r w:rsidR="00C950C4" w:rsidRPr="6231485F">
        <w:rPr>
          <w:rFonts w:ascii="Times New Roman" w:hAnsi="Times New Roman" w:cs="Times New Roman"/>
        </w:rPr>
        <w:t>untreated)</w:t>
      </w:r>
      <w:r w:rsidR="00350136" w:rsidRPr="6231485F">
        <w:rPr>
          <w:rFonts w:ascii="Times New Roman" w:hAnsi="Times New Roman" w:cs="Times New Roman"/>
        </w:rPr>
        <w:t xml:space="preserve"> in compartment </w:t>
      </w:r>
      <w:r w:rsidR="00350136" w:rsidRPr="6231485F">
        <w:rPr>
          <w:rFonts w:ascii="Times New Roman" w:hAnsi="Times New Roman" w:cs="Times New Roman"/>
          <w:i/>
          <w:iCs/>
        </w:rPr>
        <w:t>Y</w:t>
      </w:r>
      <w:r w:rsidR="00350136" w:rsidRPr="6231485F">
        <w:rPr>
          <w:rFonts w:ascii="Times New Roman" w:hAnsi="Times New Roman" w:cs="Times New Roman"/>
        </w:rPr>
        <w:t xml:space="preserve"> </w:t>
      </w:r>
      <w:r w:rsidR="4E6A8A38" w:rsidRPr="6231485F">
        <w:rPr>
          <w:rFonts w:ascii="Times New Roman" w:hAnsi="Times New Roman" w:cs="Times New Roman"/>
        </w:rPr>
        <w:t>was</w:t>
      </w:r>
    </w:p>
    <w:p w14:paraId="5A5BC0BD" w14:textId="5C95F06E" w:rsidR="00350136" w:rsidRPr="00C950C4" w:rsidRDefault="00000000" w:rsidP="00786971">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U</m:t>
                  </m:r>
                </m:sub>
              </m:sSub>
            </m:sub>
          </m:sSub>
          <m:d>
            <m:dPr>
              <m:ctrlPr>
                <w:rPr>
                  <w:rFonts w:ascii="Cambria Math" w:hAnsi="Cambria Math" w:cs="Times New Roman"/>
                  <w:i/>
                </w:rPr>
              </m:ctrlPr>
            </m:dPr>
            <m:e>
              <m:r>
                <w:rPr>
                  <w:rFonts w:ascii="Cambria Math" w:hAnsi="Cambria Math" w:cs="Times New Roman"/>
                </w:rPr>
                <m:t>τ</m:t>
              </m:r>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sub>
          </m:sSub>
          <m:d>
            <m:dPr>
              <m:ctrlPr>
                <w:rPr>
                  <w:rFonts w:ascii="Cambria Math" w:hAnsi="Cambria Math" w:cs="Times New Roman"/>
                  <w:i/>
                </w:rPr>
              </m:ctrlPr>
            </m:dPr>
            <m:e>
              <m:r>
                <w:rPr>
                  <w:rFonts w:ascii="Cambria Math" w:hAnsi="Cambria Math" w:cs="Times New Roman"/>
                </w:rPr>
                <m:t>τ</m:t>
              </m:r>
            </m:e>
          </m:d>
        </m:oMath>
      </m:oMathPara>
    </w:p>
    <w:p w14:paraId="7138EC38" w14:textId="79A471DF" w:rsidR="00C950C4" w:rsidRPr="001B40B1" w:rsidRDefault="00000000" w:rsidP="001B40B1">
      <w:pPr>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U</m:t>
                </m:r>
              </m:sub>
            </m:sSub>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sub>
        </m:sSub>
        <m:d>
          <m:dPr>
            <m:ctrlPr>
              <w:rPr>
                <w:rFonts w:ascii="Cambria Math" w:hAnsi="Cambria Math" w:cs="Times New Roman"/>
                <w:i/>
              </w:rPr>
            </m:ctrlPr>
          </m:dPr>
          <m:e>
            <m:r>
              <w:rPr>
                <w:rFonts w:ascii="Cambria Math" w:hAnsi="Cambria Math" w:cs="Times New Roman"/>
              </w:rPr>
              <m:t>τ</m:t>
            </m:r>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U</m:t>
                </m:r>
              </m:sub>
            </m:sSub>
          </m:sub>
        </m:sSub>
        <m:d>
          <m:dPr>
            <m:ctrlPr>
              <w:rPr>
                <w:rFonts w:ascii="Cambria Math" w:hAnsi="Cambria Math" w:cs="Times New Roman"/>
                <w:i/>
              </w:rPr>
            </m:ctrlPr>
          </m:dPr>
          <m:e>
            <m:r>
              <w:rPr>
                <w:rFonts w:ascii="Cambria Math" w:hAnsi="Cambria Math" w:cs="Times New Roman"/>
              </w:rPr>
              <m:t>τ</m:t>
            </m:r>
          </m:e>
        </m:d>
      </m:oMath>
      <w:r w:rsidR="009E5E6D">
        <w:rPr>
          <w:rFonts w:ascii="Times New Roman" w:eastAsiaTheme="minorEastAsia" w:hAnsi="Times New Roman" w:cs="Times New Roman"/>
        </w:rPr>
        <w:t>,</w:t>
      </w:r>
    </w:p>
    <w:p w14:paraId="5A4CFA54" w14:textId="4AE3D842" w:rsidR="00D468DB" w:rsidRDefault="00350136" w:rsidP="00786971">
      <w:pPr>
        <w:rPr>
          <w:rFonts w:ascii="Times New Roman" w:hAnsi="Times New Roman" w:cs="Times New Roman"/>
        </w:rPr>
      </w:pPr>
      <w:r w:rsidRPr="6231485F">
        <w:rPr>
          <w:rFonts w:ascii="Times New Roman" w:hAnsi="Times New Roman" w:cs="Times New Roman"/>
        </w:rPr>
        <w:t xml:space="preserve">and </w:t>
      </w:r>
      <w:r w:rsidR="000B7B6A" w:rsidRPr="6231485F">
        <w:rPr>
          <w:rFonts w:ascii="Times New Roman" w:hAnsi="Times New Roman" w:cs="Times New Roman"/>
        </w:rPr>
        <w:t xml:space="preserve">the </w:t>
      </w:r>
      <w:r w:rsidR="00C35C6E" w:rsidRPr="6231485F">
        <w:rPr>
          <w:rFonts w:ascii="Times New Roman" w:hAnsi="Times New Roman" w:cs="Times New Roman"/>
        </w:rPr>
        <w:t xml:space="preserve">total </w:t>
      </w:r>
      <w:r w:rsidR="000B7B6A" w:rsidRPr="6231485F">
        <w:rPr>
          <w:rFonts w:ascii="Times New Roman" w:hAnsi="Times New Roman" w:cs="Times New Roman"/>
        </w:rPr>
        <w:t xml:space="preserve">number of </w:t>
      </w:r>
      <w:r w:rsidRPr="6231485F">
        <w:rPr>
          <w:rFonts w:ascii="Times New Roman" w:hAnsi="Times New Roman" w:cs="Times New Roman"/>
        </w:rPr>
        <w:t>birds in each patch</w:t>
      </w:r>
      <w:r w:rsidR="00C950C4" w:rsidRPr="6231485F">
        <w:rPr>
          <w:rFonts w:ascii="Times New Roman" w:hAnsi="Times New Roman" w:cs="Times New Roman"/>
        </w:rPr>
        <w:t xml:space="preserve"> (</w:t>
      </w:r>
      <w:r w:rsidR="009E5E6D" w:rsidRPr="6231485F">
        <w:rPr>
          <w:rFonts w:ascii="Times New Roman" w:hAnsi="Times New Roman" w:cs="Times New Roman"/>
          <w:i/>
          <w:iCs/>
        </w:rPr>
        <w:t>T</w:t>
      </w:r>
      <w:r w:rsidR="00A2160A" w:rsidRPr="6231485F">
        <w:rPr>
          <w:rFonts w:ascii="Times New Roman" w:hAnsi="Times New Roman" w:cs="Times New Roman"/>
          <w:i/>
          <w:iCs/>
        </w:rPr>
        <w:t xml:space="preserve"> </w:t>
      </w:r>
      <w:r w:rsidR="00C950C4" w:rsidRPr="6231485F">
        <w:rPr>
          <w:rFonts w:ascii="Times New Roman" w:hAnsi="Times New Roman" w:cs="Times New Roman"/>
        </w:rPr>
        <w:t>=</w:t>
      </w:r>
      <w:r w:rsidR="00A2160A" w:rsidRPr="6231485F">
        <w:rPr>
          <w:rFonts w:ascii="Times New Roman" w:hAnsi="Times New Roman" w:cs="Times New Roman"/>
        </w:rPr>
        <w:t xml:space="preserve"> </w:t>
      </w:r>
      <w:r w:rsidR="00C950C4" w:rsidRPr="6231485F">
        <w:rPr>
          <w:rFonts w:ascii="Times New Roman" w:hAnsi="Times New Roman" w:cs="Times New Roman"/>
        </w:rPr>
        <w:t xml:space="preserve">treated, </w:t>
      </w:r>
      <w:r w:rsidR="009E5E6D" w:rsidRPr="6231485F">
        <w:rPr>
          <w:rFonts w:ascii="Times New Roman" w:hAnsi="Times New Roman" w:cs="Times New Roman"/>
          <w:i/>
          <w:iCs/>
        </w:rPr>
        <w:t>U</w:t>
      </w:r>
      <w:r w:rsidR="00A2160A" w:rsidRPr="6231485F">
        <w:rPr>
          <w:rFonts w:ascii="Times New Roman" w:hAnsi="Times New Roman" w:cs="Times New Roman"/>
          <w:i/>
          <w:iCs/>
        </w:rPr>
        <w:t xml:space="preserve"> </w:t>
      </w:r>
      <w:r w:rsidR="00C950C4" w:rsidRPr="6231485F">
        <w:rPr>
          <w:rFonts w:ascii="Times New Roman" w:hAnsi="Times New Roman" w:cs="Times New Roman"/>
        </w:rPr>
        <w:t>=</w:t>
      </w:r>
      <w:r w:rsidR="00A2160A" w:rsidRPr="6231485F">
        <w:rPr>
          <w:rFonts w:ascii="Times New Roman" w:hAnsi="Times New Roman" w:cs="Times New Roman"/>
        </w:rPr>
        <w:t xml:space="preserve"> </w:t>
      </w:r>
      <w:r w:rsidR="00C950C4" w:rsidRPr="6231485F">
        <w:rPr>
          <w:rFonts w:ascii="Times New Roman" w:hAnsi="Times New Roman" w:cs="Times New Roman"/>
        </w:rPr>
        <w:t xml:space="preserve">untreated) </w:t>
      </w:r>
      <w:r w:rsidRPr="6231485F">
        <w:rPr>
          <w:rFonts w:ascii="Times New Roman" w:hAnsi="Times New Roman" w:cs="Times New Roman"/>
        </w:rPr>
        <w:t xml:space="preserve">in group </w:t>
      </w:r>
      <w:r w:rsidRPr="6231485F">
        <w:rPr>
          <w:rFonts w:ascii="Times New Roman" w:hAnsi="Times New Roman" w:cs="Times New Roman"/>
          <w:i/>
          <w:iCs/>
        </w:rPr>
        <w:t xml:space="preserve">X </w:t>
      </w:r>
      <w:r w:rsidRPr="6231485F">
        <w:rPr>
          <w:rFonts w:ascii="Times New Roman" w:hAnsi="Times New Roman" w:cs="Times New Roman"/>
        </w:rPr>
        <w:t xml:space="preserve">in compartment </w:t>
      </w:r>
      <w:r w:rsidRPr="6231485F">
        <w:rPr>
          <w:rFonts w:ascii="Times New Roman" w:hAnsi="Times New Roman" w:cs="Times New Roman"/>
          <w:i/>
          <w:iCs/>
        </w:rPr>
        <w:t xml:space="preserve">Y </w:t>
      </w:r>
      <w:r w:rsidRPr="6231485F">
        <w:rPr>
          <w:rFonts w:ascii="Times New Roman" w:hAnsi="Times New Roman" w:cs="Times New Roman"/>
        </w:rPr>
        <w:t xml:space="preserve">with treatment status </w:t>
      </w:r>
      <w:r w:rsidR="009E5E6D" w:rsidRPr="6231485F">
        <w:rPr>
          <w:rFonts w:ascii="Times New Roman" w:hAnsi="Times New Roman" w:cs="Times New Roman"/>
          <w:i/>
          <w:iCs/>
        </w:rPr>
        <w:t xml:space="preserve">k </w:t>
      </w:r>
      <w:r w:rsidR="05E8DADC" w:rsidRPr="00120B00">
        <w:rPr>
          <w:rFonts w:ascii="Times New Roman" w:hAnsi="Times New Roman" w:cs="Times New Roman"/>
        </w:rPr>
        <w:t>was</w:t>
      </w:r>
    </w:p>
    <w:p w14:paraId="6F91AF42" w14:textId="48348BF2" w:rsidR="00C35C6E" w:rsidRDefault="00000000" w:rsidP="00C35C6E">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Xk</m:t>
                  </m:r>
                </m:e>
                <m:sub>
                  <m:r>
                    <w:rPr>
                      <w:rFonts w:ascii="Cambria Math" w:hAnsi="Cambria Math" w:cs="Times New Roman"/>
                    </w:rPr>
                    <m:t>T</m:t>
                  </m:r>
                </m:sub>
              </m:sSub>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Xk</m:t>
                  </m:r>
                </m:e>
                <m:sub>
                  <m:r>
                    <w:rPr>
                      <w:rFonts w:ascii="Cambria Math" w:hAnsi="Cambria Math" w:cs="Times New Roman"/>
                    </w:rPr>
                    <m:t>U</m:t>
                  </m:r>
                </m:sub>
              </m:sSub>
            </m:sub>
          </m:sSub>
          <m:d>
            <m:dPr>
              <m:ctrlPr>
                <w:rPr>
                  <w:rFonts w:ascii="Cambria Math" w:hAnsi="Cambria Math" w:cs="Times New Roman"/>
                  <w:i/>
                </w:rPr>
              </m:ctrlPr>
            </m:dPr>
            <m:e>
              <m:r>
                <w:rPr>
                  <w:rFonts w:ascii="Cambria Math" w:hAnsi="Cambria Math" w:cs="Times New Roman"/>
                </w:rPr>
                <m:t>τ</m:t>
              </m:r>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Xk</m:t>
                  </m:r>
                </m:e>
                <m:sub>
                  <m:r>
                    <w:rPr>
                      <w:rFonts w:ascii="Cambria Math" w:hAnsi="Cambria Math" w:cs="Times New Roman"/>
                    </w:rPr>
                    <m:t>T</m:t>
                  </m:r>
                </m:sub>
              </m:sSub>
            </m:sub>
          </m:sSub>
          <m:d>
            <m:dPr>
              <m:ctrlPr>
                <w:rPr>
                  <w:rFonts w:ascii="Cambria Math" w:hAnsi="Cambria Math" w:cs="Times New Roman"/>
                  <w:i/>
                </w:rPr>
              </m:ctrlPr>
            </m:dPr>
            <m:e>
              <m:r>
                <w:rPr>
                  <w:rFonts w:ascii="Cambria Math" w:hAnsi="Cambria Math" w:cs="Times New Roman"/>
                </w:rPr>
                <m:t>τ</m:t>
              </m:r>
            </m:e>
          </m:d>
        </m:oMath>
      </m:oMathPara>
    </w:p>
    <w:p w14:paraId="7C5ADFDD" w14:textId="78914E35" w:rsidR="00E13DC2" w:rsidRPr="001B40B1" w:rsidRDefault="00000000" w:rsidP="001B40B1">
      <w:pPr>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Xk</m:t>
                </m:r>
              </m:e>
              <m:sub>
                <m:r>
                  <w:rPr>
                    <w:rFonts w:ascii="Cambria Math" w:hAnsi="Cambria Math" w:cs="Times New Roman"/>
                  </w:rPr>
                  <m:t>U</m:t>
                </m:r>
              </m:sub>
            </m:sSub>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Xk</m:t>
                </m:r>
              </m:e>
              <m:sub>
                <m:r>
                  <w:rPr>
                    <w:rFonts w:ascii="Cambria Math" w:hAnsi="Cambria Math" w:cs="Times New Roman"/>
                  </w:rPr>
                  <m:t>T</m:t>
                </m:r>
              </m:sub>
            </m:sSub>
          </m:sub>
        </m:sSub>
        <m:d>
          <m:dPr>
            <m:ctrlPr>
              <w:rPr>
                <w:rFonts w:ascii="Cambria Math" w:hAnsi="Cambria Math" w:cs="Times New Roman"/>
                <w:i/>
              </w:rPr>
            </m:ctrlPr>
          </m:dPr>
          <m:e>
            <m:r>
              <w:rPr>
                <w:rFonts w:ascii="Cambria Math" w:hAnsi="Cambria Math" w:cs="Times New Roman"/>
              </w:rPr>
              <m:t>τ</m:t>
            </m:r>
          </m:e>
        </m:d>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Y</m:t>
            </m:r>
          </m:e>
          <m:sub>
            <m:sSub>
              <m:sSubPr>
                <m:ctrlPr>
                  <w:rPr>
                    <w:rFonts w:ascii="Cambria Math" w:hAnsi="Cambria Math" w:cs="Times New Roman"/>
                    <w:i/>
                  </w:rPr>
                </m:ctrlPr>
              </m:sSubPr>
              <m:e>
                <m:r>
                  <w:rPr>
                    <w:rFonts w:ascii="Cambria Math" w:hAnsi="Cambria Math" w:cs="Times New Roman"/>
                  </w:rPr>
                  <m:t>Xk</m:t>
                </m:r>
              </m:e>
              <m:sub>
                <m:r>
                  <w:rPr>
                    <w:rFonts w:ascii="Cambria Math" w:hAnsi="Cambria Math" w:cs="Times New Roman"/>
                  </w:rPr>
                  <m:t>U</m:t>
                </m:r>
              </m:sub>
            </m:sSub>
          </m:sub>
        </m:sSub>
        <m:d>
          <m:dPr>
            <m:ctrlPr>
              <w:rPr>
                <w:rFonts w:ascii="Cambria Math" w:hAnsi="Cambria Math" w:cs="Times New Roman"/>
                <w:i/>
              </w:rPr>
            </m:ctrlPr>
          </m:dPr>
          <m:e>
            <m:r>
              <w:rPr>
                <w:rFonts w:ascii="Cambria Math" w:hAnsi="Cambria Math" w:cs="Times New Roman"/>
              </w:rPr>
              <m:t>τ</m:t>
            </m:r>
          </m:e>
        </m:d>
      </m:oMath>
      <w:r w:rsidR="009E5E6D" w:rsidRPr="20EADFB3">
        <w:rPr>
          <w:rFonts w:ascii="Times New Roman" w:eastAsiaTheme="minorEastAsia" w:hAnsi="Times New Roman" w:cs="Times New Roman"/>
        </w:rPr>
        <w:t>.</w:t>
      </w:r>
    </w:p>
    <w:p w14:paraId="6E11D91C" w14:textId="313C3405" w:rsidR="007D097B" w:rsidRDefault="45563E98" w:rsidP="20EADFB3">
      <w:pPr>
        <w:rPr>
          <w:rFonts w:ascii="Times New Roman" w:hAnsi="Times New Roman" w:cs="Times New Roman"/>
        </w:rPr>
      </w:pPr>
      <w:r w:rsidRPr="20EADFB3">
        <w:rPr>
          <w:rFonts w:ascii="Times New Roman" w:hAnsi="Times New Roman" w:cs="Times New Roman"/>
        </w:rPr>
        <w:t xml:space="preserve">The model was initialized with 200 total </w:t>
      </w:r>
      <w:r w:rsidR="7FF784C1" w:rsidRPr="20EADFB3">
        <w:rPr>
          <w:rFonts w:ascii="Times New Roman" w:hAnsi="Times New Roman" w:cs="Times New Roman"/>
        </w:rPr>
        <w:t xml:space="preserve">untreated </w:t>
      </w:r>
      <w:r w:rsidRPr="20EADFB3">
        <w:rPr>
          <w:rFonts w:ascii="Times New Roman" w:hAnsi="Times New Roman" w:cs="Times New Roman"/>
        </w:rPr>
        <w:t>birds (162 competent, 38 incompetent)</w:t>
      </w:r>
      <w:r w:rsidR="3A6F0768" w:rsidRPr="20EADFB3">
        <w:rPr>
          <w:rFonts w:ascii="Times New Roman" w:hAnsi="Times New Roman" w:cs="Times New Roman"/>
        </w:rPr>
        <w:t xml:space="preserve"> and 3,510 mosquitoes</w:t>
      </w:r>
      <w:r w:rsidRPr="20EADFB3">
        <w:rPr>
          <w:rFonts w:ascii="Times New Roman" w:hAnsi="Times New Roman" w:cs="Times New Roman"/>
        </w:rPr>
        <w:t>. Th</w:t>
      </w:r>
      <w:r w:rsidR="43CC2A4B" w:rsidRPr="20EADFB3">
        <w:rPr>
          <w:rFonts w:ascii="Times New Roman" w:hAnsi="Times New Roman" w:cs="Times New Roman"/>
        </w:rPr>
        <w:t>ese</w:t>
      </w:r>
      <w:r w:rsidRPr="20EADFB3">
        <w:rPr>
          <w:rFonts w:ascii="Times New Roman" w:hAnsi="Times New Roman" w:cs="Times New Roman"/>
        </w:rPr>
        <w:t xml:space="preserve"> total</w:t>
      </w:r>
      <w:r w:rsidR="3B2EC51D" w:rsidRPr="20EADFB3">
        <w:rPr>
          <w:rFonts w:ascii="Times New Roman" w:hAnsi="Times New Roman" w:cs="Times New Roman"/>
        </w:rPr>
        <w:t>s</w:t>
      </w:r>
      <w:r w:rsidRPr="20EADFB3">
        <w:rPr>
          <w:rFonts w:ascii="Times New Roman" w:hAnsi="Times New Roman" w:cs="Times New Roman"/>
        </w:rPr>
        <w:t xml:space="preserve"> </w:t>
      </w:r>
      <w:r w:rsidR="0EA71C71" w:rsidRPr="20EADFB3">
        <w:rPr>
          <w:rFonts w:ascii="Times New Roman" w:hAnsi="Times New Roman" w:cs="Times New Roman"/>
        </w:rPr>
        <w:t>were</w:t>
      </w:r>
      <w:r w:rsidRPr="20EADFB3">
        <w:rPr>
          <w:rFonts w:ascii="Times New Roman" w:hAnsi="Times New Roman" w:cs="Times New Roman"/>
        </w:rPr>
        <w:t xml:space="preserve"> divided into the treated and untreated patches </w:t>
      </w:r>
      <w:r w:rsidR="2C2E223D" w:rsidRPr="20EADFB3">
        <w:rPr>
          <w:rFonts w:ascii="Times New Roman" w:hAnsi="Times New Roman" w:cs="Times New Roman"/>
        </w:rPr>
        <w:t>based on the proportion of the lots in each treatment status.</w:t>
      </w:r>
    </w:p>
    <w:p w14:paraId="0E8BC7F2" w14:textId="6C3E4AC2" w:rsidR="007D097B" w:rsidRDefault="007D097B" w:rsidP="20EADFB3">
      <w:pPr>
        <w:rPr>
          <w:rFonts w:ascii="Times New Roman" w:hAnsi="Times New Roman" w:cs="Times New Roman"/>
        </w:rPr>
      </w:pPr>
      <w:r w:rsidRPr="20EADFB3">
        <w:rPr>
          <w:rFonts w:ascii="Times New Roman" w:hAnsi="Times New Roman" w:cs="Times New Roman"/>
        </w:rPr>
        <w:t>In order to capture realistic infection dynamics observed at the city level on the neighborhood level, we forced a rate of 0.75 exposed mosquitoes per 1,000 in week 25 (</w:t>
      </w:r>
      <w:r w:rsidR="00B662BD">
        <w:rPr>
          <w:rFonts w:ascii="Times New Roman" w:hAnsi="Times New Roman" w:cs="Times New Roman"/>
        </w:rPr>
        <w:t xml:space="preserve">18-24 </w:t>
      </w:r>
      <w:r w:rsidRPr="20EADFB3">
        <w:rPr>
          <w:rFonts w:ascii="Times New Roman" w:hAnsi="Times New Roman" w:cs="Times New Roman"/>
        </w:rPr>
        <w:t>Jun) in each patch and introduced a total of 2.5 exposed competent birds to the whole neighborhood at the start of week 28 (</w:t>
      </w:r>
      <w:r w:rsidR="002362B7">
        <w:rPr>
          <w:rFonts w:ascii="Times New Roman" w:hAnsi="Times New Roman" w:cs="Times New Roman"/>
        </w:rPr>
        <w:t xml:space="preserve">9 </w:t>
      </w:r>
      <w:r w:rsidRPr="20EADFB3">
        <w:rPr>
          <w:rFonts w:ascii="Times New Roman" w:hAnsi="Times New Roman" w:cs="Times New Roman"/>
        </w:rPr>
        <w:t xml:space="preserve">Jul); the number of exposed birds introduced per patch was based on the proportion of the total competent birds (treated and untreated) present in each patch at that time. These forcing parameters and the gonotrophic period (GP) (i.e., time between bloodmeals) were chosen together to reduce mean squared error between predicted infection dynamics and observed infection dynamics in Fort Collins for 2007 </w:t>
      </w:r>
      <w:r w:rsidRPr="20EADFB3">
        <w:rPr>
          <w:rFonts w:ascii="Times New Roman" w:hAnsi="Times New Roman" w:cs="Times New Roman"/>
        </w:rPr>
        <w:fldChar w:fldCharType="begin" w:fldLock="1"/>
      </w:r>
      <w:r w:rsidRPr="20EADFB3">
        <w:rPr>
          <w:rFonts w:ascii="Times New Roman" w:hAnsi="Times New Roman" w:cs="Times New Roman"/>
        </w:rPr>
        <w:instrText>ADDIN CSL_CITATION {"citationItems":[{"id":"ITEM-1","itemData":{"DOI":"10.1093/jme/tjv234","ISSN":"0022-2585","author":[{"dropping-particle":"","family":"Fauver","given":"Joseph R.","non-dropping-particle":"","parse-names":false,"suffix":""},{"dropping-particle":"","family":"Pecher","given":"Lauren","non-dropping-particle":"","parse-names":false,"suffix":""},{"dropping-particle":"","family":"Schurich","given":"Jessica A.","non-dropping-particle":"","parse-names":false,"suffix":""},{"dropping-particle":"","family":"Bolling","given":"Bethany G.","non-dropping-particle":"","parse-names":false,"suffix":""},{"dropping-particle":"","family":"Calhoon","given":"Mike","non-dropping-particle":"","parse-names":false,"suffix":""},{"dropping-particle":"","family":"Grubaugh","given":"Nathan D.","non-dropping-particle":"","parse-names":false,"suffix":""},{"dropping-particle":"","family":"Burkhalter","given":"Kristen L.","non-dropping-particle":"","parse-names":false,"suffix":""},{"dropping-particle":"","family":"Eisen","given":"Lars","non-dropping-particle":"","parse-names":false,"suffix":""},{"dropping-particle":"","family":"Andre","given":"Barbara G.","non-dropping-particle":"","parse-names":false,"suffix":""},{"dropping-particle":"","family":"Nasci","given":"Roger S.","non-dropping-particle":"","parse-names":false,"suffix":""},{"dropping-particle":"","family":"LeBailly","given":"Adrienne","non-dropping-particle":"","parse-names":false,"suffix":""},{"dropping-particle":"","family":"Ebel","given":"Gregory D.","non-dropping-particle":"","parse-names":false,"suffix":""},{"dropping-particle":"","family":"Moore","given":"Chester G.","non-dropping-particle":"","parse-names":false,"suffix":""}],"container-title":"Journal of Medical Entomology","id":"ITEM-1","issue":"2","issued":{"date-parts":[["2016","3"]]},"page":"425-434","title":"Temporal and spatial variability of entomological risk indices for West Nile virus infection in Northern Colorado: 2006–2013","type":"article-journal","volume":"53"},"uris":["http://www.mendeley.com/documents/?uuid=05566149-9ff0-4579-9984-c57dcfe3cd6e"]}],"mendeley":{"formattedCitation":"[7]","plainTextFormattedCitation":"[7]","previouslyFormattedCitation":"[6]"},"properties":{"noteIndex":0},"schema":"https://github.com/citation-style-language/schema/raw/master/csl-citation.json"}</w:instrText>
      </w:r>
      <w:r w:rsidRPr="20EADFB3">
        <w:rPr>
          <w:rFonts w:ascii="Times New Roman" w:hAnsi="Times New Roman" w:cs="Times New Roman"/>
        </w:rPr>
        <w:fldChar w:fldCharType="separate"/>
      </w:r>
      <w:r w:rsidR="004027ED" w:rsidRPr="20EADFB3">
        <w:rPr>
          <w:rFonts w:ascii="Times New Roman" w:hAnsi="Times New Roman" w:cs="Times New Roman"/>
          <w:noProof/>
        </w:rPr>
        <w:t>[7]</w:t>
      </w:r>
      <w:r w:rsidRPr="20EADFB3">
        <w:rPr>
          <w:rFonts w:ascii="Times New Roman" w:hAnsi="Times New Roman" w:cs="Times New Roman"/>
        </w:rPr>
        <w:fldChar w:fldCharType="end"/>
      </w:r>
      <w:r w:rsidRPr="20EADFB3">
        <w:rPr>
          <w:rFonts w:ascii="Times New Roman" w:hAnsi="Times New Roman" w:cs="Times New Roman"/>
        </w:rPr>
        <w:t xml:space="preserve"> using the </w:t>
      </w:r>
      <w:proofErr w:type="spellStart"/>
      <w:r w:rsidRPr="00D31820">
        <w:rPr>
          <w:rFonts w:ascii="Times New Roman" w:hAnsi="Times New Roman" w:cs="Times New Roman"/>
        </w:rPr>
        <w:t>optim</w:t>
      </w:r>
      <w:proofErr w:type="spellEnd"/>
      <w:r w:rsidRPr="20EADFB3">
        <w:rPr>
          <w:rFonts w:ascii="Times New Roman" w:hAnsi="Times New Roman" w:cs="Times New Roman"/>
        </w:rPr>
        <w:t xml:space="preserve"> function in R </w:t>
      </w:r>
      <w:r w:rsidRPr="20EADFB3">
        <w:rPr>
          <w:rFonts w:ascii="Times New Roman" w:hAnsi="Times New Roman" w:cs="Times New Roman"/>
        </w:rPr>
        <w:fldChar w:fldCharType="begin" w:fldLock="1"/>
      </w:r>
      <w:r w:rsidRPr="20EADFB3">
        <w:rPr>
          <w:rFonts w:ascii="Times New Roman" w:hAnsi="Times New Roman" w:cs="Times New Roman"/>
        </w:rPr>
        <w:instrText>ADDIN CSL_CITATION {"citationItems":[{"id":"ITEM-1","itemData":{"author":[{"dropping-particle":"","family":"R Core Team","given":"","non-dropping-particle":"","parse-names":false,"suffix":""}],"id":"ITEM-1","issued":{"date-parts":[["2020"]]},"publisher":"R Foundation for Statisitcal Computing","publisher-place":"Vienna, Austria","title":"R: A language and environment for statistical computing","type":"article"},"uris":["http://www.mendeley.com/documents/?uuid=7e3c1d55-c3b1-46df-8724-b5249a1af714"]}],"mendeley":{"formattedCitation":"[8]","plainTextFormattedCitation":"[8]","previouslyFormattedCitation":"[7]"},"properties":{"noteIndex":0},"schema":"https://github.com/citation-style-language/schema/raw/master/csl-citation.json"}</w:instrText>
      </w:r>
      <w:r w:rsidRPr="20EADFB3">
        <w:rPr>
          <w:rFonts w:ascii="Times New Roman" w:hAnsi="Times New Roman" w:cs="Times New Roman"/>
        </w:rPr>
        <w:fldChar w:fldCharType="separate"/>
      </w:r>
      <w:r w:rsidR="004027ED" w:rsidRPr="20EADFB3">
        <w:rPr>
          <w:rFonts w:ascii="Times New Roman" w:hAnsi="Times New Roman" w:cs="Times New Roman"/>
          <w:noProof/>
        </w:rPr>
        <w:t>[8]</w:t>
      </w:r>
      <w:r w:rsidRPr="20EADFB3">
        <w:rPr>
          <w:rFonts w:ascii="Times New Roman" w:hAnsi="Times New Roman" w:cs="Times New Roman"/>
        </w:rPr>
        <w:fldChar w:fldCharType="end"/>
      </w:r>
      <w:r w:rsidRPr="20EADFB3">
        <w:rPr>
          <w:rFonts w:ascii="Times New Roman" w:hAnsi="Times New Roman" w:cs="Times New Roman"/>
        </w:rPr>
        <w:t xml:space="preserve">. </w:t>
      </w:r>
    </w:p>
    <w:p w14:paraId="194EE14C" w14:textId="77777777" w:rsidR="00B45DA5" w:rsidRDefault="00B45DA5">
      <w:pPr>
        <w:rPr>
          <w:rFonts w:ascii="Times New Roman" w:hAnsi="Times New Roman" w:cs="Times New Roman"/>
          <w:b/>
          <w:bCs/>
        </w:rPr>
      </w:pPr>
      <w:r>
        <w:rPr>
          <w:rFonts w:ascii="Times New Roman" w:hAnsi="Times New Roman" w:cs="Times New Roman"/>
          <w:b/>
          <w:bCs/>
        </w:rPr>
        <w:br w:type="page"/>
      </w:r>
    </w:p>
    <w:p w14:paraId="454B0910" w14:textId="2C9633D3" w:rsidR="00E13DC2" w:rsidRDefault="00E13DC2" w:rsidP="00947A9F">
      <w:pPr>
        <w:widowControl w:val="0"/>
        <w:autoSpaceDE w:val="0"/>
        <w:autoSpaceDN w:val="0"/>
        <w:adjustRightInd w:val="0"/>
        <w:spacing w:after="0" w:line="240" w:lineRule="auto"/>
        <w:rPr>
          <w:rFonts w:ascii="Times New Roman" w:hAnsi="Times New Roman" w:cs="Times New Roman"/>
        </w:rPr>
      </w:pPr>
      <w:r w:rsidRPr="676DB29C">
        <w:rPr>
          <w:rFonts w:ascii="Times New Roman" w:hAnsi="Times New Roman" w:cs="Times New Roman"/>
          <w:b/>
          <w:bCs/>
        </w:rPr>
        <w:lastRenderedPageBreak/>
        <w:t>Table</w:t>
      </w:r>
      <w:r w:rsidR="1AEFB612" w:rsidRPr="676DB29C">
        <w:rPr>
          <w:rFonts w:ascii="Times New Roman" w:hAnsi="Times New Roman" w:cs="Times New Roman"/>
          <w:b/>
          <w:bCs/>
        </w:rPr>
        <w:t xml:space="preserve"> A</w:t>
      </w:r>
      <w:r w:rsidRPr="676DB29C">
        <w:rPr>
          <w:rFonts w:ascii="Times New Roman" w:hAnsi="Times New Roman" w:cs="Times New Roman"/>
          <w:b/>
          <w:bCs/>
        </w:rPr>
        <w:t xml:space="preserve">. </w:t>
      </w:r>
      <w:r w:rsidR="2DBFF7E5" w:rsidRPr="676DB29C">
        <w:rPr>
          <w:rFonts w:ascii="Times New Roman" w:hAnsi="Times New Roman" w:cs="Times New Roman"/>
          <w:b/>
          <w:bCs/>
        </w:rPr>
        <w:t xml:space="preserve">Parameterization of West Nile virus (WNV) transmission model. </w:t>
      </w:r>
    </w:p>
    <w:tbl>
      <w:tblPr>
        <w:tblStyle w:val="TableGrid"/>
        <w:tblW w:w="9350" w:type="dxa"/>
        <w:tblLook w:val="04A0" w:firstRow="1" w:lastRow="0" w:firstColumn="1" w:lastColumn="0" w:noHBand="0" w:noVBand="1"/>
      </w:tblPr>
      <w:tblGrid>
        <w:gridCol w:w="975"/>
        <w:gridCol w:w="2985"/>
        <w:gridCol w:w="2937"/>
        <w:gridCol w:w="1326"/>
        <w:gridCol w:w="1127"/>
      </w:tblGrid>
      <w:tr w:rsidR="00E13DC2" w14:paraId="09496E02" w14:textId="77777777" w:rsidTr="6231485F">
        <w:tc>
          <w:tcPr>
            <w:tcW w:w="975" w:type="dxa"/>
            <w:vAlign w:val="center"/>
          </w:tcPr>
          <w:p w14:paraId="6AA77451"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Symbol</w:t>
            </w:r>
          </w:p>
        </w:tc>
        <w:tc>
          <w:tcPr>
            <w:tcW w:w="2985" w:type="dxa"/>
            <w:vAlign w:val="center"/>
          </w:tcPr>
          <w:p w14:paraId="3526288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Meaning</w:t>
            </w:r>
          </w:p>
        </w:tc>
        <w:tc>
          <w:tcPr>
            <w:tcW w:w="2937" w:type="dxa"/>
            <w:vAlign w:val="center"/>
          </w:tcPr>
          <w:p w14:paraId="13EDD2D5"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Value</w:t>
            </w:r>
          </w:p>
        </w:tc>
        <w:tc>
          <w:tcPr>
            <w:tcW w:w="1326" w:type="dxa"/>
            <w:vAlign w:val="center"/>
          </w:tcPr>
          <w:p w14:paraId="25BDFEA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Units</w:t>
            </w:r>
          </w:p>
        </w:tc>
        <w:tc>
          <w:tcPr>
            <w:tcW w:w="1127" w:type="dxa"/>
            <w:vAlign w:val="center"/>
          </w:tcPr>
          <w:p w14:paraId="04DF659A"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Reference</w:t>
            </w:r>
          </w:p>
        </w:tc>
      </w:tr>
      <w:tr w:rsidR="00E13DC2" w14:paraId="7FF87F15" w14:textId="77777777" w:rsidTr="6231485F">
        <w:tc>
          <w:tcPr>
            <w:tcW w:w="975" w:type="dxa"/>
            <w:vAlign w:val="center"/>
          </w:tcPr>
          <w:p w14:paraId="610E0AE1"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oMath>
            </m:oMathPara>
          </w:p>
        </w:tc>
        <w:tc>
          <w:tcPr>
            <w:tcW w:w="2985" w:type="dxa"/>
            <w:vAlign w:val="center"/>
          </w:tcPr>
          <w:p w14:paraId="72C456DE"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Birth rate of mosquitoes</w:t>
            </w:r>
          </w:p>
        </w:tc>
        <w:tc>
          <w:tcPr>
            <w:tcW w:w="2937" w:type="dxa"/>
            <w:vAlign w:val="center"/>
          </w:tcPr>
          <w:p w14:paraId="71456986"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oMath>
            </m:oMathPara>
          </w:p>
        </w:tc>
        <w:tc>
          <w:tcPr>
            <w:tcW w:w="1326" w:type="dxa"/>
            <w:vAlign w:val="center"/>
          </w:tcPr>
          <w:p w14:paraId="0EEE22A8" w14:textId="77777777" w:rsidR="00E13DC2" w:rsidRPr="00275761" w:rsidRDefault="00E13DC2" w:rsidP="008A0B7A">
            <w:pPr>
              <w:widowControl w:val="0"/>
              <w:autoSpaceDE w:val="0"/>
              <w:autoSpaceDN w:val="0"/>
              <w:adjustRightInd w:val="0"/>
              <w:rPr>
                <w:rFonts w:ascii="Times New Roman" w:hAnsi="Times New Roman" w:cs="Times New Roman"/>
                <w:vertAlign w:val="superscript"/>
              </w:rPr>
            </w:pPr>
            <w:r>
              <w:rPr>
                <w:rFonts w:ascii="Times New Roman" w:hAnsi="Times New Roman" w:cs="Times New Roman"/>
              </w:rPr>
              <w:t>day</w:t>
            </w:r>
            <w:r>
              <w:rPr>
                <w:rFonts w:ascii="Times New Roman" w:hAnsi="Times New Roman" w:cs="Times New Roman"/>
                <w:vertAlign w:val="superscript"/>
              </w:rPr>
              <w:t>-1</w:t>
            </w:r>
          </w:p>
        </w:tc>
        <w:tc>
          <w:tcPr>
            <w:tcW w:w="1127" w:type="dxa"/>
            <w:vAlign w:val="center"/>
          </w:tcPr>
          <w:p w14:paraId="60B44CF0"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24C46ABA" w14:textId="77777777" w:rsidTr="6231485F">
        <w:tc>
          <w:tcPr>
            <w:tcW w:w="975" w:type="dxa"/>
            <w:vAlign w:val="center"/>
          </w:tcPr>
          <w:p w14:paraId="7B30380B"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C</m:t>
                    </m:r>
                  </m:sub>
                </m:sSub>
              </m:oMath>
            </m:oMathPara>
          </w:p>
        </w:tc>
        <w:tc>
          <w:tcPr>
            <w:tcW w:w="2985" w:type="dxa"/>
            <w:vAlign w:val="center"/>
          </w:tcPr>
          <w:p w14:paraId="03E3021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Birth rate of competent birds</w:t>
            </w:r>
          </w:p>
        </w:tc>
        <w:tc>
          <w:tcPr>
            <w:tcW w:w="2937" w:type="dxa"/>
            <w:vAlign w:val="center"/>
          </w:tcPr>
          <w:p w14:paraId="36D4358D"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oMath>
            </m:oMathPara>
          </w:p>
        </w:tc>
        <w:tc>
          <w:tcPr>
            <w:tcW w:w="1326" w:type="dxa"/>
            <w:vAlign w:val="center"/>
          </w:tcPr>
          <w:p w14:paraId="06172C1B"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year</w:t>
            </w:r>
            <w:r>
              <w:rPr>
                <w:rFonts w:ascii="Times New Roman" w:hAnsi="Times New Roman" w:cs="Times New Roman"/>
                <w:vertAlign w:val="superscript"/>
              </w:rPr>
              <w:t>-1</w:t>
            </w:r>
          </w:p>
        </w:tc>
        <w:tc>
          <w:tcPr>
            <w:tcW w:w="1127" w:type="dxa"/>
            <w:vAlign w:val="center"/>
          </w:tcPr>
          <w:p w14:paraId="4203BF08"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57E04170" w14:textId="77777777" w:rsidTr="6231485F">
        <w:tc>
          <w:tcPr>
            <w:tcW w:w="975" w:type="dxa"/>
            <w:vAlign w:val="center"/>
          </w:tcPr>
          <w:p w14:paraId="1E3F2CBA"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m:oMathPara>
          </w:p>
        </w:tc>
        <w:tc>
          <w:tcPr>
            <w:tcW w:w="2985" w:type="dxa"/>
            <w:vAlign w:val="center"/>
          </w:tcPr>
          <w:p w14:paraId="78A3962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Birth rate of incompetent birds</w:t>
            </w:r>
          </w:p>
        </w:tc>
        <w:tc>
          <w:tcPr>
            <w:tcW w:w="2937" w:type="dxa"/>
            <w:vAlign w:val="center"/>
          </w:tcPr>
          <w:p w14:paraId="36C4A4BF"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oMath>
            </m:oMathPara>
          </w:p>
        </w:tc>
        <w:tc>
          <w:tcPr>
            <w:tcW w:w="1326" w:type="dxa"/>
            <w:vAlign w:val="center"/>
          </w:tcPr>
          <w:p w14:paraId="30F104F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year</w:t>
            </w:r>
            <w:r>
              <w:rPr>
                <w:rFonts w:ascii="Times New Roman" w:hAnsi="Times New Roman" w:cs="Times New Roman"/>
                <w:vertAlign w:val="superscript"/>
              </w:rPr>
              <w:t>-1</w:t>
            </w:r>
          </w:p>
        </w:tc>
        <w:tc>
          <w:tcPr>
            <w:tcW w:w="1127" w:type="dxa"/>
            <w:vAlign w:val="center"/>
          </w:tcPr>
          <w:p w14:paraId="295909F8"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323874B5" w14:textId="77777777" w:rsidTr="6231485F">
        <w:tc>
          <w:tcPr>
            <w:tcW w:w="975" w:type="dxa"/>
            <w:vAlign w:val="center"/>
          </w:tcPr>
          <w:p w14:paraId="513B576E"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oMath>
            </m:oMathPara>
          </w:p>
        </w:tc>
        <w:tc>
          <w:tcPr>
            <w:tcW w:w="2985" w:type="dxa"/>
            <w:vAlign w:val="center"/>
          </w:tcPr>
          <w:p w14:paraId="6C95E67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Carrying capacity of mosquitoes</w:t>
            </w:r>
          </w:p>
        </w:tc>
        <w:tc>
          <w:tcPr>
            <w:tcW w:w="2937" w:type="dxa"/>
            <w:vAlign w:val="center"/>
          </w:tcPr>
          <w:p w14:paraId="4DB70BFE" w14:textId="77777777" w:rsidR="00E13DC2" w:rsidRPr="00595B3C" w:rsidRDefault="00000000" w:rsidP="008A0B7A">
            <w:pPr>
              <w:widowControl w:val="0"/>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sz w:val="20"/>
                      </w:rPr>
                    </m:ctrlPr>
                  </m:sSubPr>
                  <m:e>
                    <m:f>
                      <m:fPr>
                        <m:ctrlPr>
                          <w:rPr>
                            <w:rFonts w:ascii="Cambria Math" w:hAnsi="Cambria Math" w:cs="Times New Roman"/>
                            <w:i/>
                            <w:sz w:val="20"/>
                          </w:rPr>
                        </m:ctrlPr>
                      </m:fPr>
                      <m:num>
                        <m:r>
                          <w:rPr>
                            <w:rFonts w:ascii="Cambria Math" w:hAnsi="Cambria Math" w:cs="Times New Roman"/>
                            <w:sz w:val="20"/>
                          </w:rPr>
                          <m:t>Culex females</m:t>
                        </m:r>
                      </m:num>
                      <m:den>
                        <m:sSub>
                          <m:sSubPr>
                            <m:ctrlPr>
                              <w:rPr>
                                <w:rFonts w:ascii="Cambria Math" w:hAnsi="Cambria Math" w:cs="Times New Roman"/>
                                <w:i/>
                                <w:sz w:val="20"/>
                              </w:rPr>
                            </m:ctrlPr>
                          </m:sSubPr>
                          <m:e>
                            <m:r>
                              <w:rPr>
                                <w:rFonts w:ascii="Cambria Math" w:hAnsi="Cambria Math" w:cs="Times New Roman"/>
                                <w:sz w:val="20"/>
                              </w:rPr>
                              <m:t>CO</m:t>
                            </m:r>
                          </m:e>
                          <m:sub>
                            <m:r>
                              <w:rPr>
                                <w:rFonts w:ascii="Cambria Math" w:hAnsi="Cambria Math" w:cs="Times New Roman"/>
                                <w:sz w:val="20"/>
                              </w:rPr>
                              <m:t>2</m:t>
                            </m:r>
                          </m:sub>
                        </m:sSub>
                        <m:r>
                          <w:rPr>
                            <w:rFonts w:ascii="Cambria Math" w:hAnsi="Cambria Math" w:cs="Times New Roman"/>
                            <w:sz w:val="20"/>
                          </w:rPr>
                          <m:t xml:space="preserve"> trap-night</m:t>
                        </m:r>
                      </m:den>
                    </m:f>
                  </m:e>
                  <m:sub>
                    <m:r>
                      <w:rPr>
                        <w:rFonts w:ascii="Cambria Math" w:hAnsi="Cambria Math" w:cs="Times New Roman"/>
                        <w:sz w:val="20"/>
                      </w:rPr>
                      <m:t>time+6</m:t>
                    </m:r>
                  </m:sub>
                </m:sSub>
                <m:r>
                  <w:rPr>
                    <w:rFonts w:ascii="Cambria Math" w:eastAsiaTheme="minorEastAsia" w:hAnsi="Cambria Math" w:cs="Times New Roman"/>
                    <w:sz w:val="20"/>
                  </w:rPr>
                  <m:t xml:space="preserve"> x GP x </m:t>
                </m:r>
              </m:oMath>
            </m:oMathPara>
          </w:p>
          <w:p w14:paraId="0253E1EC"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type m:val="skw"/>
                    <m:ctrlPr>
                      <w:rPr>
                        <w:rFonts w:ascii="Cambria Math" w:eastAsiaTheme="minorEastAsia" w:hAnsi="Cambria Math" w:cs="Times New Roman"/>
                        <w:i/>
                        <w:sz w:val="20"/>
                      </w:rPr>
                    </m:ctrlPr>
                  </m:fPr>
                  <m:num>
                    <m:r>
                      <w:rPr>
                        <w:rFonts w:ascii="Cambria Math" w:eastAsiaTheme="minorEastAsia"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N</m:t>
                        </m:r>
                      </m:e>
                      <m:sub>
                        <m:r>
                          <w:rPr>
                            <w:rFonts w:ascii="Cambria Math" w:hAnsi="Cambria Math" w:cs="Times New Roman"/>
                            <w:sz w:val="20"/>
                          </w:rPr>
                          <m:t>CT</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N</m:t>
                        </m:r>
                      </m:e>
                      <m:sub>
                        <m:r>
                          <w:rPr>
                            <w:rFonts w:ascii="Cambria Math" w:hAnsi="Cambria Math" w:cs="Times New Roman"/>
                            <w:sz w:val="20"/>
                          </w:rPr>
                          <m:t>CU</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N</m:t>
                        </m:r>
                      </m:e>
                      <m:sub>
                        <m:r>
                          <w:rPr>
                            <w:rFonts w:ascii="Cambria Math" w:hAnsi="Cambria Math" w:cs="Times New Roman"/>
                            <w:sz w:val="20"/>
                          </w:rPr>
                          <m:t>IT</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N</m:t>
                        </m:r>
                      </m:e>
                      <m:sub>
                        <m:r>
                          <w:rPr>
                            <w:rFonts w:ascii="Cambria Math" w:hAnsi="Cambria Math" w:cs="Times New Roman"/>
                            <w:sz w:val="20"/>
                          </w:rPr>
                          <m:t>IU</m:t>
                        </m:r>
                      </m:sub>
                    </m:sSub>
                    <m:r>
                      <w:rPr>
                        <w:rFonts w:ascii="Cambria Math" w:eastAsiaTheme="minorEastAsia" w:hAnsi="Cambria Math" w:cs="Times New Roman"/>
                        <w:sz w:val="20"/>
                      </w:rPr>
                      <m:t>)</m:t>
                    </m:r>
                  </m:num>
                  <m:den>
                    <m:r>
                      <w:rPr>
                        <w:rFonts w:ascii="Cambria Math" w:eastAsiaTheme="minorEastAsia" w:hAnsi="Cambria Math" w:cs="Times New Roman"/>
                        <w:sz w:val="20"/>
                      </w:rPr>
                      <m:t>5</m:t>
                    </m:r>
                  </m:den>
                </m:f>
              </m:oMath>
            </m:oMathPara>
          </w:p>
        </w:tc>
        <w:tc>
          <w:tcPr>
            <w:tcW w:w="1326" w:type="dxa"/>
            <w:vAlign w:val="center"/>
          </w:tcPr>
          <w:p w14:paraId="670EDB9F"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mosquitoes</w:t>
            </w:r>
          </w:p>
        </w:tc>
        <w:tc>
          <w:tcPr>
            <w:tcW w:w="1127" w:type="dxa"/>
            <w:vAlign w:val="center"/>
          </w:tcPr>
          <w:p w14:paraId="400C4824" w14:textId="32819E5B"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{"citationItems":[{"id":"ITEM-1","itemData":{"DOI":"10.1371/journal.pntd.0002515","ISBN":"1935-2735 (Electronic) 1935-2727 (Linking)","PMID":"24244769","abstract":"Rift Valley Fever virus (RVFV) is an enzootic virus that causes extensive morbidity and mortality in domestic ruminants in Africa, and it has shown the potential to invade other areas such as the Arabian Peninsula. Here, we develop methods for linking mathematical models to real-world data that could be used for continent-scale risk assessment given adequate data on local host and vector populations. We have applied the methods to a well-studied agricultural region of California with [Formula: see text]1 million dairy cattle, abundant and competent mosquito vectors, and a permissive climate that has enabled consistent transmission of West Nile virus and historically other arboviruses. Our results suggest that RVFV outbreaks could occur from February-November, but would progress slowly during winter-early spring or early fall and be limited spatially to areas with early increases in vector abundance. Risk was greatest in summer, when the areas at risk broadened to include most of the dairy farms in the study region, indicating the potential for considerable economic losses if an introduction were to occur. To assess the threat that RVFV poses to North America, including what-if scenarios for introduction and control strategies, models such as this one should be an integral part of the process; however, modeling must be paralleled by efforts to address the numerous remaining gaps in data and knowledge for this system.","author":[{"dropping-particle":"","family":"Barker","given":"C M","non-dropping-particle":"","parse-names":false,"suffix":""},{"dropping-particle":"","family":"Niu","given":"T","non-dropping-particle":"","parse-names":false,"suffix":""},{"dropping-particle":"","family":"Reisen","given":"W K","non-dropping-particle":"","parse-names":false,"suffix":""},{"dropping-particle":"","family":"Hartley","given":"D M","non-dropping-particle":"","parse-names":false,"suffix":""}],"container-title":"PLoS Negl Trop Dis","edition":"2013/11/19","id":"ITEM-1","issue":"11","issued":{"date-parts":[["2013"]]},"note":"Barker, Christopher M\nNiu, Tianchan\nReisen, William K\nHartley, David M\neng\nR01 AI55607/AI/NIAID NIH HHS/\nU01EH000418/EH/NCEH CDC HHS/\nResearch Support, N.I.H., Extramural\nResearch Support, Non-U.S. Gov't\nPLoS Negl Trop Dis. 2013 Nov 14;7(11):e2515. doi: 10.1371/journal.pntd.0002515. eCollection 2013 Nov.","page":"e2515","title":"Data-driven modeling to assess receptivity for Rift Valley Fever virus","type":"article-journal","volume":"7"},"uris":["http://www.mendeley.com/documents/?uuid=032bbcdd-3555-465d-8882-809e78802f35"]}],"mendeley":{"formattedCitation":"[9]","plainTextFormattedCitation":"[9]","previouslyFormattedCitation":"[8]"},"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[9]</w:t>
            </w:r>
            <w:r>
              <w:rPr>
                <w:rFonts w:ascii="Times New Roman" w:hAnsi="Times New Roman" w:cs="Times New Roman"/>
              </w:rPr>
              <w:fldChar w:fldCharType="end"/>
            </w:r>
          </w:p>
        </w:tc>
      </w:tr>
      <w:tr w:rsidR="00E13DC2" w14:paraId="19F521C4" w14:textId="77777777" w:rsidTr="6231485F">
        <w:tc>
          <w:tcPr>
            <w:tcW w:w="975" w:type="dxa"/>
            <w:vAlign w:val="center"/>
          </w:tcPr>
          <w:p w14:paraId="3AE1FF3F"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oMath>
            </m:oMathPara>
          </w:p>
        </w:tc>
        <w:tc>
          <w:tcPr>
            <w:tcW w:w="2985" w:type="dxa"/>
            <w:vAlign w:val="center"/>
          </w:tcPr>
          <w:p w14:paraId="0B09F64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Carrying capacity of competent birds</w:t>
            </w:r>
          </w:p>
        </w:tc>
        <w:tc>
          <w:tcPr>
            <w:tcW w:w="2937" w:type="dxa"/>
            <w:vAlign w:val="center"/>
          </w:tcPr>
          <w:p w14:paraId="18397B80"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500</w:t>
            </w:r>
          </w:p>
        </w:tc>
        <w:tc>
          <w:tcPr>
            <w:tcW w:w="1326" w:type="dxa"/>
            <w:vAlign w:val="center"/>
          </w:tcPr>
          <w:p w14:paraId="7043AD7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birds</w:t>
            </w:r>
          </w:p>
        </w:tc>
        <w:tc>
          <w:tcPr>
            <w:tcW w:w="1127" w:type="dxa"/>
            <w:vAlign w:val="center"/>
          </w:tcPr>
          <w:p w14:paraId="6F61E759"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arbitrary</w:t>
            </w:r>
          </w:p>
        </w:tc>
      </w:tr>
      <w:tr w:rsidR="00E13DC2" w14:paraId="26D36073" w14:textId="77777777" w:rsidTr="6231485F">
        <w:tc>
          <w:tcPr>
            <w:tcW w:w="975" w:type="dxa"/>
            <w:vAlign w:val="center"/>
          </w:tcPr>
          <w:p w14:paraId="6C1D2D59"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oMath>
            </m:oMathPara>
          </w:p>
        </w:tc>
        <w:tc>
          <w:tcPr>
            <w:tcW w:w="2985" w:type="dxa"/>
            <w:vAlign w:val="center"/>
          </w:tcPr>
          <w:p w14:paraId="3661A4A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Carrying capacity of incompetent birds</w:t>
            </w:r>
          </w:p>
        </w:tc>
        <w:tc>
          <w:tcPr>
            <w:tcW w:w="2937" w:type="dxa"/>
            <w:vAlign w:val="center"/>
          </w:tcPr>
          <w:p w14:paraId="5AF71F58"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500</w:t>
            </w:r>
          </w:p>
        </w:tc>
        <w:tc>
          <w:tcPr>
            <w:tcW w:w="1326" w:type="dxa"/>
            <w:vAlign w:val="center"/>
          </w:tcPr>
          <w:p w14:paraId="557A4A0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birds</w:t>
            </w:r>
          </w:p>
        </w:tc>
        <w:tc>
          <w:tcPr>
            <w:tcW w:w="1127" w:type="dxa"/>
            <w:vAlign w:val="center"/>
          </w:tcPr>
          <w:p w14:paraId="4F7717A8"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arbitrary</w:t>
            </w:r>
          </w:p>
        </w:tc>
      </w:tr>
      <w:tr w:rsidR="00E13DC2" w14:paraId="204D842A" w14:textId="77777777" w:rsidTr="6231485F">
        <w:tc>
          <w:tcPr>
            <w:tcW w:w="975" w:type="dxa"/>
            <w:vAlign w:val="center"/>
          </w:tcPr>
          <w:p w14:paraId="1627DC25"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1/d</m:t>
                    </m:r>
                  </m:e>
                  <m:sub>
                    <m:r>
                      <w:rPr>
                        <w:rFonts w:ascii="Cambria Math" w:hAnsi="Cambria Math" w:cs="Times New Roman"/>
                      </w:rPr>
                      <m:t>M</m:t>
                    </m:r>
                  </m:sub>
                </m:sSub>
              </m:oMath>
            </m:oMathPara>
          </w:p>
        </w:tc>
        <w:tc>
          <w:tcPr>
            <w:tcW w:w="2985" w:type="dxa"/>
            <w:vAlign w:val="center"/>
          </w:tcPr>
          <w:p w14:paraId="12352C0B"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Lifespan of mosquitoes</w:t>
            </w:r>
          </w:p>
        </w:tc>
        <w:tc>
          <w:tcPr>
            <w:tcW w:w="2937" w:type="dxa"/>
            <w:vAlign w:val="center"/>
          </w:tcPr>
          <w:p w14:paraId="1CE7691B"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14</w:t>
            </w:r>
          </w:p>
        </w:tc>
        <w:tc>
          <w:tcPr>
            <w:tcW w:w="1326" w:type="dxa"/>
            <w:vAlign w:val="center"/>
          </w:tcPr>
          <w:p w14:paraId="74B7F2BE"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days</w:t>
            </w:r>
          </w:p>
        </w:tc>
        <w:tc>
          <w:tcPr>
            <w:tcW w:w="1127" w:type="dxa"/>
            <w:vAlign w:val="center"/>
          </w:tcPr>
          <w:p w14:paraId="4FE85D3B" w14:textId="6F7D848C"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{"citationItems":[{"id":"ITEM-1","itemData":{"author":[{"dropping-particle":"","family":"Reisen","given":"William K.","non-dropping-particle":"","parse-names":false,"suffix":""},{"dropping-particle":"","family":"Milby","given":"Marilyn M.","non-dropping-particle":"","parse-names":false,"suffix":""},{"dropping-particle":"","family":"Reeves","given":"William C.","non-dropping-particle":"","parse-names":false,"suffix":""},{"dropping-particle":"","family":"Meyer","given":"Richard P.","non-dropping-particle":"","parse-names":false,"suffix":""},{"dropping-particle":"","family":"Bock","given":"Martha E","non-dropping-particle":"","parse-names":false,"suffix":""}],"container-title":"Annals of the Entomological Society of America","id":"ITEM-1","issue":"4","issued":{"date-parts":[["1983"]]},"page":"800-808","title":"Population ecology of Culex tarsalis (Diptera: Culicidae) in a foothill environment in Kern County, California: temporal changes in female relative abundance, reproductive status, and survivorship","type":"article-journal","volume":"76"},"uris":["http://www.mendeley.com/documents/?uuid=41376697-f53e-4240-9762-4303521f99dd"]},{"id":"ITEM-2","itemData":{"author":[{"dropping-particle":"","family":"Reisen","given":"W K","non-dropping-particle":"","parse-names":false,"suffix":""},{"dropping-particle":"","family":"Lothrop","given":"H D","non-dropping-particle":"","parse-names":false,"suffix":""},{"dropping-particle":"","family":"Hardy","given":"J L","non-dropping-particle":"","parse-names":false,"suffix":""}],"container-title":"J Med Entomol","id":"ITEM-2","issue":"3","issued":{"date-parts":[["1995"]]},"page":"316-327","title":"Bionomics of Culex tarsalis (Diptera: Culicidae) in relation to arbovirus transmission in southeastern California","type":"article-journal","volume":"32"},"uris":["http://www.mendeley.com/documents/?uuid=073f8e27-09ae-4bc1-8309-8da30fa69939"]},{"id":"ITEM-3","itemData":{"abstract":"This chapter reviews the ecology of Culex tarsalis, with regard to bionomics of adults (seasonal dynamics, reproductive biology, survivorship, overwintering, flight behaviour and host-feeding patterns) and immatures (breeding sites, seasonal abundance, rates of development, survivorship, adult status at emergence). Bionomics of other potential vectors of arboviruses in California, USA, are also discussed, viz.: C. pipiens, C. quinquefasciatus, C. stigmatosoma, C. erythrothorax, Culiseta inornata, C. incidens, Aedes melanimon, A. nigromaculis, A. sierrensis, A. vexans, Anopheles franciscanus, A. freeborni.","author":[{"dropping-particle":"","family":"Reisen","given":"W K","non-dropping-particle":"","parse-names":false,"suffix":""},{"dropping-particle":"","family":"Reeves","given":"W C","non-dropping-particle":"","parse-names":false,"suffix":""}],"chapter-number":"Bionomics ","editor":[{"dropping-particle":"","family":"Reeves","given":"W C","non-dropping-particle":"","parse-names":false,"suffix":""}],"id":"ITEM-3","issued":{"date-parts":[["1990"]]},"language":"English","note":"Author Affiliation: Department of Biomedical and Environmental Health Sciences, School of Public Health, University of California, Berkeley, CA 94720, USA.","page":"254-329","publisher":"California Mosquito and Vector Control Association, Inc.","publisher-place":"Sacramento, California","title":"Epidemiology and control of mosquito-borne arboviruses in California, 1943-1987.","type":"chapter"},"uris":["http://www.mendeley.com/documents/?uuid=6e694188-299c-4461-ab11-3ad14e604978"]}],"mendeley":{"formattedCitation":"[10–12]","plainTextFormattedCitation":"[10–12]","previouslyFormattedCitation":"[9–11]"},"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[10–12]</w:t>
            </w:r>
            <w:r>
              <w:rPr>
                <w:rFonts w:ascii="Times New Roman" w:hAnsi="Times New Roman" w:cs="Times New Roman"/>
              </w:rPr>
              <w:fldChar w:fldCharType="end"/>
            </w:r>
            <w:r>
              <w:rPr>
                <w:rFonts w:ascii="Times New Roman" w:hAnsi="Times New Roman" w:cs="Times New Roman"/>
              </w:rPr>
              <w:t xml:space="preserve"> </w:t>
            </w:r>
          </w:p>
        </w:tc>
      </w:tr>
      <w:tr w:rsidR="00E13DC2" w14:paraId="0BCDED79" w14:textId="77777777" w:rsidTr="6231485F">
        <w:tc>
          <w:tcPr>
            <w:tcW w:w="975" w:type="dxa"/>
            <w:vAlign w:val="center"/>
          </w:tcPr>
          <w:p w14:paraId="58D41008" w14:textId="77777777" w:rsidR="00E13DC2" w:rsidRPr="0073743E" w:rsidRDefault="00E13DC2" w:rsidP="008A0B7A">
            <w:pPr>
              <w:widowControl w:val="0"/>
              <w:autoSpaceDE w:val="0"/>
              <w:autoSpaceDN w:val="0"/>
              <w:adjustRightInd w:val="0"/>
              <w:jc w:val="center"/>
              <w:rPr>
                <w:rFonts w:ascii="Times New Roman" w:eastAsia="Calibri" w:hAnsi="Times New Roman" w:cs="Times New Roman"/>
              </w:rPr>
            </w:pPr>
            <m:oMathPara>
              <m:oMath>
                <m:r>
                  <w:rPr>
                    <w:rFonts w:ascii="Cambria Math" w:eastAsiaTheme="minorEastAsia" w:hAnsi="Cambria Math" w:cs="Times New Roman"/>
                  </w:rPr>
                  <m:t>1/</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oMath>
            </m:oMathPara>
          </w:p>
        </w:tc>
        <w:tc>
          <w:tcPr>
            <w:tcW w:w="2985" w:type="dxa"/>
            <w:vAlign w:val="center"/>
          </w:tcPr>
          <w:p w14:paraId="5A77D567"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Lifespan of competent birds</w:t>
            </w:r>
          </w:p>
        </w:tc>
        <w:tc>
          <w:tcPr>
            <w:tcW w:w="2937" w:type="dxa"/>
            <w:vAlign w:val="center"/>
          </w:tcPr>
          <w:p w14:paraId="4242A9BC"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4</w:t>
            </w:r>
          </w:p>
        </w:tc>
        <w:tc>
          <w:tcPr>
            <w:tcW w:w="1326" w:type="dxa"/>
            <w:vAlign w:val="center"/>
          </w:tcPr>
          <w:p w14:paraId="1276588F"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years</w:t>
            </w:r>
          </w:p>
        </w:tc>
        <w:tc>
          <w:tcPr>
            <w:tcW w:w="1127" w:type="dxa"/>
            <w:vAlign w:val="center"/>
          </w:tcPr>
          <w:p w14:paraId="61300F75" w14:textId="0BF27313"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{"citationItems":[{"id":"ITEM-1","itemData":{"URL":"https://birdsoftheworld.org/","accessed":{"date-parts":[["2020","3","6"]]},"author":[{"dropping-particle":"","family":"Cornell Lab of Ornithology","given":"","non-dropping-particle":"","parse-names":false,"suffix":""}],"id":"ITEM-1","issued":{"date-parts":[["2021"]]},"title":"Birds of the World","type":"webpage"},"uris":["http://www.mendeley.com/documents/?uuid=2539851a-8549-458f-a3c5-e5e21b35fed3"]}],"mendeley":{"formattedCitation":"[13]","plainTextFormattedCitation":"[13]","previouslyFormattedCitation":"[12]"},"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[13]</w:t>
            </w:r>
            <w:r>
              <w:rPr>
                <w:rFonts w:ascii="Times New Roman" w:hAnsi="Times New Roman" w:cs="Times New Roman"/>
              </w:rPr>
              <w:fldChar w:fldCharType="end"/>
            </w:r>
          </w:p>
        </w:tc>
      </w:tr>
      <w:tr w:rsidR="00E13DC2" w14:paraId="5A681F85" w14:textId="77777777" w:rsidTr="6231485F">
        <w:tc>
          <w:tcPr>
            <w:tcW w:w="975" w:type="dxa"/>
            <w:vAlign w:val="center"/>
          </w:tcPr>
          <w:p w14:paraId="761BF8FF" w14:textId="77777777" w:rsidR="00E13DC2" w:rsidRPr="0073743E" w:rsidRDefault="00E13DC2" w:rsidP="008A0B7A">
            <w:pPr>
              <w:widowControl w:val="0"/>
              <w:autoSpaceDE w:val="0"/>
              <w:autoSpaceDN w:val="0"/>
              <w:adjustRightInd w:val="0"/>
              <w:jc w:val="center"/>
              <w:rPr>
                <w:rFonts w:ascii="Times New Roman" w:eastAsia="Calibri" w:hAnsi="Times New Roman" w:cs="Times New Roman"/>
              </w:rPr>
            </w:pPr>
            <m:oMathPara>
              <m:oMath>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oMath>
            </m:oMathPara>
          </w:p>
        </w:tc>
        <w:tc>
          <w:tcPr>
            <w:tcW w:w="2985" w:type="dxa"/>
            <w:vAlign w:val="center"/>
          </w:tcPr>
          <w:p w14:paraId="2A2C37C3"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Lifespan of incompetent birds</w:t>
            </w:r>
          </w:p>
        </w:tc>
        <w:tc>
          <w:tcPr>
            <w:tcW w:w="2937" w:type="dxa"/>
            <w:vAlign w:val="center"/>
          </w:tcPr>
          <w:p w14:paraId="7D6407AE"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26" w:type="dxa"/>
            <w:vAlign w:val="center"/>
          </w:tcPr>
          <w:p w14:paraId="0187A83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years</w:t>
            </w:r>
          </w:p>
        </w:tc>
        <w:tc>
          <w:tcPr>
            <w:tcW w:w="1127" w:type="dxa"/>
            <w:vAlign w:val="center"/>
          </w:tcPr>
          <w:p w14:paraId="4C4DA963" w14:textId="12073C62"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{"citationItems":[{"id":"ITEM-1","itemData":{"URL":"https://birdsoftheworld.org/","accessed":{"date-parts":[["2020","3","6"]]},"author":[{"dropping-particle":"","family":"Cornell Lab of Ornithology","given":"","non-dropping-particle":"","parse-names":false,"suffix":""}],"id":"ITEM-1","issued":{"date-parts":[["2021"]]},"title":"Birds of the World","type":"webpage"},"uris":["http://www.mendeley.com/documents/?uuid=2539851a-8549-458f-a3c5-e5e21b35fed3"]}],"mendeley":{"formattedCitation":"[13]","plainTextFormattedCitation":"[13]","previouslyFormattedCitation":"[12]"},"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[13]</w:t>
            </w:r>
            <w:r>
              <w:rPr>
                <w:rFonts w:ascii="Times New Roman" w:hAnsi="Times New Roman" w:cs="Times New Roman"/>
              </w:rPr>
              <w:fldChar w:fldCharType="end"/>
            </w:r>
          </w:p>
        </w:tc>
      </w:tr>
      <w:tr w:rsidR="00E13DC2" w14:paraId="0DA2A302" w14:textId="77777777" w:rsidTr="6231485F">
        <w:tc>
          <w:tcPr>
            <w:tcW w:w="975" w:type="dxa"/>
            <w:vAlign w:val="center"/>
          </w:tcPr>
          <w:p w14:paraId="678E0D7A"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oMath>
            </m:oMathPara>
          </w:p>
        </w:tc>
        <w:tc>
          <w:tcPr>
            <w:tcW w:w="2985" w:type="dxa"/>
            <w:vAlign w:val="center"/>
          </w:tcPr>
          <w:p w14:paraId="4FA7EB31"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vertical transmission</w:t>
            </w:r>
          </w:p>
        </w:tc>
        <w:tc>
          <w:tcPr>
            <w:tcW w:w="2937" w:type="dxa"/>
            <w:vAlign w:val="center"/>
          </w:tcPr>
          <w:p w14:paraId="77F6A9E3"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0.003</w:t>
            </w:r>
          </w:p>
        </w:tc>
        <w:tc>
          <w:tcPr>
            <w:tcW w:w="1326" w:type="dxa"/>
            <w:vAlign w:val="center"/>
          </w:tcPr>
          <w:p w14:paraId="4CE069AB"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584296DE" w14:textId="7B35FFA4"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{"citationItems":[{"id":"ITEM-1","itemData":{"DOI":"10.1603/0022-2585-40.6.743","ISSN":"00222585","abstract":"Three California Culex species previously identified as efficient laboratory vectors of West Nile (WN) virus were tested for their capability to vertically transmit WN virus. Wild-caught Culex pipiens pipiens L., Culex pipiens quinquefasciatus Say, and two populations of Culex tarsalis Coquillett females were inoculated intrathoracically with 10(2.7 +/- 0.1) plaque-forming units of WN virus. F1 progeny were reared at 18 degrees C and subsequently tested as adults for infectious virus on Vero cell culture. Virus was not detected in 197 pools comprising 4,884 Cx. p. pipiens. The minimum filial infection rate (MFIR) for Cx. p. quinquefasciatus was approximately 3.0/1,000 for 665 progeny tested in 28 pools. There was no virus detected in 102 pools of 2,453 progeny from Cx. tarsalis collected in Riverside County. The MFIR for Cx. tarsalis collected in Yolo County was approximately 6.9/1,000 for 2,165 progeny tested in 86 pools. Mosquito progeny infected vertically during the fall could potentially serve as a mechanism for WN virus to overwinter and initiate horizontal transmission the following spring.","author":[{"dropping-particle":"","family":"Goddard","given":"Laura B.","non-dropping-particle":"","parse-names":false,"suffix":""},{"dropping-particle":"","family":"Roth","given":"Amy E.","non-dropping-particle":"","parse-names":false,"suffix":""},{"dropping-particle":"","family":"Reisen","given":"William K.","non-dropping-particle":"","parse-names":false,"suffix":""},{"dropping-particle":"","family":"Scott","given":"Thomas W.","non-dropping-particle":"","parse-names":false,"suffix":""}],"container-title":"Journal of Medical Entomology","id":"ITEM-1","issue":"6","issued":{"date-parts":[["2003"]]},"page":"743-746","title":"Vertical transmission of West Nile virus by three California Culex (Diptera: Culicidae) species","type":"article-journal","volume":"40"},"uris":["http://www.mendeley.com/documents/?uuid=96ab3a7c-97a1-4dca-ae2f-99c760927ab8"]},{"id":"ITEM-2","itemData":{"DOI":"10.1055/s-0029-1237430.Imprinting","ISBN":"2148207474","ISSN":"0022-2585","PMID":"23926775","abstract":"At temperate latitudes, Culex (Diptera: Culicidae) mosquitoes typically overwinter as adult females in reproductive arrest and also may serve as reservoir hosts for arboviruses when cold temperatures arrest viral replication. To evaluate their role in the persistence of West Nile virus (WNV) in the Sacramento Valley of California, the induction and termination of diapause were investigated for members of the Culex pipiens (L.) complex, Culex tarsalis Coquillett, and Culex stigmatosoma Dyar under field, seminatural, and experimental conditions. All Culex spp. remained vagile throughout winter, enabling the collection of 3,174 females and 1,706 males from diverse habitats during the winters of 2010-2012. Overwintering strategies included both quiescence and diapause. In addition, Cx. pipiens form molestus Forskäl females remained reproductively active in both underground and aboveground habitats. Some blood-fed, gravid, and parous Cx. tarsalis and Cx. pipiens complex females were collected throughout the winter period. Under both field and experimental conditions, Cx. tarsalis and Cx. stigmatosoma females exposed to autumnal conditions arrested primary follicular maturation at previtellogenic stage I, with primary to secondary follicular ratios &lt;1.5 (indicative of a hormonally induced diapause). In contrast, most Cx. pipiens complex females did not enter reproductive diapause and ovarian follicles matured to &gt;or=stage I-II (host-seeking arrest) or were found in various stages of degeneration. Diapause was initiated in the majority of Cx. tarsalis and Cx. stigmatosoma females by mid-late October and was terminated after the winter solstice, but host-seeking seemed limited by temperature. An accrual of 97.52 +/- 30.7 and 162.85 +/- 79.3 degree-days after the winter solstice was estimated to be necessary for diapause termination in Cx. tarsalis under field and seminatural conditions, respectively. An increase in the proportion of blood-fed Culex females in resting collections occurred concurrently with diapause termination in field populations based on ovarian morphometrics. WNV RNA was detected in one pool of 18 males and in a single blood-fed female Cx. tarsalis collected during winter. Therefore, both vertically and horizontally infected Culex females may persist through winter and possibly transmit WNV after diapause termination in late winter or early spring in the Sacramento Valley of California.","author":[{"dropping-particle":"","family":"Nelms","given":"Brittany M","non-dropping-particle":"","parse-names":false,"suffix":""},{"dropping-particle":"","family":"Macedo","given":"Paula A","non-dropping-particle":"","parse-names":false,"suffix":""},{"dropping-particle":"","family":"Kothera","given":"Linda","non-dropping-particle":"","parse-names":false,"suffix":""},{"dropping-particle":"","family":"Savage","given":"Harry M","non-dropping-particle":"","parse-names":false,"suffix":""},{"dropping-particle":"","family":"Reisen","given":"William K","non-dropping-particle":"","parse-names":false,"suffix":""}],"container-title":"Journal of Medical Entomology","id":"ITEM-2","issue":"4","issued":{"date-parts":[["2013"]]},"page":"773-790","title":"Overwintering biology of Culex (Diptera: Culicidae) mosquitoes in the Sacramento Valley of California","type":"article-journal","volume":"50"},"uris":["http://www.mendeley.com/documents/?uuid=919d07e8-7a5a-407f-9c25-6b3080614d84"]},{"id":"ITEM-3","itemData":{"ISBN":"0022-2585 (Print)\r0022-2585 (Linking)","PMID":"16619621","abstract":"West Nile virus (family Flaviviridae, genus Flavivirus, WNV) invaded southern California during 2003, successfully overwintered, amplified to epidemic levels, and then dispersed to every county in the state. Although surveillance programs successfully tracked and measured these events, mechanisms that allowed the efficient overwintering and subsequent amplification of WNV have not been elucidated. Our current research provided evidence for three mechanisms whereby WNV may have persisted in southern California during the winters of 2003-2004 and 2004-2005: 1) continued enzootic transmission, 2) vertical transmission by Culex mosquitoes, and 3) chronic infection in birds. WNV was detected in 140 dead birds comprising 32 species, including 60 dead American crows, thereby verifying transmission during the November-March winter period. Dead American crows provide evidence of recent transmission because this species always succumbs rapidly after infection. However, WNV RNA was not detected concurrently in 43,043 reproductively active female mosquitoes comprising 11 species and tested in 1,258 pools or antibody in sera from 190 sentinel chickens maintained in 19 flocks. Although efficient vertical transmission by WNV was demonstrated experimentally for Culex tarsalis Coquillett infected per os, 369 females collected diapausing in Kern County and tested in 32 pools were negative for WNV. Vertical transmission was detected in Culex pipiens quinquefasciatus Say adults reared from field-collected immatures collected from Kern County and Los Angeles during the summer transmission period. Chronic infection was detected by finding WNV RNA in 34 of 82 birds that were inoculated with WNV experimentally, held for &gt;6 wk after infection, and then necropsied. Frequent detection of WNV RNA in kidney tissue in experimentally infected birds &gt;6 wk postinfection may explain, in part, the repeated detection of WNV RNA in dead birds recovered during winter, especially in species such as mourning doves that typically do not die after experimental infection. In summary, our study provides limited evidence to support multiple modes of WNV persistence i n southern California. Continued transmission andvertical transmission by Culex p. quinquefasciatus Say seem likely candidates for further study.","author":[{"dropping-particle":"","family":"Reisen","given":"W K","non-dropping-particle":"","parse-names":false,"suffix":""},{"dropping-particle":"","family":"Fang","given":"Y","non-dropping-particle":"","parse-names":false,"suffix":""},{"dropping-particle":"","family":"Lothrop","given":"H D","non-dropping-particle":"","parse-names":false,"suffix":""},{"dropping-particle":"","family":"Martinez","given":"V M","non-dropping-particle":"","parse-names":false,"suffix":""},{"dropping-particle":"","family":"Wilson","given":"J","non-dropping-particle":"","parse-names":false,"suffix":""},{"dropping-particle":"","family":"Oconnor","given":"P","non-dropping-particle":"","parse-names":false,"suffix":""},{"dropping-particle":"","family":"Carney","given":"R","non-dropping-particle":"","parse-names":false,"suffix":""},{"dropping-particle":"","family":"Cahoon-Young","given":"B","non-dropping-particle":"","parse-names":false,"suffix":""},{"dropping-particle":"","family":"Shafii","given":"M","non-dropping-particle":"","parse-names":false,"suffix":""},{"dropping-particle":"","family":"Brault","given":"A C","non-dropping-particle":"","parse-names":false,"suffix":""}],"container-title":"J Med Entomol","edition":"2006/04/20","id":"ITEM-3","issue":"2","issued":{"date-parts":[["2006"]]},"note":"Reisen, William K\nFang, Ying\nLothrop, Hugh D\nMartinez, Vincent M\nWilson, Jennifer\nOconnor, Paul\nCarney, Ryan\nCahoon-Young, Barbara\nShafii, Marzieh\nBrault, Aaron C\neng\n1-R01-AI55607/AI/NIAID NIH HHS/\nCI00235/CI/NCPDCID CDC HHS/\nComparative Study\nResearch Support, N.I.H., Extramural\nResearch Support, Non-U.S. Gov't\nResearch Support, U.S. Gov't, Non-P.H.S.\nResearch Support, U.S. Gov't, P.H.S.\nEngland\nJ Med Entomol. 2006 Mar;43(2):344-55.","page":"344-355","title":"Overwintering of West Nile virus in Southern California","type":"article-journal","volume":"43"},"uris":["http://www.mendeley.com/documents/?uuid=a43a5355-7687-4c35-8e23-a2690a23dd69"]}],"mendeley":{"formattedCitation":"[14–16]","plainTextFormattedCitation":"[14–16]","previouslyFormattedCitation":"[13–15]"},"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[14–16]</w:t>
            </w:r>
            <w:r>
              <w:rPr>
                <w:rFonts w:ascii="Times New Roman" w:hAnsi="Times New Roman" w:cs="Times New Roman"/>
              </w:rPr>
              <w:fldChar w:fldCharType="end"/>
            </w:r>
          </w:p>
        </w:tc>
      </w:tr>
      <w:tr w:rsidR="00E13DC2" w14:paraId="5CD82DF7" w14:textId="77777777" w:rsidTr="6231485F">
        <w:tc>
          <w:tcPr>
            <w:tcW w:w="975" w:type="dxa"/>
            <w:vAlign w:val="center"/>
          </w:tcPr>
          <w:p w14:paraId="33544DD5"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CM</m:t>
                    </m:r>
                  </m:sub>
                </m:sSub>
              </m:oMath>
            </m:oMathPara>
          </w:p>
        </w:tc>
        <w:tc>
          <w:tcPr>
            <w:tcW w:w="2985" w:type="dxa"/>
            <w:vAlign w:val="center"/>
          </w:tcPr>
          <w:p w14:paraId="443AB08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Adequate contact: competent bird to mosquito</w:t>
            </w:r>
          </w:p>
        </w:tc>
        <w:tc>
          <w:tcPr>
            <w:tcW w:w="2937" w:type="dxa"/>
            <w:vAlign w:val="center"/>
          </w:tcPr>
          <w:p w14:paraId="1A9233AF"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CM</m:t>
                        </m:r>
                      </m:sub>
                    </m:sSub>
                  </m:num>
                  <m:den>
                    <m:r>
                      <w:rPr>
                        <w:rFonts w:ascii="Cambria Math" w:hAnsi="Cambria Math" w:cs="Times New Roman"/>
                      </w:rPr>
                      <m:t>GP</m:t>
                    </m:r>
                  </m:den>
                </m:f>
              </m:oMath>
            </m:oMathPara>
          </w:p>
        </w:tc>
        <w:tc>
          <w:tcPr>
            <w:tcW w:w="1326" w:type="dxa"/>
            <w:vAlign w:val="center"/>
          </w:tcPr>
          <w:p w14:paraId="75D58CD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w:t>
            </w:r>
            <w:r>
              <w:rPr>
                <w:rFonts w:ascii="Times New Roman" w:hAnsi="Times New Roman" w:cs="Times New Roman"/>
                <w:vertAlign w:val="superscript"/>
              </w:rPr>
              <w:t>-1</w:t>
            </w:r>
          </w:p>
        </w:tc>
        <w:tc>
          <w:tcPr>
            <w:tcW w:w="1127" w:type="dxa"/>
            <w:vAlign w:val="center"/>
          </w:tcPr>
          <w:p w14:paraId="1C895D97"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7B7D6901" w14:textId="77777777" w:rsidTr="6231485F">
        <w:tc>
          <w:tcPr>
            <w:tcW w:w="975" w:type="dxa"/>
            <w:vAlign w:val="center"/>
          </w:tcPr>
          <w:p w14:paraId="6C683AD7"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MC</m:t>
                    </m:r>
                  </m:sub>
                </m:sSub>
              </m:oMath>
            </m:oMathPara>
          </w:p>
        </w:tc>
        <w:tc>
          <w:tcPr>
            <w:tcW w:w="2985" w:type="dxa"/>
            <w:vAlign w:val="center"/>
          </w:tcPr>
          <w:p w14:paraId="75A62956"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Adequate contact: mosquito to competent bird</w:t>
            </w:r>
          </w:p>
        </w:tc>
        <w:tc>
          <w:tcPr>
            <w:tcW w:w="2937" w:type="dxa"/>
            <w:vAlign w:val="center"/>
          </w:tcPr>
          <w:p w14:paraId="028CC35A"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MC</m:t>
                        </m:r>
                      </m:sub>
                    </m:sSub>
                  </m:num>
                  <m:den>
                    <m:r>
                      <w:rPr>
                        <w:rFonts w:ascii="Cambria Math" w:hAnsi="Cambria Math" w:cs="Times New Roman"/>
                      </w:rPr>
                      <m:t>GP</m:t>
                    </m:r>
                  </m:den>
                </m:f>
              </m:oMath>
            </m:oMathPara>
          </w:p>
        </w:tc>
        <w:tc>
          <w:tcPr>
            <w:tcW w:w="1326" w:type="dxa"/>
            <w:vAlign w:val="center"/>
          </w:tcPr>
          <w:p w14:paraId="6D2F17F4"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w:t>
            </w:r>
            <w:r>
              <w:rPr>
                <w:rFonts w:ascii="Times New Roman" w:hAnsi="Times New Roman" w:cs="Times New Roman"/>
                <w:vertAlign w:val="superscript"/>
              </w:rPr>
              <w:t>-1</w:t>
            </w:r>
          </w:p>
        </w:tc>
        <w:tc>
          <w:tcPr>
            <w:tcW w:w="1127" w:type="dxa"/>
            <w:vAlign w:val="center"/>
          </w:tcPr>
          <w:p w14:paraId="42B6D7B1"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7F37A961" w14:textId="77777777" w:rsidTr="6231485F">
        <w:tc>
          <w:tcPr>
            <w:tcW w:w="975" w:type="dxa"/>
            <w:vAlign w:val="center"/>
          </w:tcPr>
          <w:p w14:paraId="1532450D"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D</m:t>
                    </m:r>
                  </m:sub>
                </m:sSub>
              </m:oMath>
            </m:oMathPara>
          </w:p>
        </w:tc>
        <w:tc>
          <w:tcPr>
            <w:tcW w:w="2985" w:type="dxa"/>
            <w:vAlign w:val="center"/>
          </w:tcPr>
          <w:p w14:paraId="448FB69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Death rate of mosquitoes from ivermectin</w:t>
            </w:r>
          </w:p>
        </w:tc>
        <w:tc>
          <w:tcPr>
            <w:tcW w:w="2937" w:type="dxa"/>
            <w:vAlign w:val="center"/>
          </w:tcPr>
          <w:p w14:paraId="585CF23C"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num>
                  <m:den>
                    <m:r>
                      <w:rPr>
                        <w:rFonts w:ascii="Cambria Math" w:hAnsi="Cambria Math" w:cs="Times New Roman"/>
                      </w:rPr>
                      <m:t>GP</m:t>
                    </m:r>
                  </m:den>
                </m:f>
              </m:oMath>
            </m:oMathPara>
          </w:p>
        </w:tc>
        <w:tc>
          <w:tcPr>
            <w:tcW w:w="1326" w:type="dxa"/>
            <w:vAlign w:val="center"/>
          </w:tcPr>
          <w:p w14:paraId="00C5BBC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w:t>
            </w:r>
            <w:r>
              <w:rPr>
                <w:rFonts w:ascii="Times New Roman" w:hAnsi="Times New Roman" w:cs="Times New Roman"/>
                <w:vertAlign w:val="superscript"/>
              </w:rPr>
              <w:t>-1</w:t>
            </w:r>
          </w:p>
        </w:tc>
        <w:tc>
          <w:tcPr>
            <w:tcW w:w="1127" w:type="dxa"/>
            <w:vAlign w:val="center"/>
          </w:tcPr>
          <w:p w14:paraId="3CC225FA"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33E6E3C3" w14:textId="77777777" w:rsidTr="6231485F">
        <w:tc>
          <w:tcPr>
            <w:tcW w:w="975" w:type="dxa"/>
            <w:vAlign w:val="center"/>
          </w:tcPr>
          <w:p w14:paraId="1569F76F"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m:oMathPara>
          </w:p>
        </w:tc>
        <w:tc>
          <w:tcPr>
            <w:tcW w:w="2985" w:type="dxa"/>
            <w:vAlign w:val="center"/>
          </w:tcPr>
          <w:p w14:paraId="1D462748"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feeding on an ivermectin-treated bird</w:t>
            </w:r>
          </w:p>
        </w:tc>
        <w:tc>
          <w:tcPr>
            <w:tcW w:w="2937" w:type="dxa"/>
            <w:vAlign w:val="center"/>
          </w:tcPr>
          <w:p w14:paraId="275DB359"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den>
                </m:f>
              </m:oMath>
            </m:oMathPara>
          </w:p>
        </w:tc>
        <w:tc>
          <w:tcPr>
            <w:tcW w:w="1326" w:type="dxa"/>
            <w:vAlign w:val="center"/>
          </w:tcPr>
          <w:p w14:paraId="50B62E07"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7810B46E"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1D9D647F" w14:textId="77777777" w:rsidTr="6231485F">
        <w:tc>
          <w:tcPr>
            <w:tcW w:w="975" w:type="dxa"/>
            <w:vAlign w:val="center"/>
          </w:tcPr>
          <w:p w14:paraId="3BBC76CC"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oMath>
            </m:oMathPara>
          </w:p>
        </w:tc>
        <w:tc>
          <w:tcPr>
            <w:tcW w:w="2985" w:type="dxa"/>
            <w:vAlign w:val="center"/>
          </w:tcPr>
          <w:p w14:paraId="48264A79"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feeding on a competent bird</w:t>
            </w:r>
          </w:p>
        </w:tc>
        <w:tc>
          <w:tcPr>
            <w:tcW w:w="2937" w:type="dxa"/>
            <w:vAlign w:val="center"/>
          </w:tcPr>
          <w:p w14:paraId="0003E00C"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IU</m:t>
                        </m:r>
                      </m:sub>
                    </m:sSub>
                  </m:den>
                </m:f>
              </m:oMath>
            </m:oMathPara>
          </w:p>
        </w:tc>
        <w:tc>
          <w:tcPr>
            <w:tcW w:w="1326" w:type="dxa"/>
            <w:vAlign w:val="center"/>
          </w:tcPr>
          <w:p w14:paraId="2FB6E8E7"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1711B6C5"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72535C25" w14:textId="77777777" w:rsidTr="6231485F">
        <w:tc>
          <w:tcPr>
            <w:tcW w:w="975" w:type="dxa"/>
            <w:vAlign w:val="center"/>
          </w:tcPr>
          <w:p w14:paraId="3A250B74"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m:oMathPara>
          </w:p>
        </w:tc>
        <w:tc>
          <w:tcPr>
            <w:tcW w:w="2985" w:type="dxa"/>
            <w:vAlign w:val="center"/>
          </w:tcPr>
          <w:p w14:paraId="3A3542E3"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death from biting a treated bird per bite</w:t>
            </w:r>
          </w:p>
        </w:tc>
        <w:tc>
          <w:tcPr>
            <w:tcW w:w="2937" w:type="dxa"/>
            <w:vAlign w:val="center"/>
          </w:tcPr>
          <w:p w14:paraId="2853C340"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0.5</w:t>
            </w:r>
          </w:p>
        </w:tc>
        <w:tc>
          <w:tcPr>
            <w:tcW w:w="1326" w:type="dxa"/>
            <w:vAlign w:val="center"/>
          </w:tcPr>
          <w:p w14:paraId="30763E5A"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4342BCD7" w14:textId="2A4CE229"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https://doi.org/10.1371/journal.pntd.0007210","author":[{"dropping-particle":"","family":"Nguyen","given":"Chilinh","non-dropping-particle":"","parse-names":false,"suffix":""},{"dropping-particle":"","family":"Gray","given":"Meg","non-dropping-particle":"","parse-names":false,"suffix":""},{"dropping-particle":"","family":"Burton","given":"Timothy A","non-dropping-particle":"","parse-names":false,"suffix":""},{"dropping-particle":"","family":"Foy","given":"Soleil L","non-dropping-particle":"","parse-names":false,"suffix":""},{"dropping-particle":"","family":"Foster","given":"John R","non-dropping-particle":"","parse-names":false,"suffix":""},{"dropping-particle":"","family":"Gendernalik","given":"Alex Lazr","non-dropping-particle":"","parse-names":false,"suffix":""},{"dropping-particle":"","family":"Rückert","given":"Claudia","non-dropping-particle":"","parse-names":false,"suffix":""},{"dropping-particle":"","family":"Alout","given":"Haoues","non-dropping-particle":"","parse-names":false,"suffix":""},{"dropping-particle":"","family":"Young","given":"Michael C","non-dropping-particle":"","parse-names":false,"suffix":""},{"dropping-particle":"","family":"Boze","given":"Broox","non-dropping-particle":"","parse-names":false,"suffix":""},{"dropping-particle":"","family":"Ebel","given":"Gregory D","non-dropping-particle":"","parse-names":false,"suffix":""},{"dropping-particle":"","family":"Clapsaddle","given":"Brady","non-dropping-particle":"","parse-names":false,"suffix":""},{"dropping-particle":"","family":"Foy","given":"Brian D","non-dropping-particle":"","parse-names":false,"suffix":""}],"container-title":"PLoS Negl Trop Dis","id":"ITEM-1","issue":"3","issued":{"date-parts":[["2019"]]},"page":"e0007210","title":"Evaluation of a novel West Nile virus transmission control strategy that targets Culex tarsalis with endectocide-containing blood meals","type":"article-journal","volume":"13"},"uris":["http://www.mendeley.com/documents/?uuid=3a137199-8110-4253-8924-fca749c3c1e5"]}],"mendeley":{"formattedCitation":"[17]","plainTextFormattedCitation":"[17]","previouslyFormattedCitation":"[16]"},"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[17]</w:t>
            </w:r>
            <w:r>
              <w:rPr>
                <w:rFonts w:ascii="Times New Roman" w:hAnsi="Times New Roman" w:cs="Times New Roman"/>
              </w:rPr>
              <w:fldChar w:fldCharType="end"/>
            </w:r>
          </w:p>
        </w:tc>
      </w:tr>
      <w:tr w:rsidR="00E13DC2" w14:paraId="7AC67C57" w14:textId="77777777" w:rsidTr="6231485F">
        <w:tc>
          <w:tcPr>
            <w:tcW w:w="975" w:type="dxa"/>
            <w:vAlign w:val="center"/>
          </w:tcPr>
          <w:p w14:paraId="0302E1B2"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CM</m:t>
                    </m:r>
                  </m:sub>
                </m:sSub>
              </m:oMath>
            </m:oMathPara>
          </w:p>
        </w:tc>
        <w:tc>
          <w:tcPr>
            <w:tcW w:w="2985" w:type="dxa"/>
            <w:vAlign w:val="center"/>
          </w:tcPr>
          <w:p w14:paraId="20990CA8"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successful WNV transmission from competent bird to mosquito per bite</w:t>
            </w:r>
          </w:p>
        </w:tc>
        <w:tc>
          <w:tcPr>
            <w:tcW w:w="2937" w:type="dxa"/>
            <w:vAlign w:val="center"/>
          </w:tcPr>
          <w:p w14:paraId="2A875C35"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0.8</w:t>
            </w:r>
          </w:p>
        </w:tc>
        <w:tc>
          <w:tcPr>
            <w:tcW w:w="1326" w:type="dxa"/>
            <w:vAlign w:val="center"/>
          </w:tcPr>
          <w:p w14:paraId="25E91933"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7A7878FD" w14:textId="1E323DF5" w:rsidR="00E13DC2" w:rsidRDefault="00E13DC2" w:rsidP="008A0B7A">
            <w:pPr>
              <w:widowControl w:val="0"/>
              <w:autoSpaceDE w:val="0"/>
              <w:autoSpaceDN w:val="0"/>
              <w:adjustRightInd w:val="0"/>
              <w:jc w:val="center"/>
              <w:rPr>
                <w:rFonts w:ascii="Times New Roman" w:hAnsi="Times New Roman" w:cs="Times New Roman"/>
              </w:rPr>
            </w:pPr>
            <w:r w:rsidRPr="00120B00">
              <w:rPr>
                <w:rFonts w:ascii="Times New Roman" w:hAnsi="Times New Roman" w:cs="Times New Roman"/>
              </w:rPr>
              <w:fldChar w:fldCharType="begin" w:fldLock="1"/>
            </w:r>
            <w:r w:rsidRPr="00120B00">
              <w:rPr>
                <w:rFonts w:ascii="Times New Roman" w:hAnsi="Times New Roman" w:cs="Times New Roman"/>
              </w:rPr>
              <w:instrText>ADDIN CSL_CITATION {"citationItems":[{"id":"ITEM-1","itemData":{"DOI":"10.3201/eid0903.020628","ISBN":"1080-6040 (Print)\r1080-6040 (Linking)","PMID":"12643825","abstract":"To evaluate transmission dynamics, we exposed 25 bird species to West Nile virus (WNV) by infectious mosquito bite. We monitored viremia titers, clinical outcome, WNV shedding (cloacal and oral), seroconversion, virus persistence in organs, and susceptibility to oral and contact transmission. Passeriform and charadriiform birds were more reservoir competent (a derivation of viremia data) than other species tested. The five most competent species were passerines: Blue Jay (Cyanocitta cristata), Common Grackle (Quiscalus quiscula), House Finch (Carpodacus mexicanus), American Crow (Corvus brachyrhynchos), and House Sparrow (Passer domesticus). Death occurred in eight species. Cloacal shedding of WNV was observed in 17 of 24 species, and oral shedding in 12 of 14 species. We observed contact transmission among four species and oral in five species. Persistent WNV infections were found in tissues of 16 surviving birds. Our observations shed light on transmission ecology of WNV and will benefit surveillance and control programs.","author":[{"dropping-particle":"","family":"Komar","given":"N","non-dropping-particle":"","parse-names":false,"suffix":""},{"dropping-particle":"","family":"Langevin","given":"S","non-dropping-particle":"","parse-names":false,"suffix":""},{"dropping-particle":"","family":"Hinten","given":"S","non-dropping-particle":"","parse-names":false,"suffix":""},{"dropping-particle":"","family":"Nemeth","given":"N","non-dropping-particle":"","parse-names":false,"suffix":""},{"dropping-particle":"","family":"Edwards","given":"E","non-dropping-particle":"","parse-names":false,"suffix":""},{"dropping-particle":"","family":"Hettler","given":"D","non-dropping-particle":"","parse-names":false,"suffix":""},{"dropping-particle":"","family":"Davis","given":"B","non-dropping-particle":"","parse-names":false,"suffix":""},{"dropping-particle":"","family":"Bowen","given":"R","non-dropping-particle":"","parse-names":false,"suffix":""},{"dropping-particle":"","family":"Bunning","given":"M","non-dropping-particle":"","parse-names":false,"suffix":""}],"container-title":"Emerg Infect Dis","edition":"2003/03/20","id":"ITEM-1","issue":"3","issued":{"date-parts":[["2003"]]},"note":"Komar, Nicholas\nLangevin, Stanley\nHinten, Steven\nNemeth, Nicole\nEdwards, Eric\nHettler, Danielle\nDavis, Brent\nBowen, Richard\nBunning, Michel\neng\nResearch Support, Non-U.S. Gov't\nEmerg Infect Dis. 2003 Mar;9(3):311-22. doi: 10.3201/eid0903.020628.","page":"311-322","title":"Experimental infection of North American birds with the New York 1999 strain of West Nile virus","type":"article-journal","volume":"9"},"uris":["http://www.mendeley.com/documents/?uuid=67ee5149-6006-4040-9309-5821133af8ca"]},{"id":"ITEM-2","itemData":{"DOI":"Doi 10.1642/0004-8038(2007)124[1121:Eownvt]2.0.Co;2","ISBN":"0004-8038","author":[{"dropping-particle":"","family":"Kilpatrick","given":"A M","non-dropping-particle":"","parse-names":false,"suffix":""},{"dropping-particle":"","family":"LaDeau","given":"S L","non-dropping-particle":"","parse-names":false,"suffix":""},{"dropping-particle":"","family":"Marra","given":"P P","non-dropping-particle":"","parse-names":false,"suffix":""}],"container-title":"Auk","id":"ITEM-2","issue":"4","issued":{"date-parts":[["2007"]]},"language":"English","note":"238ki\nTimes Cited:109\nCited References Count:110","page":"1121-1136","title":"Ecology of West Nile virus transmission and its impact on birds in the western hemisphere","type":"article-journal","volume":"124"},"uris":["http://www.mendeley.com/documents/?uuid=9dc5bd04-ffbc-4d51-8891-3f55cba365a0"]}],"mendeley":{"formattedCitation":"[18,19]","plainTextFormattedCitation":"[18,19]","previouslyFormattedCitation":"[17,18]"},"properties":{"noteIndex":0},"schema":"https://github.com/citation-style-language/schema/raw/master/csl-citation.json"}</w:instrText>
            </w:r>
            <w:r w:rsidRPr="00120B00">
              <w:rPr>
                <w:rFonts w:ascii="Times New Roman" w:hAnsi="Times New Roman" w:cs="Times New Roman"/>
              </w:rPr>
              <w:fldChar w:fldCharType="separate"/>
            </w:r>
            <w:r w:rsidR="004027ED" w:rsidRPr="00120B00">
              <w:rPr>
                <w:rFonts w:ascii="Times New Roman" w:hAnsi="Times New Roman" w:cs="Times New Roman"/>
                <w:noProof/>
              </w:rPr>
              <w:t>[18,19]</w:t>
            </w:r>
            <w:r w:rsidRPr="00120B00">
              <w:rPr>
                <w:rFonts w:ascii="Times New Roman" w:hAnsi="Times New Roman" w:cs="Times New Roman"/>
              </w:rPr>
              <w:fldChar w:fldCharType="end"/>
            </w:r>
          </w:p>
        </w:tc>
      </w:tr>
      <w:tr w:rsidR="00E13DC2" w14:paraId="3A2DDE5E" w14:textId="77777777" w:rsidTr="6231485F">
        <w:trPr>
          <w:trHeight w:val="260"/>
        </w:trPr>
        <w:tc>
          <w:tcPr>
            <w:tcW w:w="975" w:type="dxa"/>
            <w:vAlign w:val="center"/>
          </w:tcPr>
          <w:p w14:paraId="2B9D0E51"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MC</m:t>
                    </m:r>
                  </m:sub>
                </m:sSub>
              </m:oMath>
            </m:oMathPara>
          </w:p>
        </w:tc>
        <w:tc>
          <w:tcPr>
            <w:tcW w:w="2985" w:type="dxa"/>
            <w:vAlign w:val="center"/>
          </w:tcPr>
          <w:p w14:paraId="433B04E1"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successful WNV transmission from mosquito to competent bird per bite</w:t>
            </w:r>
          </w:p>
        </w:tc>
        <w:tc>
          <w:tcPr>
            <w:tcW w:w="2937" w:type="dxa"/>
            <w:vAlign w:val="center"/>
          </w:tcPr>
          <w:p w14:paraId="4A370235"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26" w:type="dxa"/>
            <w:vAlign w:val="center"/>
          </w:tcPr>
          <w:p w14:paraId="3B5C764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653194FF" w14:textId="5E8F100A"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{"citationItems":[{"id":"ITEM-1","itemData":{"ISBN":"0022-2585 (Print)\r0022-2585 (Linking)","PMID":"15962789","abstract":"The ability of the invading NY99 strain of West Nile virus (WNV) to elicit an elevated viremia response in California passerine birds was critical for the effective infection of Culex mosquitoes. Of the bird species tested, Western scrub jays, Aphelocoma coerulescens, produced the highest viremia response, followed by house finches, Carpodacus mexicanus, and house sparrows, Passer domesticus. Most likely, few mourning, Zenaidura macroura, or common ground, Columbina passerine, doves and no California quail, Callipepla californica, or chickens would infect blood-feeding Culex mosquitoes. All Western scrub jays and most house finches succumbed to infection. All avian hosts produced a lower viremia response and survived after infection with an endemic strain of St. Louis encephalitis virus. Culex species varied in their susceptibility to infection with both viruses, with Culex stigmatosoma Dyar generally most susceptible, followed by Culex tarsalis Coquillett, and then Culex p. quinquefasciatus Say. Populations within Culex species varied markedly in their susceptibility, perhaps contributing to the focality of WNV amplification. Transmitting female Cx. tarsalis expectorated from six to 3,777 plaque-forming units (PFU) of WNV during transmission trials, thereby exposing avian hosts to a wide range of infectious doses. Highly susceptible house finches and moderately susceptible mourning doves were infected by subcutaneous inoculation with decreasing concentrations of WNV ranging from 15,800 to &lt;0.3 PFU. All birds became infected and produced comparable peak viremias on days 2-3 postinoculation; however, the rise in viremia titer and onset of the acute phase of infection occurred earliest in birds inoculated with the highest doses. WNV virulence in birds seemed critical in establishing elevated viremias necessary to efficiently infect blood feeding Culex mosquitoes.","author":[{"dropping-particle":"","family":"Reisen","given":"W K","non-dropping-particle":"","parse-names":false,"suffix":""},{"dropping-particle":"","family":"Fang","given":"Y","non-dropping-particle":"","parse-names":false,"suffix":""},{"dropping-particle":"","family":"Martinez","given":"V M","non-dropping-particle":"","parse-names":false,"suffix":""}],"container-title":"J Med Entomol","edition":"2005/06/21","id":"ITEM-1","issue":"3","issued":{"date-parts":[["2005"]]},"note":"Reisen, W K\nFang, Y\nMartinez, V M\neng\nR01-A155607/PHS HHS/\nR01-AI39483/AI/NIAID NIH HHS/\nResearch Support, N.I.H., Extramural\nResearch Support, Non-U.S. Gov't\nResearch Support, U.S. Gov't, P.H.S.\nEngland\nJ Med Entomol. 2005 May;42(3):367-75.","page":"367-375","title":"Avian host and mosquito (Diptera: Culicidae) vector competence determine the efficiency of West Nile and St. Louis encephalitis virus transmission","type":"article-journal","volume":"42"},"uris":["http://www.mendeley.com/documents/?uuid=bc74fbb3-f0ef-4c2a-8650-cbe50ea862cd"]}],"mendeley":{"formattedCitation":"[20]","plainTextFormattedCitation":"[20]","previouslyFormattedCitation":"[19]"},"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[20]</w:t>
            </w:r>
            <w:r>
              <w:rPr>
                <w:rFonts w:ascii="Times New Roman" w:hAnsi="Times New Roman" w:cs="Times New Roman"/>
              </w:rPr>
              <w:fldChar w:fldCharType="end"/>
            </w:r>
          </w:p>
        </w:tc>
      </w:tr>
      <w:tr w:rsidR="00E13DC2" w14:paraId="2904FC8D" w14:textId="77777777" w:rsidTr="6231485F">
        <w:tc>
          <w:tcPr>
            <w:tcW w:w="975" w:type="dxa"/>
            <w:vAlign w:val="center"/>
          </w:tcPr>
          <w:p w14:paraId="0CB88CED" w14:textId="77777777" w:rsidR="00E13DC2" w:rsidRDefault="00E13DC2" w:rsidP="008A0B7A">
            <w:pPr>
              <w:widowControl w:val="0"/>
              <w:autoSpaceDE w:val="0"/>
              <w:autoSpaceDN w:val="0"/>
              <w:adjustRightInd w:val="0"/>
              <w:jc w:val="center"/>
              <w:rPr>
                <w:rFonts w:ascii="Times New Roman" w:hAnsi="Times New Roman" w:cs="Times New Roman"/>
              </w:rPr>
            </w:pPr>
            <m:oMathPara>
              <m:oMath>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M</m:t>
                    </m:r>
                  </m:sub>
                </m:sSub>
              </m:oMath>
            </m:oMathPara>
          </w:p>
        </w:tc>
        <w:tc>
          <w:tcPr>
            <w:tcW w:w="2985" w:type="dxa"/>
            <w:vAlign w:val="center"/>
          </w:tcPr>
          <w:p w14:paraId="1F030C3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Extrinsic incubation period of mosquito</w:t>
            </w:r>
          </w:p>
        </w:tc>
        <w:tc>
          <w:tcPr>
            <w:tcW w:w="2937" w:type="dxa"/>
            <w:vAlign w:val="center"/>
          </w:tcPr>
          <w:p w14:paraId="52F90CBF"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See text</w:t>
            </w:r>
          </w:p>
        </w:tc>
        <w:tc>
          <w:tcPr>
            <w:tcW w:w="1326" w:type="dxa"/>
            <w:vAlign w:val="center"/>
          </w:tcPr>
          <w:p w14:paraId="376AE90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days</w:t>
            </w:r>
          </w:p>
        </w:tc>
        <w:tc>
          <w:tcPr>
            <w:tcW w:w="1127" w:type="dxa"/>
            <w:vAlign w:val="center"/>
          </w:tcPr>
          <w:p w14:paraId="1B79C19A" w14:textId="6C6D25F8"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{"citationItems":[{"id":"ITEM-1","itemData":{"DOI":"Doi 10.1603/0022-2585(2006)043[0309:Eotott]2.0.Co;2","ISBN":"0022-2585","abstract":"Culex tarsalis Coquillett females were infected with the NY99 strain of West Nile virus (family Flaviviridae, genus Flavivirus, WNV) and then incubated under constant temperatures of 10-30 degrees C. At selected time intervals, transmission was attempted using an in vitro capillary tube assay. The median time from imbibing an infectious bloodmeal until infected females transmitted WNV (median extrinsic incubation period, EIP50) was estimated by probit analysis. By regressing the EIP rate (inverse of EIP50) as a function of temperature from 14 to 30 degrees C, the EIP was estimated to require 109 degree-days (DD) and the point of zero virus development (x-intercept) was estimated to be 14.3 degrees C. The resulting degree-day model showed that the NY99 WNV strain responded to temperature differently than a lineage II strain of WNV from South Africa and approximated our previous estimates for St. Louis encephalitis virus (family Flaviviridae, genus Flavivirus, SLEV). The invading NY99 WNV strain therefore required warm temperatures for efficient transmission. The time for completion of the EIP was estimated monthly from temperatures recorded at Coachella Valley, Los Angeles, and Kern County, California, during the 2004 epidemic year and related to the duration of the Cx. tarsalis gonotrophic cycle and measures of WNV activity. Enzootic WNV activity commenced after temperatures increased, the duration of the EIP decreased, and virus potentially was transmitted in two or less gonotrophic cycles. Temperatures in the United States during the epidemic summers of 2002-2004 indicated that WNV dispersal and resulting epicenters were linked closely to above-average summer temperatures.","author":[{"dropping-particle":"","family":"Reisen","given":"W K","non-dropping-particle":"","parse-names":false,"suffix":""},{"dropping-particle":"","family":"Fang","given":"Y","non-dropping-particle":"","parse-names":false,"suffix":""},{"dropping-particle":"","family":"Martinez","given":"V M","non-dropping-particle":"","parse-names":false,"suffix":""}],"container-title":"Journal of Medical Entomology","id":"ITEM-1","issue":"2","issued":{"date-parts":[["2006"]]},"language":"English","note":"024gx\nTimes Cited:211\nCited References Count:41","page":"309-317","title":"Effects of temperature on the transmission of West Nile virus by Culex tarsalis (Diptera : Culicidae)","type":"article-journal","volume":"43"},"uris":["http://www.mendeley.com/documents/?uuid=bcabb3a6-216a-49fa-ae8c-be1a7da5b994"]}],"mendeley":{"formattedCitation":"[21]","plainTextFormattedCitation":"[21]","previouslyFormattedCitation":"[20]"},"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[21]</w:t>
            </w:r>
            <w:r>
              <w:rPr>
                <w:rFonts w:ascii="Times New Roman" w:hAnsi="Times New Roman" w:cs="Times New Roman"/>
              </w:rPr>
              <w:fldChar w:fldCharType="end"/>
            </w:r>
          </w:p>
        </w:tc>
      </w:tr>
      <w:tr w:rsidR="00E13DC2" w14:paraId="331DA866" w14:textId="77777777" w:rsidTr="6231485F">
        <w:tc>
          <w:tcPr>
            <w:tcW w:w="975" w:type="dxa"/>
            <w:vAlign w:val="center"/>
          </w:tcPr>
          <w:p w14:paraId="3F596B43" w14:textId="77777777" w:rsidR="00E13DC2" w:rsidRDefault="00E13DC2" w:rsidP="008A0B7A">
            <w:pPr>
              <w:widowControl w:val="0"/>
              <w:autoSpaceDE w:val="0"/>
              <w:autoSpaceDN w:val="0"/>
              <w:adjustRightInd w:val="0"/>
              <w:jc w:val="center"/>
              <w:rPr>
                <w:rFonts w:ascii="Times New Roman" w:hAnsi="Times New Roman" w:cs="Times New Roman"/>
              </w:rPr>
            </w:pPr>
            <m:oMathPara>
              <m:oMath>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C</m:t>
                    </m:r>
                  </m:sub>
                </m:sSub>
              </m:oMath>
            </m:oMathPara>
          </w:p>
        </w:tc>
        <w:tc>
          <w:tcPr>
            <w:tcW w:w="2985" w:type="dxa"/>
            <w:vAlign w:val="center"/>
          </w:tcPr>
          <w:p w14:paraId="6474D276"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Intrinsic incubation period of competent birds</w:t>
            </w:r>
          </w:p>
        </w:tc>
        <w:tc>
          <w:tcPr>
            <w:tcW w:w="2937" w:type="dxa"/>
            <w:vAlign w:val="center"/>
          </w:tcPr>
          <w:p w14:paraId="70BAF2FF"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26" w:type="dxa"/>
            <w:vAlign w:val="center"/>
          </w:tcPr>
          <w:p w14:paraId="4F0923B0"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days</w:t>
            </w:r>
          </w:p>
        </w:tc>
        <w:tc>
          <w:tcPr>
            <w:tcW w:w="1127" w:type="dxa"/>
            <w:vAlign w:val="center"/>
          </w:tcPr>
          <w:p w14:paraId="2CAAE4F0" w14:textId="3017EFF0"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{"citationItems":[{"id":"ITEM-1","itemData":{"DOI":"10.3201/eid0903.020628","ISBN":"1080-6040 (Print)\r1080-6040 (Linking)","PMID":"12643825","abstract":"To evaluate transmission dynamics, we exposed 25 bird species to West Nile virus (WNV) by infectious mosquito bite. We monitored viremia titers, clinical outcome, WNV shedding (cloacal and oral), seroconversion, virus persistence in organs, and susceptibility to oral and contact transmission. Passeriform and charadriiform birds were more reservoir competent (a derivation of viremia data) than other species tested. The five most competent species were passerines: Blue Jay (Cyanocitta cristata), Common Grackle (Quiscalus quiscula), House Finch (Carpodacus mexicanus), American Crow (Corvus brachyrhynchos), and House Sparrow (Passer domesticus). Death occurred in eight species. Cloacal shedding of WNV was observed in 17 of 24 species, and oral shedding in 12 of 14 species. We observed contact transmission among four species and oral in five species. Persistent WNV infections were found in tissues of 16 surviving birds. Our observations shed light on transmission ecology of WNV and will benefit surveillance and control programs.","author":[{"dropping-particle":"","family":"Komar","given":"N","non-dropping-particle":"","parse-names":false,"suffix":""},{"dropping-particle":"","family":"Langevin","given":"S","non-dropping-particle":"","parse-names":false,"suffix":""},{"dropping-particle":"","family":"Hinten","given":"S","non-dropping-particle":"","parse-names":false,"suffix":""},{"dropping-particle":"","family":"Nemeth","given":"N","non-dropping-particle":"","parse-names":false,"suffix":""},{"dropping-particle":"","family":"Edwards","given":"E","non-dropping-particle":"","parse-names":false,"suffix":""},{"dropping-particle":"","family":"Hettler","given":"D","non-dropping-particle":"","parse-names":false,"suffix":""},{"dropping-particle":"","family":"Davis","given":"B","non-dropping-particle":"","parse-names":false,"suffix":""},{"dropping-particle":"","family":"Bowen","given":"R","non-dropping-particle":"","parse-names":false,"suffix":""},{"dropping-particle":"","family":"Bunning","given":"M","non-dropping-particle":"","parse-names":false,"suffix":""}],"container-title":"Emerg Infect Dis","edition":"2003/03/20","id":"ITEM-1","issue":"3","issued":{"date-parts":[["2003"]]},"note":"Komar, Nicholas\nLangevin, Stanley\nHinten, Steven\nNemeth, Nicole\nEdwards, Eric\nHettler, Danielle\nDavis, Brent\nBowen, Richard\nBunning, Michel\neng\nResearch Support, Non-U.S. Gov't\nEmerg Infect Dis. 2003 Mar;9(3):311-22. doi: 10.3201/eid0903.020628.","page":"311-322","title":"Experimental infection of North American birds with the New York 1999 strain of West Nile virus","type":"article-journal","volume":"9"},"uris":["http://www.mendeley.com/documents/?uuid=67ee5149-6006-4040-9309-5821133af8ca"]},{"id":"ITEM-2","itemData":{"ISBN":"0022-2585 (Print)\r0022-2585 (Linking)","PMID":"15962789","abstract":"The ability of the invading NY99 strain of West Nile virus (WNV) to elicit an elevated viremia response in California passerine birds was critical for the effective infection of Culex mosquitoes. Of the bird species tested, Western scrub jays, Aphelocoma coerulescens, produced the highest viremia response, followed by house finches, Carpodacus mexicanus, and house sparrows, Passer domesticus. Most likely, few mourning, Zenaidura macroura, or common ground, Columbina passerine, doves and no California quail, Callipepla californica, or chickens would infect blood-feeding Culex mosquitoes. All Western scrub jays and most house finches succumbed to infection. All avian hosts produced a lower viremia response and survived after infection with an endemic strain of St. Louis encephalitis virus. Culex species varied in their susceptibility to infection with both viruses, with Culex stigmatosoma Dyar generally most susceptible, followed by Culex tarsalis Coquillett, and then Culex p. quinquefasciatus Say. Populations within Culex species varied markedly in their susceptibility, perhaps contributing to the focality of WNV amplification. Transmitting female Cx. tarsalis expectorated from six to 3,777 plaque-forming units (PFU) of WNV during transmission trials, thereby exposing avian hosts to a wide range of infectious doses. Highly susceptible house finches and moderately susceptible mourning doves were infected by subcutaneous inoculation with decreasing concentrations of WNV ranging from 15,800 to &lt;0.3 PFU. All birds became infected and produced comparable peak viremias on days 2-3 postinoculation; however, the rise in viremia titer and onset of the acute phase of infection occurred earliest in birds inoculated with the highest doses. WNV virulence in birds seemed critical in establishing elevated viremias necessary to efficiently infect blood feeding Culex mosquitoes.","author":[{"dropping-particle":"","family":"Reisen","given":"W K","non-dropping-particle":"","parse-names":false,"suffix":""},{"dropping-particle":"","family":"Fang","given":"Y","non-dropping-particle":"","parse-names":false,"suffix":""},{"dropping-particle":"","family":"Martinez","given":"V M","non-dropping-particle":"","parse-names":false,"suffix":""}],"container-title":"J Med Entomol","edition":"2005/06/21","id":"ITEM-2","issue":"3","issued":{"date-parts":[["2005"]]},"note":"Reisen, W K\nFang, Y\nMartinez, V M\neng\nR01-A155607/PHS HHS/\nR01-AI39483/AI/NIAID NIH HHS/\nResearch Support, N.I.H., Extramural\nResearch Support, Non-U.S. Gov't\nResearch Support, U.S. Gov't, P.H.S.\nEngland\nJ Med Entomol. 2005 May;42(3):367-75.","page":"367-375","title":"Avian host and mosquito (Diptera: Culicidae) vector competence determine the efficiency of West Nile and St. Louis encephalitis virus transmission","type":"article-journal","volume":"42"},"uris":["http://www.mendeley.com/documents/?uuid=bc74fbb3-f0ef-4c2a-8650-cbe50ea862cd"]}],"mendeley":{"formattedCitation":"[18,20]","plainTextFormattedCitation":"[18,20]","previouslyFormattedCitation":"[18,19]"},"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[18,20]</w:t>
            </w:r>
            <w:r>
              <w:rPr>
                <w:rFonts w:ascii="Times New Roman" w:hAnsi="Times New Roman" w:cs="Times New Roman"/>
              </w:rPr>
              <w:fldChar w:fldCharType="end"/>
            </w:r>
          </w:p>
        </w:tc>
      </w:tr>
      <w:tr w:rsidR="00E13DC2" w14:paraId="34D148F7" w14:textId="77777777" w:rsidTr="6231485F">
        <w:tc>
          <w:tcPr>
            <w:tcW w:w="975" w:type="dxa"/>
            <w:vAlign w:val="center"/>
          </w:tcPr>
          <w:p w14:paraId="13D22966" w14:textId="77777777" w:rsidR="00E13DC2" w:rsidRDefault="00E13DC2" w:rsidP="008A0B7A">
            <w:pPr>
              <w:widowControl w:val="0"/>
              <w:autoSpaceDE w:val="0"/>
              <w:autoSpaceDN w:val="0"/>
              <w:adjustRightInd w:val="0"/>
              <w:jc w:val="center"/>
              <w:rPr>
                <w:rFonts w:ascii="Times New Roman" w:hAnsi="Times New Roman" w:cs="Times New Roman"/>
              </w:rPr>
            </w:pPr>
            <m:oMathPara>
              <m:oMath>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C</m:t>
                    </m:r>
                  </m:sub>
                </m:sSub>
              </m:oMath>
            </m:oMathPara>
          </w:p>
        </w:tc>
        <w:tc>
          <w:tcPr>
            <w:tcW w:w="2985" w:type="dxa"/>
            <w:vAlign w:val="center"/>
          </w:tcPr>
          <w:p w14:paraId="008AE774"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Infectious period of competent birds</w:t>
            </w:r>
          </w:p>
        </w:tc>
        <w:tc>
          <w:tcPr>
            <w:tcW w:w="2937" w:type="dxa"/>
            <w:vAlign w:val="center"/>
          </w:tcPr>
          <w:p w14:paraId="6BDE05DC"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5.5</w:t>
            </w:r>
          </w:p>
        </w:tc>
        <w:tc>
          <w:tcPr>
            <w:tcW w:w="1326" w:type="dxa"/>
            <w:vAlign w:val="center"/>
          </w:tcPr>
          <w:p w14:paraId="3F93B60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days</w:t>
            </w:r>
          </w:p>
        </w:tc>
        <w:tc>
          <w:tcPr>
            <w:tcW w:w="1127" w:type="dxa"/>
            <w:vAlign w:val="center"/>
          </w:tcPr>
          <w:p w14:paraId="20BAAED1" w14:textId="4822A9AE"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{"citationItems":[{"id":"ITEM-1","itemData":{"DOI":"10.3201/eid0903.020628","ISBN":"1080-6040 (Print)\r1080-6040 (Linking)","PMID":"12643825","abstract":"To evaluate transmission dynamics, we exposed 25 bird species to West Nile virus (WNV) by infectious mosquito bite. We monitored viremia titers, clinical outcome, WNV shedding (cloacal and oral), seroconversion, virus persistence in organs, and susceptibility to oral and contact transmission. Passeriform and charadriiform birds were more reservoir competent (a derivation of viremia data) than other species tested. The five most competent species were passerines: Blue Jay (Cyanocitta cristata), Common Grackle (Quiscalus quiscula), House Finch (Carpodacus mexicanus), American Crow (Corvus brachyrhynchos), and House Sparrow (Passer domesticus). Death occurred in eight species. Cloacal shedding of WNV was observed in 17 of 24 species, and oral shedding in 12 of 14 species. We observed contact transmission among four species and oral in five species. Persistent WNV infections were found in tissues of 16 surviving birds. Our observations shed light on transmission ecology of WNV and will benefit surveillance and control programs.","author":[{"dropping-particle":"","family":"Komar","given":"N","non-dropping-particle":"","parse-names":false,"suffix":""},{"dropping-particle":"","family":"Langevin","given":"S","non-dropping-particle":"","parse-names":false,"suffix":""},{"dropping-particle":"","family":"Hinten","given":"S","non-dropping-particle":"","parse-names":false,"suffix":""},{"dropping-particle":"","family":"Nemeth","given":"N","non-dropping-particle":"","parse-names":false,"suffix":""},{"dropping-particle":"","family":"Edwards","given":"E","non-dropping-particle":"","parse-names":false,"suffix":""},{"dropping-particle":"","family":"Hettler","given":"D","non-dropping-particle":"","parse-names":false,"suffix":""},{"dropping-particle":"","family":"Davis","given":"B","non-dropping-particle":"","parse-names":false,"suffix":""},{"dropping-particle":"","family":"Bowen","given":"R","non-dropping-particle":"","parse-names":false,"suffix":""},{"dropping-particle":"","family":"Bunning","given":"M","non-dropping-particle":"","parse-names":false,"suffix":""}],"container-title":"Emerg Infect Dis","edition":"2003/03/20","id":"ITEM-1","issue":"3","issued":{"date-parts":[["2003"]]},"note":"Komar, Nicholas\nLangevin, Stanley\nHinten, Steven\nNemeth, Nicole\nEdwards, Eric\nHettler, Danielle\nDavis, Brent\nBowen, Richard\nBunning, Michel\neng\nResearch Support, Non-U.S. Gov't\nEmerg Infect Dis. 2003 Mar;9(3):311-22. doi: 10.3201/eid0903.020628.","page":"311-322","title":"Experimental infection of North American birds with the New York 1999 strain of West Nile virus","type":"article-journal","volume":"9"},"uris":["http://www.mendeley.com/documents/?uuid=67ee5149-6006-4040-9309-5821133af8ca"]},{"id":"ITEM-2","itemData":{"ISBN":"0022-2585 (Print)\r0022-2585 (Linking)","PMID":"15962789","abstract":"The ability of the invading NY99 strain of West Nile virus (WNV) to elicit an elevated viremia response in California passerine birds was critical for the effective infection of Culex mosquitoes. Of the bird species tested, Western scrub jays, Aphelocoma coerulescens, produced the highest viremia response, followed by house finches, Carpodacus mexicanus, and house sparrows, Passer domesticus. Most likely, few mourning, Zenaidura macroura, or common ground, Columbina passerine, doves and no California quail, Callipepla californica, or chickens would infect blood-feeding Culex mosquitoes. All Western scrub jays and most house finches succumbed to infection. All avian hosts produced a lower viremia response and survived after infection with an endemic strain of St. Louis encephalitis virus. Culex species varied in their susceptibility to infection with both viruses, with Culex stigmatosoma Dyar generally most susceptible, followed by Culex tarsalis Coquillett, and then Culex p. quinquefasciatus Say. Populations within Culex species varied markedly in their susceptibility, perhaps contributing to the focality of WNV amplification. Transmitting female Cx. tarsalis expectorated from six to 3,777 plaque-forming units (PFU) of WNV during transmission trials, thereby exposing avian hosts to a wide range of infectious doses. Highly susceptible house finches and moderately susceptible mourning doves were infected by subcutaneous inoculation with decreasing concentrations of WNV ranging from 15,800 to &lt;0.3 PFU. All birds became infected and produced comparable peak viremias on days 2-3 postinoculation; however, the rise in viremia titer and onset of the acute phase of infection occurred earliest in birds inoculated with the highest doses. WNV virulence in birds seemed critical in establishing elevated viremias necessary to efficiently infect blood feeding Culex mosquitoes.","author":[{"dropping-particle":"","family":"Reisen","given":"W K","non-dropping-particle":"","parse-names":false,"suffix":""},{"dropping-particle":"","family":"Fang","given":"Y","non-dropping-particle":"","parse-names":false,"suffix":""},{"dropping-particle":"","family":"Martinez","given":"V M","non-dropping-particle":"","parse-names":false,"suffix":""}],"container-title":"J Med Entomol","edition":"2005/06/21","id":"ITEM-2","issue":"3","issued":{"date-parts":[["2005"]]},"note":"Reisen, W K\nFang, Y\nMartinez, V M\neng\nR01-A155607/PHS HHS/\nR01-AI39483/AI/NIAID NIH HHS/\nResearch Support, N.I.H., Extramural\nResearch Support, Non-U.S. Gov't\nResearch Support, U.S. Gov't, P.H.S.\nEngland\nJ Med Entomol. 2005 May;42(3):367-75.","page":"367-375","title":"Avian host and mosquito (Diptera: Culicidae) vector competence determine the efficiency of West Nile and St. Louis encephalitis virus transmission","type":"article-journal","volume":"42"},"uris":["http://www.mendeley.com/documents/?uuid=bc74fbb3-f0ef-4c2a-8650-cbe50ea862cd"]}],"mendeley":{"formattedCitation":"[18,20]","plainTextFormattedCitation":"[18,20]","previouslyFormattedCitation":"[18,19]"},"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[18,20]</w:t>
            </w:r>
            <w:r>
              <w:rPr>
                <w:rFonts w:ascii="Times New Roman" w:hAnsi="Times New Roman" w:cs="Times New Roman"/>
              </w:rPr>
              <w:fldChar w:fldCharType="end"/>
            </w:r>
          </w:p>
        </w:tc>
      </w:tr>
      <w:tr w:rsidR="00E13DC2" w14:paraId="4AB46143" w14:textId="77777777" w:rsidTr="6231485F">
        <w:tc>
          <w:tcPr>
            <w:tcW w:w="975" w:type="dxa"/>
            <w:vAlign w:val="center"/>
          </w:tcPr>
          <w:p w14:paraId="5BE8F8AE"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C</m:t>
                    </m:r>
                  </m:sub>
                </m:sSub>
              </m:oMath>
            </m:oMathPara>
          </w:p>
        </w:tc>
        <w:tc>
          <w:tcPr>
            <w:tcW w:w="2985" w:type="dxa"/>
            <w:vAlign w:val="center"/>
          </w:tcPr>
          <w:p w14:paraId="139919F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Disease-related mortality of competent birds</w:t>
            </w:r>
          </w:p>
        </w:tc>
        <w:tc>
          <w:tcPr>
            <w:tcW w:w="2937" w:type="dxa"/>
            <w:vAlign w:val="center"/>
          </w:tcPr>
          <w:p w14:paraId="7385914F"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1/7</w:t>
            </w:r>
          </w:p>
        </w:tc>
        <w:tc>
          <w:tcPr>
            <w:tcW w:w="1326" w:type="dxa"/>
            <w:vAlign w:val="center"/>
          </w:tcPr>
          <w:p w14:paraId="66248493"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w:t>
            </w:r>
            <w:r>
              <w:rPr>
                <w:rFonts w:ascii="Times New Roman" w:hAnsi="Times New Roman" w:cs="Times New Roman"/>
                <w:vertAlign w:val="superscript"/>
              </w:rPr>
              <w:t>-1</w:t>
            </w:r>
          </w:p>
        </w:tc>
        <w:tc>
          <w:tcPr>
            <w:tcW w:w="1127" w:type="dxa"/>
            <w:vAlign w:val="center"/>
          </w:tcPr>
          <w:p w14:paraId="21FEE56E" w14:textId="5642E555"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{"citationItems":[{"id":"ITEM-1","itemData":{"ISBN":"0022-2585 (Print)\r0022-2585 (Linking)","PMID":"15962789","abstract":"The ability of the invading NY99 strain of West Nile virus (WNV) to elicit an elevated viremia response in California passerine birds was critical for the effective infection of Culex mosquitoes. Of the bird species tested, Western scrub jays, Aphelocoma coerulescens, produced the highest viremia response, followed by house finches, Carpodacus mexicanus, and house sparrows, Passer domesticus. Most likely, few mourning, Zenaidura macroura, or common ground, Columbina passerine, doves and no California quail, Callipepla californica, or chickens would infect blood-feeding Culex mosquitoes. All Western scrub jays and most house finches succumbed to infection. All avian hosts produced a lower viremia response and survived after infection with an endemic strain of St. Louis encephalitis virus. Culex species varied in their susceptibility to infection with both viruses, with Culex stigmatosoma Dyar generally most susceptible, followed by Culex tarsalis Coquillett, and then Culex p. quinquefasciatus Say. Populations within Culex species varied markedly in their susceptibility, perhaps contributing to the focality of WNV amplification. Transmitting female Cx. tarsalis expectorated from six to 3,777 plaque-forming units (PFU) of WNV during transmission trials, thereby exposing avian hosts to a wide range of infectious doses. Highly susceptible house finches and moderately susceptible mourning doves were infected by subcutaneous inoculation with decreasing concentrations of WNV ranging from 15,800 to &lt;0.3 PFU. All birds became infected and produced comparable peak viremias on days 2-3 postinoculation; however, the rise in viremia titer and onset of the acute phase of infection occurred earliest in birds inoculated with the highest doses. WNV virulence in birds seemed critical in establishing elevated viremias necessary to efficiently infect blood feeding Culex mosquitoes.","author":[{"dropping-particle":"","family":"Reisen","given":"W K","non-dropping-particle":"","parse-names":false,"suffix":""},{"dropping-particle":"","family":"Fang","given":"Y","non-dropping-particle":"","parse-names":false,"suffix":""},{"dropping-particle":"","family":"Martinez","given":"V M","non-dropping-particle":"","parse-names":false,"suffix":""}],"container-title":"J Med Entomol","edition":"2005/06/21","id":"ITEM-1","issue":"3","issued":{"date-parts":[["2005"]]},"note":"Reisen, W K\nFang, Y\nMartinez, V M\neng\nR01-A155607/PHS HHS/\nR01-AI39483/AI/NIAID NIH HHS/\nResearch Support, N.I.H., Extramural\nResearch Support, Non-U.S. Gov't\nResearch Support, U.S. Gov't, P.H.S.\nEngland\nJ Med Entomol. 2005 May;42(3):367-75.","page":"367-375","title":"Avian host and mosquito (Diptera: Culicidae) vector competence determine the efficiency of West Nile and St. Louis encephalitis virus transmission","type":"article-journal","volume":"42"},"uris":["http://www.mendeley.com/documents/?uuid=bc74fbb3-f0ef-4c2a-8650-cbe50ea862cd"]}],"mendeley":{"formattedCitation":"[20]","plainTextFormattedCitation":"[20]","previouslyFormattedCitation":"[19]"},"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[20]</w:t>
            </w:r>
            <w:r>
              <w:rPr>
                <w:rFonts w:ascii="Times New Roman" w:hAnsi="Times New Roman" w:cs="Times New Roman"/>
              </w:rPr>
              <w:fldChar w:fldCharType="end"/>
            </w:r>
          </w:p>
        </w:tc>
      </w:tr>
      <w:tr w:rsidR="00E13DC2" w14:paraId="062B14C0" w14:textId="77777777" w:rsidTr="6231485F">
        <w:tc>
          <w:tcPr>
            <w:tcW w:w="975" w:type="dxa"/>
            <w:vAlign w:val="center"/>
          </w:tcPr>
          <w:p w14:paraId="050418F1"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oMath>
            </m:oMathPara>
          </w:p>
        </w:tc>
        <w:tc>
          <w:tcPr>
            <w:tcW w:w="2985" w:type="dxa"/>
            <w:vAlign w:val="center"/>
          </w:tcPr>
          <w:p w14:paraId="093D819D"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competent bird feeding at an ivermectin-treated feeder per day</w:t>
            </w:r>
          </w:p>
        </w:tc>
        <w:tc>
          <w:tcPr>
            <w:tcW w:w="2937" w:type="dxa"/>
            <w:vAlign w:val="center"/>
          </w:tcPr>
          <w:p w14:paraId="17A21005"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0.27 in treated patches</w:t>
            </w:r>
          </w:p>
          <w:p w14:paraId="3F4D5B32"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 in untreated patches</w:t>
            </w:r>
          </w:p>
        </w:tc>
        <w:tc>
          <w:tcPr>
            <w:tcW w:w="1326" w:type="dxa"/>
            <w:vAlign w:val="center"/>
          </w:tcPr>
          <w:p w14:paraId="15B05CAA"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29DFB4E2" w14:textId="21EC49AC" w:rsidR="00E13DC2" w:rsidRDefault="67CE87E0" w:rsidP="008A0B7A">
            <w:pPr>
              <w:widowControl w:val="0"/>
              <w:autoSpaceDE w:val="0"/>
              <w:autoSpaceDN w:val="0"/>
              <w:adjustRightInd w:val="0"/>
              <w:jc w:val="center"/>
              <w:rPr>
                <w:rFonts w:ascii="Times New Roman" w:hAnsi="Times New Roman" w:cs="Times New Roman"/>
              </w:rPr>
            </w:pPr>
            <w:r w:rsidRPr="7D3D787C">
              <w:rPr>
                <w:rFonts w:ascii="Times New Roman" w:hAnsi="Times New Roman" w:cs="Times New Roman"/>
              </w:rPr>
              <w:t xml:space="preserve">Table </w:t>
            </w:r>
            <w:r w:rsidR="03BEF46A" w:rsidRPr="7D3D787C">
              <w:rPr>
                <w:rFonts w:ascii="Times New Roman" w:hAnsi="Times New Roman" w:cs="Times New Roman"/>
              </w:rPr>
              <w:t>3</w:t>
            </w:r>
          </w:p>
        </w:tc>
      </w:tr>
      <w:tr w:rsidR="00E13DC2" w14:paraId="14B7FE8F" w14:textId="77777777" w:rsidTr="6231485F">
        <w:tc>
          <w:tcPr>
            <w:tcW w:w="975" w:type="dxa"/>
            <w:vAlign w:val="center"/>
          </w:tcPr>
          <w:p w14:paraId="3DC7CAA3"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I</m:t>
                    </m:r>
                  </m:sub>
                </m:sSub>
              </m:oMath>
            </m:oMathPara>
          </w:p>
        </w:tc>
        <w:tc>
          <w:tcPr>
            <w:tcW w:w="2985" w:type="dxa"/>
            <w:vAlign w:val="center"/>
          </w:tcPr>
          <w:p w14:paraId="34B5B498"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Probability of incompetent bird feeding at an ivermectin-treated feeder per day</w:t>
            </w:r>
          </w:p>
        </w:tc>
        <w:tc>
          <w:tcPr>
            <w:tcW w:w="2937" w:type="dxa"/>
            <w:vAlign w:val="center"/>
          </w:tcPr>
          <w:p w14:paraId="39DDFBD8" w14:textId="04ACE494" w:rsidR="00E13DC2" w:rsidRDefault="00E13DC2" w:rsidP="008A0B7A">
            <w:pPr>
              <w:widowControl w:val="0"/>
              <w:autoSpaceDE w:val="0"/>
              <w:autoSpaceDN w:val="0"/>
              <w:adjustRightInd w:val="0"/>
              <w:jc w:val="center"/>
              <w:rPr>
                <w:rFonts w:ascii="Times New Roman" w:hAnsi="Times New Roman" w:cs="Times New Roman"/>
              </w:rPr>
            </w:pPr>
            <w:r w:rsidRPr="5DC23B6C">
              <w:rPr>
                <w:rFonts w:ascii="Times New Roman" w:hAnsi="Times New Roman" w:cs="Times New Roman"/>
              </w:rPr>
              <w:t>0.0</w:t>
            </w:r>
            <w:r w:rsidR="79AFE2D8" w:rsidRPr="5DC23B6C">
              <w:rPr>
                <w:rFonts w:ascii="Times New Roman" w:hAnsi="Times New Roman" w:cs="Times New Roman"/>
              </w:rPr>
              <w:t>7</w:t>
            </w:r>
            <w:r w:rsidRPr="5DC23B6C">
              <w:rPr>
                <w:rFonts w:ascii="Times New Roman" w:hAnsi="Times New Roman" w:cs="Times New Roman"/>
              </w:rPr>
              <w:t xml:space="preserve"> in treated patches</w:t>
            </w:r>
          </w:p>
          <w:p w14:paraId="14135208"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 in untreated patches</w:t>
            </w:r>
          </w:p>
        </w:tc>
        <w:tc>
          <w:tcPr>
            <w:tcW w:w="1326" w:type="dxa"/>
            <w:vAlign w:val="center"/>
          </w:tcPr>
          <w:p w14:paraId="443EB81A"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127" w:type="dxa"/>
            <w:vAlign w:val="center"/>
          </w:tcPr>
          <w:p w14:paraId="352983F4" w14:textId="00D32255" w:rsidR="00E13DC2" w:rsidRDefault="67CE87E0" w:rsidP="008A0B7A">
            <w:pPr>
              <w:widowControl w:val="0"/>
              <w:autoSpaceDE w:val="0"/>
              <w:autoSpaceDN w:val="0"/>
              <w:adjustRightInd w:val="0"/>
              <w:jc w:val="center"/>
              <w:rPr>
                <w:rFonts w:ascii="Times New Roman" w:hAnsi="Times New Roman" w:cs="Times New Roman"/>
              </w:rPr>
            </w:pPr>
            <w:r w:rsidRPr="7D3D787C">
              <w:rPr>
                <w:rFonts w:ascii="Times New Roman" w:hAnsi="Times New Roman" w:cs="Times New Roman"/>
              </w:rPr>
              <w:t xml:space="preserve">Table </w:t>
            </w:r>
            <w:r w:rsidR="6023A0F7" w:rsidRPr="7D3D787C">
              <w:rPr>
                <w:rFonts w:ascii="Times New Roman" w:hAnsi="Times New Roman" w:cs="Times New Roman"/>
              </w:rPr>
              <w:t>3</w:t>
            </w:r>
          </w:p>
        </w:tc>
      </w:tr>
      <w:tr w:rsidR="00E13DC2" w14:paraId="425B3761" w14:textId="77777777" w:rsidTr="6231485F">
        <w:tc>
          <w:tcPr>
            <w:tcW w:w="975" w:type="dxa"/>
            <w:vAlign w:val="center"/>
          </w:tcPr>
          <w:p w14:paraId="71AD8265" w14:textId="77777777" w:rsidR="00E13DC2" w:rsidRDefault="00E13DC2" w:rsidP="008A0B7A">
            <w:pPr>
              <w:widowControl w:val="0"/>
              <w:autoSpaceDE w:val="0"/>
              <w:autoSpaceDN w:val="0"/>
              <w:adjustRightInd w:val="0"/>
              <w:jc w:val="center"/>
              <w:rPr>
                <w:rFonts w:ascii="Times New Roman" w:hAnsi="Times New Roman" w:cs="Times New Roman"/>
              </w:rPr>
            </w:pPr>
            <m:oMathPara>
              <m:oMath>
                <m:r>
                  <w:rPr>
                    <w:rFonts w:ascii="Cambria Math" w:hAnsi="Cambria Math" w:cs="Times New Roman"/>
                  </w:rPr>
                  <w:lastRenderedPageBreak/>
                  <m:t>1/</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oMath>
            </m:oMathPara>
          </w:p>
        </w:tc>
        <w:tc>
          <w:tcPr>
            <w:tcW w:w="2985" w:type="dxa"/>
            <w:vAlign w:val="center"/>
          </w:tcPr>
          <w:p w14:paraId="287063B7"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Washout period of ivermectin in birds (from plasma)</w:t>
            </w:r>
          </w:p>
        </w:tc>
        <w:tc>
          <w:tcPr>
            <w:tcW w:w="2937" w:type="dxa"/>
            <w:vAlign w:val="center"/>
          </w:tcPr>
          <w:p w14:paraId="7AAE233E"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326" w:type="dxa"/>
            <w:vAlign w:val="center"/>
          </w:tcPr>
          <w:p w14:paraId="058AF178"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days</w:t>
            </w:r>
          </w:p>
        </w:tc>
        <w:tc>
          <w:tcPr>
            <w:tcW w:w="1127" w:type="dxa"/>
            <w:vAlign w:val="center"/>
          </w:tcPr>
          <w:p w14:paraId="3E5E4A75" w14:textId="7B0A6AD6"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https://doi.org/10.1371/journal.pntd.0007210","author":[{"dropping-particle":"","family":"Nguyen","given":"Chilinh","non-dropping-particle":"","parse-names":false,"suffix":""},{"dropping-particle":"","family":"Gray","given":"Meg","non-dropping-particle":"","parse-names":false,"suffix":""},{"dropping-particle":"","family":"Burton","given":"Timothy A","non-dropping-particle":"","parse-names":false,"suffix":""},{"dropping-particle":"","family":"Foy","given":"Soleil L","non-dropping-particle":"","parse-names":false,"suffix":""},{"dropping-particle":"","family":"Foster","given":"John R","non-dropping-particle":"","parse-names":false,"suffix":""},{"dropping-particle":"","family":"Gendernalik","given":"Alex Lazr","non-dropping-particle":"","parse-names":false,"suffix":""},{"dropping-particle":"","family":"Rückert","given":"Claudia","non-dropping-particle":"","parse-names":false,"suffix":""},{"dropping-particle":"","family":"Alout","given":"Haoues","non-dropping-particle":"","parse-names":false,"suffix":""},{"dropping-particle":"","family":"Young","given":"Michael C","non-dropping-particle":"","parse-names":false,"suffix":""},{"dropping-particle":"","family":"Boze","given":"Broox","non-dropping-particle":"","parse-names":false,"suffix":""},{"dropping-particle":"","family":"Ebel","given":"Gregory D","non-dropping-particle":"","parse-names":false,"suffix":""},{"dropping-particle":"","family":"Clapsaddle","given":"Brady","non-dropping-particle":"","parse-names":false,"suffix":""},{"dropping-particle":"","family":"Foy","given":"Brian D","non-dropping-particle":"","parse-names":false,"suffix":""}],"container-title":"PLoS Negl Trop Dis","id":"ITEM-1","issue":"3","issued":{"date-parts":[["2019"]]},"page":"e0007210","title":"Evaluation of a novel West Nile virus transmission control strategy that targets Culex tarsalis with endectocide-containing blood meals","type":"article-journal","volume":"13"},"uris":["http://www.mendeley.com/documents/?uuid=3a137199-8110-4253-8924-fca749c3c1e5"]},{"id":"ITEM-2","itemData":{"DOI":"10.1021/acs.jafc.5b04632","author":[{"dropping-particle":"","family":"Moreno","given":"Laura","non-dropping-particle":"","parse-names":false,"suffix":""},{"dropping-particle":"","family":"Dominguez","given":"Paula","non-dropping-particle":"","parse-names":false,"suffix":""},{"dropping-particle":"","family":"Farias","given":"Cristina","non-dropping-particle":"","parse-names":false,"suffix":""},{"dropping-particle":"","family":"Canton","given":"Lucila","non-dropping-particle":"","parse-names":false,"suffix":""},{"dropping-particle":"","family":"Virkel","given":"Guillermo","non-dropping-particle":"","parse-names":false,"suffix":""},{"dropping-particle":"","family":"Mate","given":"Laura","non-dropping-particle":"","parse-names":false,"suffix":""},{"dropping-particle":"","family":"Ceballos","given":"Laura","non-dropping-particle":"","parse-names":false,"suffix":""},{"dropping-particle":"","family":"Lanusse","given":"Carlos","non-dropping-particle":"","parse-names":false,"suffix":""},{"dropping-particle":"","family":"Alvarez","given":"Luis","non-dropping-particle":"","parse-names":false,"suffix":""}],"container-title":"Journal of Agricultural and Food Chemistry","id":"ITEM-2","issued":{"date-parts":[["2015"]]},"note":"16 days after cessation of 5 day treatment, no detectable IVM in egg yolks (none in egg whites)\n400 ug/kg/day in water for 5 days","page":"10327–10332","title":"Ivermectin pharmacokinetics, metabolism, and tissue/egg residue profiles in laying hens","type":"article-journal","volume":"63"},"uris":["http://www.mendeley.com/documents/?uuid=0ce90dc4-e2f3-44c4-91cf-bce6acbcbccb"]}],"mendeley":{"formattedCitation":"[17,22]","plainTextFormattedCitation":"[17,22]","previouslyFormattedCitation":"[16,21]"},"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[17,22]</w:t>
            </w:r>
            <w:r>
              <w:rPr>
                <w:rFonts w:ascii="Times New Roman" w:hAnsi="Times New Roman" w:cs="Times New Roman"/>
              </w:rPr>
              <w:fldChar w:fldCharType="end"/>
            </w:r>
          </w:p>
        </w:tc>
      </w:tr>
      <w:tr w:rsidR="00E13DC2" w14:paraId="44AF9645" w14:textId="77777777" w:rsidTr="6231485F">
        <w:tc>
          <w:tcPr>
            <w:tcW w:w="975" w:type="dxa"/>
            <w:vAlign w:val="center"/>
          </w:tcPr>
          <w:p w14:paraId="40686C04"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GP</w:t>
            </w:r>
          </w:p>
        </w:tc>
        <w:tc>
          <w:tcPr>
            <w:tcW w:w="2985" w:type="dxa"/>
            <w:vAlign w:val="center"/>
          </w:tcPr>
          <w:p w14:paraId="01049EE3" w14:textId="0DB5EB23"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Gonotrophic period</w:t>
            </w:r>
            <w:r w:rsidR="00C844AF">
              <w:rPr>
                <w:rFonts w:ascii="Times New Roman" w:hAnsi="Times New Roman" w:cs="Times New Roman"/>
              </w:rPr>
              <w:t xml:space="preserve"> (period between bites)</w:t>
            </w:r>
          </w:p>
        </w:tc>
        <w:tc>
          <w:tcPr>
            <w:tcW w:w="2937" w:type="dxa"/>
            <w:vAlign w:val="center"/>
          </w:tcPr>
          <w:p w14:paraId="29501E3E"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326" w:type="dxa"/>
            <w:vAlign w:val="center"/>
          </w:tcPr>
          <w:p w14:paraId="01A4F7B6"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days</w:t>
            </w:r>
          </w:p>
        </w:tc>
        <w:tc>
          <w:tcPr>
            <w:tcW w:w="1127" w:type="dxa"/>
            <w:vAlign w:val="center"/>
          </w:tcPr>
          <w:p w14:paraId="30BFAF29" w14:textId="265F9946" w:rsidR="00E13DC2" w:rsidRDefault="00853C1E"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see details</w:t>
            </w:r>
          </w:p>
        </w:tc>
      </w:tr>
    </w:tbl>
    <w:p w14:paraId="5BB06F4C" w14:textId="1AAA8EA7" w:rsidR="00B45DA5" w:rsidRDefault="31453ACA" w:rsidP="00B45DA5">
      <w:pPr>
        <w:spacing w:line="240" w:lineRule="auto"/>
        <w:rPr>
          <w:rFonts w:ascii="Times New Roman" w:hAnsi="Times New Roman" w:cs="Times New Roman"/>
        </w:rPr>
      </w:pPr>
      <w:r w:rsidRPr="360ED1C9">
        <w:rPr>
          <w:rFonts w:ascii="Times New Roman" w:hAnsi="Times New Roman" w:cs="Times New Roman"/>
        </w:rPr>
        <w:t>Symbols, parameters, and sources for parameterization of WNV transmission in spatially implicit patch model of WNV transmission with ivermectin-treated birdfeeders.</w:t>
      </w:r>
    </w:p>
    <w:p w14:paraId="5AE70804" w14:textId="6792F88C" w:rsidR="00E13DC2" w:rsidRPr="00B45DA5" w:rsidRDefault="00E13DC2" w:rsidP="00B45DA5">
      <w:pPr>
        <w:rPr>
          <w:rFonts w:ascii="Times New Roman" w:hAnsi="Times New Roman" w:cs="Times New Roman"/>
          <w:b/>
          <w:bCs/>
        </w:rPr>
      </w:pPr>
      <w:r w:rsidRPr="676DB29C">
        <w:rPr>
          <w:rFonts w:ascii="Times New Roman" w:hAnsi="Times New Roman" w:cs="Times New Roman"/>
          <w:b/>
          <w:bCs/>
        </w:rPr>
        <w:t>Table</w:t>
      </w:r>
      <w:r w:rsidR="2657FABD" w:rsidRPr="676DB29C">
        <w:rPr>
          <w:rFonts w:ascii="Times New Roman" w:hAnsi="Times New Roman" w:cs="Times New Roman"/>
          <w:b/>
          <w:bCs/>
        </w:rPr>
        <w:t xml:space="preserve"> B</w:t>
      </w:r>
      <w:r w:rsidRPr="676DB29C">
        <w:rPr>
          <w:rFonts w:ascii="Times New Roman" w:hAnsi="Times New Roman" w:cs="Times New Roman"/>
          <w:b/>
          <w:bCs/>
        </w:rPr>
        <w:t xml:space="preserve">. </w:t>
      </w:r>
      <w:r w:rsidR="69A242B4" w:rsidRPr="676DB29C">
        <w:rPr>
          <w:rFonts w:ascii="Times New Roman" w:hAnsi="Times New Roman" w:cs="Times New Roman"/>
          <w:b/>
          <w:bCs/>
        </w:rPr>
        <w:t xml:space="preserve">Parameterization of bird and mosquito movement. </w:t>
      </w:r>
    </w:p>
    <w:tbl>
      <w:tblPr>
        <w:tblStyle w:val="TableGrid"/>
        <w:tblW w:w="0" w:type="auto"/>
        <w:tblLook w:val="04A0" w:firstRow="1" w:lastRow="0" w:firstColumn="1" w:lastColumn="0" w:noHBand="0" w:noVBand="1"/>
      </w:tblPr>
      <w:tblGrid>
        <w:gridCol w:w="1230"/>
        <w:gridCol w:w="3911"/>
        <w:gridCol w:w="1701"/>
        <w:gridCol w:w="1093"/>
        <w:gridCol w:w="1415"/>
      </w:tblGrid>
      <w:tr w:rsidR="00E13DC2" w14:paraId="38EEDA54" w14:textId="77777777" w:rsidTr="5579E392">
        <w:tc>
          <w:tcPr>
            <w:tcW w:w="1230" w:type="dxa"/>
            <w:vAlign w:val="center"/>
          </w:tcPr>
          <w:p w14:paraId="6C2B66C1" w14:textId="77777777" w:rsidR="00E13DC2" w:rsidRDefault="00E13DC2" w:rsidP="008A0B7A">
            <w:pPr>
              <w:widowControl w:val="0"/>
              <w:autoSpaceDE w:val="0"/>
              <w:autoSpaceDN w:val="0"/>
              <w:adjustRightInd w:val="0"/>
              <w:jc w:val="center"/>
              <w:rPr>
                <w:rFonts w:ascii="Calibri" w:eastAsia="Calibri" w:hAnsi="Calibri" w:cs="Times New Roman"/>
              </w:rPr>
            </w:pPr>
            <w:r>
              <w:rPr>
                <w:rFonts w:ascii="Times New Roman" w:hAnsi="Times New Roman" w:cs="Times New Roman"/>
              </w:rPr>
              <w:t>Symbol</w:t>
            </w:r>
          </w:p>
        </w:tc>
        <w:tc>
          <w:tcPr>
            <w:tcW w:w="3911" w:type="dxa"/>
            <w:vAlign w:val="center"/>
          </w:tcPr>
          <w:p w14:paraId="5811EA21"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Meaning</w:t>
            </w:r>
          </w:p>
        </w:tc>
        <w:tc>
          <w:tcPr>
            <w:tcW w:w="1701" w:type="dxa"/>
            <w:vAlign w:val="center"/>
          </w:tcPr>
          <w:p w14:paraId="424FE31B"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Value</w:t>
            </w:r>
          </w:p>
        </w:tc>
        <w:tc>
          <w:tcPr>
            <w:tcW w:w="1093" w:type="dxa"/>
            <w:vAlign w:val="center"/>
          </w:tcPr>
          <w:p w14:paraId="0DC86AF6"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Units</w:t>
            </w:r>
          </w:p>
        </w:tc>
        <w:tc>
          <w:tcPr>
            <w:tcW w:w="1415" w:type="dxa"/>
            <w:vAlign w:val="center"/>
          </w:tcPr>
          <w:p w14:paraId="5CBC2546"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Reference</w:t>
            </w:r>
          </w:p>
        </w:tc>
      </w:tr>
      <w:tr w:rsidR="00E13DC2" w14:paraId="243E8C36" w14:textId="77777777" w:rsidTr="5579E392">
        <w:tc>
          <w:tcPr>
            <w:tcW w:w="1230" w:type="dxa"/>
            <w:vAlign w:val="center"/>
          </w:tcPr>
          <w:p w14:paraId="3E3A9192" w14:textId="01B6E246" w:rsidR="00E13DC2" w:rsidRDefault="00000000" w:rsidP="008A0B7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P(stay)</m:t>
                    </m:r>
                  </m:e>
                  <m:sub>
                    <m:r>
                      <w:rPr>
                        <w:rFonts w:ascii="Cambria Math" w:hAnsi="Cambria Math" w:cs="Times New Roman"/>
                      </w:rPr>
                      <m:t>M</m:t>
                    </m:r>
                  </m:sub>
                </m:sSub>
              </m:oMath>
            </m:oMathPara>
          </w:p>
        </w:tc>
        <w:tc>
          <w:tcPr>
            <w:tcW w:w="3911" w:type="dxa"/>
            <w:vAlign w:val="center"/>
          </w:tcPr>
          <w:p w14:paraId="67EF6BB3" w14:textId="32FCC9C7" w:rsidR="00E13DC2" w:rsidRDefault="00E13DC2" w:rsidP="007E1A26">
            <w:pPr>
              <w:widowControl w:val="0"/>
              <w:autoSpaceDE w:val="0"/>
              <w:autoSpaceDN w:val="0"/>
              <w:adjustRightInd w:val="0"/>
              <w:rPr>
                <w:rFonts w:ascii="Times New Roman" w:hAnsi="Times New Roman" w:cs="Times New Roman"/>
              </w:rPr>
            </w:pPr>
            <w:r>
              <w:rPr>
                <w:rFonts w:ascii="Times New Roman" w:hAnsi="Times New Roman" w:cs="Times New Roman"/>
              </w:rPr>
              <w:t xml:space="preserve">Daily probability of mosquito </w:t>
            </w:r>
            <w:r w:rsidR="007E1A26">
              <w:rPr>
                <w:rFonts w:ascii="Times New Roman" w:hAnsi="Times New Roman" w:cs="Times New Roman"/>
              </w:rPr>
              <w:t>staying in lot</w:t>
            </w:r>
          </w:p>
        </w:tc>
        <w:tc>
          <w:tcPr>
            <w:tcW w:w="1701" w:type="dxa"/>
            <w:vAlign w:val="center"/>
          </w:tcPr>
          <w:p w14:paraId="67038DD0" w14:textId="6E1FEAE2" w:rsidR="00E13DC2" w:rsidRDefault="00C70669"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 – 1/GP</w:t>
            </w:r>
          </w:p>
        </w:tc>
        <w:tc>
          <w:tcPr>
            <w:tcW w:w="1093" w:type="dxa"/>
            <w:vAlign w:val="center"/>
          </w:tcPr>
          <w:p w14:paraId="0E6451F6"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415" w:type="dxa"/>
            <w:vAlign w:val="center"/>
          </w:tcPr>
          <w:p w14:paraId="39A90556" w14:textId="77777777" w:rsidR="00E13DC2" w:rsidRDefault="00E13DC2" w:rsidP="008A0B7A">
            <w:pPr>
              <w:widowControl w:val="0"/>
              <w:autoSpaceDE w:val="0"/>
              <w:autoSpaceDN w:val="0"/>
              <w:adjustRightInd w:val="0"/>
              <w:jc w:val="center"/>
              <w:rPr>
                <w:rFonts w:ascii="Times New Roman" w:hAnsi="Times New Roman" w:cs="Times New Roman"/>
              </w:rPr>
            </w:pPr>
          </w:p>
        </w:tc>
      </w:tr>
      <w:tr w:rsidR="00E13DC2" w14:paraId="11423471" w14:textId="77777777" w:rsidTr="5579E392">
        <w:tc>
          <w:tcPr>
            <w:tcW w:w="1230" w:type="dxa"/>
            <w:vAlign w:val="center"/>
          </w:tcPr>
          <w:p w14:paraId="0E95B08A" w14:textId="6B660E94" w:rsidR="00E13DC2" w:rsidRDefault="00000000" w:rsidP="008A0B7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P(stay)</m:t>
                    </m:r>
                  </m:e>
                  <m:sub>
                    <m:r>
                      <w:rPr>
                        <w:rFonts w:ascii="Cambria Math" w:hAnsi="Cambria Math" w:cs="Times New Roman"/>
                      </w:rPr>
                      <m:t>C</m:t>
                    </m:r>
                  </m:sub>
                </m:sSub>
              </m:oMath>
            </m:oMathPara>
          </w:p>
        </w:tc>
        <w:tc>
          <w:tcPr>
            <w:tcW w:w="3911" w:type="dxa"/>
            <w:vAlign w:val="center"/>
          </w:tcPr>
          <w:p w14:paraId="1FA24519" w14:textId="7866BAD8" w:rsidR="00E13DC2" w:rsidRDefault="00E13DC2" w:rsidP="007E1A26">
            <w:pPr>
              <w:widowControl w:val="0"/>
              <w:autoSpaceDE w:val="0"/>
              <w:autoSpaceDN w:val="0"/>
              <w:adjustRightInd w:val="0"/>
              <w:rPr>
                <w:rFonts w:ascii="Times New Roman" w:hAnsi="Times New Roman" w:cs="Times New Roman"/>
              </w:rPr>
            </w:pPr>
            <w:r>
              <w:rPr>
                <w:rFonts w:ascii="Times New Roman" w:hAnsi="Times New Roman" w:cs="Times New Roman"/>
              </w:rPr>
              <w:t xml:space="preserve">Daily probability of </w:t>
            </w:r>
            <w:r w:rsidR="007E1A26">
              <w:rPr>
                <w:rFonts w:ascii="Times New Roman" w:hAnsi="Times New Roman" w:cs="Times New Roman"/>
              </w:rPr>
              <w:t>competent bird</w:t>
            </w:r>
            <w:r>
              <w:rPr>
                <w:rFonts w:ascii="Times New Roman" w:hAnsi="Times New Roman" w:cs="Times New Roman"/>
              </w:rPr>
              <w:t xml:space="preserve"> </w:t>
            </w:r>
            <w:r w:rsidR="007E1A26">
              <w:rPr>
                <w:rFonts w:ascii="Times New Roman" w:hAnsi="Times New Roman" w:cs="Times New Roman"/>
              </w:rPr>
              <w:t>remaining in same nocturnal roost</w:t>
            </w:r>
          </w:p>
        </w:tc>
        <w:tc>
          <w:tcPr>
            <w:tcW w:w="1701" w:type="dxa"/>
            <w:vAlign w:val="center"/>
          </w:tcPr>
          <w:p w14:paraId="2F4194F1" w14:textId="279C9E5D" w:rsidR="00E13DC2" w:rsidRDefault="00E13DC2" w:rsidP="007E1A26">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r w:rsidR="007E1A26">
              <w:rPr>
                <w:rFonts w:ascii="Times New Roman" w:hAnsi="Times New Roman" w:cs="Times New Roman"/>
              </w:rPr>
              <w:t>61</w:t>
            </w:r>
          </w:p>
        </w:tc>
        <w:tc>
          <w:tcPr>
            <w:tcW w:w="1093" w:type="dxa"/>
            <w:vAlign w:val="center"/>
          </w:tcPr>
          <w:p w14:paraId="01FBB89F"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415" w:type="dxa"/>
            <w:vAlign w:val="center"/>
          </w:tcPr>
          <w:p w14:paraId="30E661C9" w14:textId="21178A24" w:rsidR="00E13DC2" w:rsidRDefault="67CE87E0" w:rsidP="008A0B7A">
            <w:pPr>
              <w:widowControl w:val="0"/>
              <w:autoSpaceDE w:val="0"/>
              <w:autoSpaceDN w:val="0"/>
              <w:adjustRightInd w:val="0"/>
              <w:jc w:val="center"/>
              <w:rPr>
                <w:rFonts w:ascii="Times New Roman" w:hAnsi="Times New Roman" w:cs="Times New Roman"/>
              </w:rPr>
            </w:pPr>
            <w:r w:rsidRPr="5579E392">
              <w:rPr>
                <w:rFonts w:ascii="Times New Roman" w:hAnsi="Times New Roman" w:cs="Times New Roman"/>
              </w:rPr>
              <w:t>Table 2</w:t>
            </w:r>
          </w:p>
        </w:tc>
      </w:tr>
      <w:tr w:rsidR="00E13DC2" w14:paraId="22710413" w14:textId="77777777" w:rsidTr="5579E392">
        <w:tc>
          <w:tcPr>
            <w:tcW w:w="1230" w:type="dxa"/>
            <w:vAlign w:val="center"/>
          </w:tcPr>
          <w:p w14:paraId="33E2840E" w14:textId="66BC9C47" w:rsidR="00E13DC2" w:rsidRDefault="00000000" w:rsidP="008A0B7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P(stay)</m:t>
                    </m:r>
                  </m:e>
                  <m:sub>
                    <m:r>
                      <w:rPr>
                        <w:rFonts w:ascii="Cambria Math" w:hAnsi="Cambria Math" w:cs="Times New Roman"/>
                      </w:rPr>
                      <m:t>I</m:t>
                    </m:r>
                  </m:sub>
                </m:sSub>
              </m:oMath>
            </m:oMathPara>
          </w:p>
        </w:tc>
        <w:tc>
          <w:tcPr>
            <w:tcW w:w="3911" w:type="dxa"/>
            <w:vAlign w:val="center"/>
          </w:tcPr>
          <w:p w14:paraId="13F0DEFC" w14:textId="25D109C8" w:rsidR="00E13DC2" w:rsidRDefault="00E13DC2" w:rsidP="007E1A26">
            <w:pPr>
              <w:widowControl w:val="0"/>
              <w:autoSpaceDE w:val="0"/>
              <w:autoSpaceDN w:val="0"/>
              <w:adjustRightInd w:val="0"/>
              <w:rPr>
                <w:rFonts w:ascii="Times New Roman" w:hAnsi="Times New Roman" w:cs="Times New Roman"/>
              </w:rPr>
            </w:pPr>
            <w:r>
              <w:rPr>
                <w:rFonts w:ascii="Times New Roman" w:hAnsi="Times New Roman" w:cs="Times New Roman"/>
              </w:rPr>
              <w:t xml:space="preserve">Daily probability of </w:t>
            </w:r>
            <w:r w:rsidR="007E1A26">
              <w:rPr>
                <w:rFonts w:ascii="Times New Roman" w:hAnsi="Times New Roman" w:cs="Times New Roman"/>
              </w:rPr>
              <w:t>incompetent bird remaining in same nocturnal roost</w:t>
            </w:r>
          </w:p>
        </w:tc>
        <w:tc>
          <w:tcPr>
            <w:tcW w:w="1701" w:type="dxa"/>
            <w:vAlign w:val="center"/>
          </w:tcPr>
          <w:p w14:paraId="1AA7317B" w14:textId="06A3A0C0"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r w:rsidR="007E1A26">
              <w:rPr>
                <w:rFonts w:ascii="Times New Roman" w:hAnsi="Times New Roman" w:cs="Times New Roman"/>
              </w:rPr>
              <w:t>.2</w:t>
            </w:r>
            <w:r>
              <w:rPr>
                <w:rFonts w:ascii="Times New Roman" w:hAnsi="Times New Roman" w:cs="Times New Roman"/>
              </w:rPr>
              <w:t>0</w:t>
            </w:r>
          </w:p>
        </w:tc>
        <w:tc>
          <w:tcPr>
            <w:tcW w:w="1093" w:type="dxa"/>
            <w:vAlign w:val="center"/>
          </w:tcPr>
          <w:p w14:paraId="1B21FD8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1415" w:type="dxa"/>
            <w:vAlign w:val="center"/>
          </w:tcPr>
          <w:p w14:paraId="0208B0BD" w14:textId="5F1ED826" w:rsidR="00E13DC2" w:rsidRDefault="67CE87E0" w:rsidP="008A0B7A">
            <w:pPr>
              <w:widowControl w:val="0"/>
              <w:autoSpaceDE w:val="0"/>
              <w:autoSpaceDN w:val="0"/>
              <w:adjustRightInd w:val="0"/>
              <w:jc w:val="center"/>
              <w:rPr>
                <w:rFonts w:ascii="Times New Roman" w:hAnsi="Times New Roman" w:cs="Times New Roman"/>
              </w:rPr>
            </w:pPr>
            <w:r w:rsidRPr="5579E392">
              <w:rPr>
                <w:rFonts w:ascii="Times New Roman" w:hAnsi="Times New Roman" w:cs="Times New Roman"/>
              </w:rPr>
              <w:t>Table 2</w:t>
            </w:r>
          </w:p>
        </w:tc>
      </w:tr>
      <w:tr w:rsidR="00E13DC2" w14:paraId="74FC64AC" w14:textId="77777777" w:rsidTr="5579E392">
        <w:tc>
          <w:tcPr>
            <w:tcW w:w="1230" w:type="dxa"/>
            <w:vAlign w:val="center"/>
          </w:tcPr>
          <w:p w14:paraId="64B61655" w14:textId="77777777" w:rsidR="00E13DC2" w:rsidRPr="0073743E" w:rsidRDefault="00000000" w:rsidP="008A0B7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M</m:t>
                    </m:r>
                  </m:sub>
                </m:sSub>
              </m:oMath>
            </m:oMathPara>
          </w:p>
        </w:tc>
        <w:tc>
          <w:tcPr>
            <w:tcW w:w="3911" w:type="dxa"/>
            <w:vAlign w:val="center"/>
          </w:tcPr>
          <w:p w14:paraId="3883AC0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 daily dispersal distance of mosquitoes</w:t>
            </w:r>
          </w:p>
        </w:tc>
        <w:tc>
          <w:tcPr>
            <w:tcW w:w="1701" w:type="dxa"/>
            <w:vAlign w:val="center"/>
          </w:tcPr>
          <w:p w14:paraId="2E6B204C"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110</w:t>
            </w:r>
          </w:p>
        </w:tc>
        <w:tc>
          <w:tcPr>
            <w:tcW w:w="1093" w:type="dxa"/>
            <w:vAlign w:val="center"/>
          </w:tcPr>
          <w:p w14:paraId="5EC2CD56"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724C5240" w14:textId="0E3AC12B"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{"citationItems":[{"id":"ITEM-1","itemData":{"author":[{"dropping-particle":"","family":"Dow","given":"R P","non-dropping-particle":"","parse-names":false,"suffix":""},{"dropping-particle":"","family":"Reeves","given":"W C","non-dropping-particle":"","parse-names":false,"suffix":""},{"dropping-particle":"","family":"Bellamy","given":"R E","non-dropping-particle":"","parse-names":false,"suffix":""}],"container-title":"Am J Trop Med Hygiene","id":"ITEM-1","issue":"4","issued":{"date-parts":[["1965"]]},"page":"656-670","title":"Dispersal of female Culex tarsalis into a larvicided area","type":"article-journal","volume":"14"},"uris":["http://www.mendeley.com/documents/?uuid=86767d80-2bde-4c60-9e98-9797a0a14a24"]},{"id":"ITEM-2","itemData":{"ISBN":"0073-2230","author":[{"dropping-particle":"","family":"Bailey","given":"S F","non-dropping-particle":"","parse-names":false,"suffix":""},{"dropping-particle":"","family":"Eliason","given":"D A","non-dropping-particle":"","parse-names":false,"suffix":""},{"dropping-particle":"","family":"Hoffmann","given":"B L","non-dropping-particle":"","parse-names":false,"suffix":""}],"container-title":"Hilgardia","id":"ITEM-2","issue":"3","issued":{"date-parts":[["1965"]]},"language":"English","note":"72689\nTimes Cited:58\nCited References Count:41","page":"73-113","title":"Flight and dispersal of mosquito Culex tarsalis Coquillett in Sacramento Valley of California","type":"article-journal","volume":"37"},"uris":["http://www.mendeley.com/documents/?uuid=414a5df6-39c0-4c50-8013-fdab5b52ae1b"]},{"id":"ITEM-3","itemData":{"author":[{"dropping-particle":"","family":"Reisen","given":"W K","non-dropping-particle":"","parse-names":false,"suffix":""},{"dropping-particle":"","family":"Milby","given":"M M","non-dropping-particle":"","parse-names":false,"suffix":""},{"dropping-particle":"","family":"Meyer","given":"R P","non-dropping-particle":"","parse-names":false,"suffix":""}],"container-title":"J Med Ent","id":"ITEM-3","issue":"3","issued":{"date-parts":[["1992"]]},"page":"531-543","title":"Population dynamics of adult Culex mosquitoes (Diptera: Culicidae) along the Kern River, Kern county, California, in 1990","type":"article-journal","volume":"29"},"uris":["http://www.mendeley.com/documents/?uuid=11aa229b-9535-4ae8-b620-d87b794134f2"]},{"id":"ITEM-4","itemData":{"DOI":"10.1603/033.046.0606","ISSN":"0022-2585","abstract":"We examined the relationship between distance from major larval habitats and abundance of adult mosquitoes in the semiarid plains landscape characteristic of eastern Colorado. Mosquito collection was conducted from late June to early August 2007 and included trap locations at distances ranging from &lt;10 m up to 20-150 m and 160373 m from three major larval habitats: one area along a river corridor and two small reservoirs. The study yielded 65,140 mosquitoes of 14 species, and five species were sufficiently abundant to be included in statistical analyses: Aedes vexans (Meigen), Culex tarsalis Coquillett, Ochlerotatus dorsalis (Meigen) (=Ae. dorsalis), Ochlerotatus melanimon (Dyar) (=Ae. melanimon), and Culex pipiens L. Distance to nearest major larval habitat was not strongly related to Culex abundance within the ≈ 400-m range from larval habitats examined in this study. Abundance of Ae. vexans declined significantly with distance from the larval habitat, whereas abundance was significantly higher in the 20-150- and 160-373-m classes compared with areas within 10 m of the larval habitat for both Ochlerotatus species. Except for Ae. vexans, however, we did not find monotonic increasing or decreasing abundance trends associated with distance from larval habitats for the 400-m range examined. This, combined with a finding that fine-scale habitat heterogeneity influenced abundance for most of the mosquitoes examined, underscores the importance of considering not only distance from larval habitat but also fine-scale habitat heterogeneity to understand how important nuisance-biters and West Nile virus (family Flaviviridae, genus Flavivirus, WNV) vectors use the landscape. We also discuss how these results relate to previous studies from western North America and explore their relevance to operational implementation of adulticides to suppress mosquito vectors during WNV disease outbreaks in the Great Plains. © 2009 Entomological Society of America.","author":[{"dropping-particle":"","family":"Barker","given":"Christopher M.","non-dropping-particle":"","parse-names":false,"suffix":""},{"dropping-particle":"","family":"Bolling","given":"Bethany G.","non-dropping-particle":"","parse-names":false,"suffix":""},{"dropping-particle":"","family":"Moore","given":"Chester G.","non-dropping-particle":"","parse-names":false,"suffix":""},{"dropping-particle":"","family":"Eisen","given":"Lars","non-dropping-particle":"","parse-names":false,"suffix":""}],"container-title":"Journal of Medical Entomology","id":"ITEM-4","issue":"6","issued":{"date-parts":[["2009"]]},"page":"1290-1298","title":"Relationship between distance from major larval habitats and abundance of adult mosquitoes in semiarid plains landscapes in Colorado","type":"article-journal","volume":"46"},"uris":["http://www.mendeley.com/documents/?uuid=913e817c-f8d1-44b8-9e2d-441ce555206f"]}],"mendeley":{"formattedCitation":"[23–26]","plainTextFormattedCitation":"[23–26]","previouslyFormattedCitation":"[22–25]"},"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[23–26]</w:t>
            </w:r>
            <w:r>
              <w:rPr>
                <w:rFonts w:ascii="Times New Roman" w:hAnsi="Times New Roman" w:cs="Times New Roman"/>
              </w:rPr>
              <w:fldChar w:fldCharType="end"/>
            </w:r>
          </w:p>
        </w:tc>
      </w:tr>
      <w:tr w:rsidR="00E13DC2" w14:paraId="0046E8B3" w14:textId="77777777" w:rsidTr="5579E392">
        <w:tc>
          <w:tcPr>
            <w:tcW w:w="1230" w:type="dxa"/>
            <w:vAlign w:val="center"/>
          </w:tcPr>
          <w:p w14:paraId="11AF0B68"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C</m:t>
                    </m:r>
                  </m:sub>
                </m:sSub>
              </m:oMath>
            </m:oMathPara>
          </w:p>
        </w:tc>
        <w:tc>
          <w:tcPr>
            <w:tcW w:w="3911" w:type="dxa"/>
            <w:vAlign w:val="center"/>
          </w:tcPr>
          <w:p w14:paraId="03553E1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 daily dispersal distance (nocturnal roost locations) of competent birds</w:t>
            </w:r>
          </w:p>
        </w:tc>
        <w:tc>
          <w:tcPr>
            <w:tcW w:w="1701" w:type="dxa"/>
            <w:vAlign w:val="center"/>
          </w:tcPr>
          <w:p w14:paraId="783AEF3C" w14:textId="584C0E38" w:rsidR="00E13DC2" w:rsidRDefault="00B67F01"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219.3</w:t>
            </w:r>
          </w:p>
        </w:tc>
        <w:tc>
          <w:tcPr>
            <w:tcW w:w="1093" w:type="dxa"/>
            <w:vAlign w:val="center"/>
          </w:tcPr>
          <w:p w14:paraId="07F8C19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6D26B050" w14:textId="33E33205" w:rsidR="00E13DC2" w:rsidRDefault="67CE87E0" w:rsidP="008A0B7A">
            <w:pPr>
              <w:widowControl w:val="0"/>
              <w:autoSpaceDE w:val="0"/>
              <w:autoSpaceDN w:val="0"/>
              <w:adjustRightInd w:val="0"/>
              <w:jc w:val="center"/>
              <w:rPr>
                <w:rFonts w:ascii="Times New Roman" w:hAnsi="Times New Roman" w:cs="Times New Roman"/>
              </w:rPr>
            </w:pPr>
            <w:r w:rsidRPr="5579E392">
              <w:rPr>
                <w:rFonts w:ascii="Times New Roman" w:hAnsi="Times New Roman" w:cs="Times New Roman"/>
              </w:rPr>
              <w:t>Table 2</w:t>
            </w:r>
          </w:p>
        </w:tc>
      </w:tr>
      <w:tr w:rsidR="00E13DC2" w14:paraId="6C38C119" w14:textId="77777777" w:rsidTr="5579E392">
        <w:tc>
          <w:tcPr>
            <w:tcW w:w="1230" w:type="dxa"/>
            <w:vAlign w:val="center"/>
          </w:tcPr>
          <w:p w14:paraId="3B59C36A"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I</m:t>
                    </m:r>
                  </m:sub>
                </m:sSub>
              </m:oMath>
            </m:oMathPara>
          </w:p>
        </w:tc>
        <w:tc>
          <w:tcPr>
            <w:tcW w:w="3911" w:type="dxa"/>
            <w:vAlign w:val="center"/>
          </w:tcPr>
          <w:p w14:paraId="7DAA8FA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 daily dispersal distance (nocturnal roost locations) of incompetent birds</w:t>
            </w:r>
          </w:p>
        </w:tc>
        <w:tc>
          <w:tcPr>
            <w:tcW w:w="1701" w:type="dxa"/>
            <w:vAlign w:val="center"/>
          </w:tcPr>
          <w:p w14:paraId="1356C3BB" w14:textId="073B5440" w:rsidR="00E13DC2" w:rsidRDefault="00B67F01"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780.9</w:t>
            </w:r>
          </w:p>
        </w:tc>
        <w:tc>
          <w:tcPr>
            <w:tcW w:w="1093" w:type="dxa"/>
            <w:vAlign w:val="center"/>
          </w:tcPr>
          <w:p w14:paraId="029F955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3F319548" w14:textId="0123EDD7" w:rsidR="00E13DC2" w:rsidRDefault="67CE87E0" w:rsidP="008A0B7A">
            <w:pPr>
              <w:widowControl w:val="0"/>
              <w:autoSpaceDE w:val="0"/>
              <w:autoSpaceDN w:val="0"/>
              <w:adjustRightInd w:val="0"/>
              <w:jc w:val="center"/>
              <w:rPr>
                <w:rFonts w:ascii="Times New Roman" w:hAnsi="Times New Roman" w:cs="Times New Roman"/>
              </w:rPr>
            </w:pPr>
            <w:r w:rsidRPr="5579E392">
              <w:rPr>
                <w:rFonts w:ascii="Times New Roman" w:hAnsi="Times New Roman" w:cs="Times New Roman"/>
              </w:rPr>
              <w:t>Table 2</w:t>
            </w:r>
          </w:p>
        </w:tc>
      </w:tr>
      <w:tr w:rsidR="00E13DC2" w14:paraId="42F480C3" w14:textId="77777777" w:rsidTr="5579E392">
        <w:tc>
          <w:tcPr>
            <w:tcW w:w="1230" w:type="dxa"/>
            <w:vAlign w:val="center"/>
          </w:tcPr>
          <w:p w14:paraId="5854DA09" w14:textId="77777777" w:rsidR="00E13DC2" w:rsidRPr="0073743E" w:rsidRDefault="00000000" w:rsidP="008A0B7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e>
                  <m:sub>
                    <m:r>
                      <w:rPr>
                        <w:rFonts w:ascii="Cambria Math" w:hAnsi="Cambria Math" w:cs="Times New Roman"/>
                      </w:rPr>
                      <m:t>M</m:t>
                    </m:r>
                  </m:sub>
                </m:sSub>
              </m:oMath>
            </m:oMathPara>
          </w:p>
        </w:tc>
        <w:tc>
          <w:tcPr>
            <w:tcW w:w="3911" w:type="dxa"/>
            <w:vAlign w:val="center"/>
          </w:tcPr>
          <w:p w14:paraId="4A3D722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Variance in daily dispersal distance for mosquitoes (for normal kernel)</w:t>
            </w:r>
          </w:p>
        </w:tc>
        <w:tc>
          <w:tcPr>
            <w:tcW w:w="1701" w:type="dxa"/>
            <w:vAlign w:val="center"/>
          </w:tcPr>
          <w:p w14:paraId="3250DE58" w14:textId="77777777" w:rsidR="00E13DC2" w:rsidRPr="009640CE" w:rsidRDefault="00000000" w:rsidP="008A0B7A">
            <w:pPr>
              <w:widowControl w:val="0"/>
              <w:autoSpaceDE w:val="0"/>
              <w:autoSpaceDN w:val="0"/>
              <w:adjustRightInd w:val="0"/>
              <w:jc w:val="center"/>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 xml:space="preserve">x </m:t>
                </m:r>
                <m:sSub>
                  <m:sSubPr>
                    <m:ctrlPr>
                      <w:rPr>
                        <w:rFonts w:ascii="Cambria Math" w:hAnsi="Cambria Math" w:cs="Times New Roman"/>
                        <w:i/>
                      </w:rPr>
                    </m:ctrlPr>
                  </m:sSubPr>
                  <m:e>
                    <m:sSup>
                      <m:sSupPr>
                        <m:ctrlPr>
                          <w:rPr>
                            <w:rFonts w:ascii="Cambria Math" w:hAnsi="Cambria Math" w:cs="Times New Roman"/>
                            <w:i/>
                          </w:rPr>
                        </m:ctrlPr>
                      </m:sSupPr>
                      <m:e>
                        <m:acc>
                          <m:accPr>
                            <m:chr m:val="̅"/>
                            <m:ctrlPr>
                              <w:rPr>
                                <w:rFonts w:ascii="Cambria Math" w:hAnsi="Cambria Math" w:cs="Times New Roman"/>
                                <w:i/>
                              </w:rPr>
                            </m:ctrlPr>
                          </m:accPr>
                          <m:e>
                            <m:r>
                              <w:rPr>
                                <w:rFonts w:ascii="Cambria Math" w:hAnsi="Cambria Math" w:cs="Times New Roman"/>
                              </w:rPr>
                              <m:t>D</m:t>
                            </m:r>
                          </m:e>
                        </m:acc>
                      </m:e>
                      <m:sup>
                        <m:r>
                          <w:rPr>
                            <w:rFonts w:ascii="Cambria Math" w:hAnsi="Cambria Math" w:cs="Times New Roman"/>
                          </w:rPr>
                          <m:t>2</m:t>
                        </m:r>
                      </m:sup>
                    </m:sSup>
                  </m:e>
                  <m:sub>
                    <m:r>
                      <w:rPr>
                        <w:rFonts w:ascii="Cambria Math" w:hAnsi="Cambria Math" w:cs="Times New Roman"/>
                      </w:rPr>
                      <m:t>M</m:t>
                    </m:r>
                  </m:sub>
                </m:sSub>
              </m:oMath>
            </m:oMathPara>
          </w:p>
        </w:tc>
        <w:tc>
          <w:tcPr>
            <w:tcW w:w="1093" w:type="dxa"/>
            <w:vAlign w:val="center"/>
          </w:tcPr>
          <w:p w14:paraId="636E94D5"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2450986E" w14:textId="77F6531E"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{"citationItems":[{"id":"ITEM-1","itemData":{"DOI":"10.1006/tpbi.2002.1572","ISSN":"00405809","PMID":"12027616","abstract":"The concept of marine reserves as a method of improving management of fisheries is gaining momentum. While the list of benefits from reserves is frequently promoted, precise formulations of theory to support reserve design are not fully developed. To determine the size of reserves and the distances between reserves an understanding of the requirements for persistence of local populations is required. Unfortunately, conditions for persistence are poorly characterized, as are the larval dispersal patterns on which persistence depends. With the current paucity of information regarding meroplanktonic larval transport processes, understanding the robustness of theoretical results to larval dispersal is of key importance. From this formulation a broad range of dispersal patterns are analyzed. Larval dispersal is represented by a probability distribution that defines the fraction of successful settlers from an arbitrary location, the origin of the distribution, to any other location along the coast. While the effects of specific dispersal patterns have been investigated for invasion processes, critical habitat size and persistence issues have generally been addressed with only one or two dispersal types. To that end, we formulate models based on integrodifference equations that are spatially continuous and temporally discrete. We consider a range of dispersal distributions from leptokurtic to platykurtic. The effect of different dispersal patterns is considered for a single isolated reserve of varying size receiving no external larvae, as well as multiple reserves with varying degrees of connectivity. While different patterns result in quantitative differences in persistence, qualitatively similar effects across all patterns are seen in both single- and multiple reserve models. Persistence in an isolated reserve requires a size that is approximately twice the mean dispersal distance and regardless of the dispersal pattern the population in a patch is not persistent if the reserve size is reduced to just the mean dispersal distance. With an idealized coastline structure consisting of an infinite line of equally spaced reserves separated by regions of coastline in which reproduction is nil, the relative settlement as a function of the fraction of coastline and size of reserve is qualitatively very similar over a broad range of dispersal patterns. The upper limit for the minimum fraction of coastline held in reserve is about 40%. As the fraction of coastline is r…","author":[{"dropping-particle":"","family":"Lockwood","given":"Dale R.","non-dropping-particle":"","parse-names":false,"suffix":""},{"dropping-particle":"","family":"Hastings","given":"Alan","non-dropping-particle":"","parse-names":false,"suffix":""},{"dropping-particle":"","family":"Botsford","given":"Louis W.","non-dropping-particle":"","parse-names":false,"suffix":""}],"container-title":"Theoretical Population Biology","id":"ITEM-1","issue":"3","issued":{"date-parts":[["2002"]]},"page":"297-309","title":"The effects of dispersal patterns on marine reserves: does the tail wag the dog?","type":"article-journal","volume":"61"},"uris":["http://www.mendeley.com/documents/?uuid=8d62d1b1-ef00-411a-badd-e24fb4d6ba22"]}],"mendeley":{"formattedCitation":"[5]","plainTextFormattedCitation":"[5]","previouslyFormattedCitation":"[26]"},"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[5]</w:t>
            </w:r>
            <w:r>
              <w:rPr>
                <w:rFonts w:ascii="Times New Roman" w:hAnsi="Times New Roman" w:cs="Times New Roman"/>
              </w:rPr>
              <w:fldChar w:fldCharType="end"/>
            </w:r>
          </w:p>
        </w:tc>
      </w:tr>
      <w:tr w:rsidR="00E13DC2" w14:paraId="4854B643" w14:textId="77777777" w:rsidTr="5579E392">
        <w:tc>
          <w:tcPr>
            <w:tcW w:w="1230" w:type="dxa"/>
            <w:vAlign w:val="center"/>
          </w:tcPr>
          <w:p w14:paraId="38FC99A6"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e>
                  <m:sub>
                    <m:r>
                      <w:rPr>
                        <w:rFonts w:ascii="Cambria Math" w:hAnsi="Cambria Math" w:cs="Times New Roman"/>
                      </w:rPr>
                      <m:t>C</m:t>
                    </m:r>
                  </m:sub>
                </m:sSub>
              </m:oMath>
            </m:oMathPara>
          </w:p>
        </w:tc>
        <w:tc>
          <w:tcPr>
            <w:tcW w:w="3911" w:type="dxa"/>
            <w:vAlign w:val="center"/>
          </w:tcPr>
          <w:p w14:paraId="4D9F42DB"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Variance in daily dispersal distance for competent birds (for normal kernel)</w:t>
            </w:r>
          </w:p>
        </w:tc>
        <w:tc>
          <w:tcPr>
            <w:tcW w:w="1701" w:type="dxa"/>
            <w:vAlign w:val="center"/>
          </w:tcPr>
          <w:p w14:paraId="71D4A552"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 xml:space="preserve">x </m:t>
                </m:r>
                <m:sSub>
                  <m:sSubPr>
                    <m:ctrlPr>
                      <w:rPr>
                        <w:rFonts w:ascii="Cambria Math" w:hAnsi="Cambria Math" w:cs="Times New Roman"/>
                        <w:i/>
                      </w:rPr>
                    </m:ctrlPr>
                  </m:sSubPr>
                  <m:e>
                    <m:sSup>
                      <m:sSupPr>
                        <m:ctrlPr>
                          <w:rPr>
                            <w:rFonts w:ascii="Cambria Math" w:hAnsi="Cambria Math" w:cs="Times New Roman"/>
                            <w:i/>
                          </w:rPr>
                        </m:ctrlPr>
                      </m:sSupPr>
                      <m:e>
                        <m:acc>
                          <m:accPr>
                            <m:chr m:val="̅"/>
                            <m:ctrlPr>
                              <w:rPr>
                                <w:rFonts w:ascii="Cambria Math" w:hAnsi="Cambria Math" w:cs="Times New Roman"/>
                                <w:i/>
                              </w:rPr>
                            </m:ctrlPr>
                          </m:accPr>
                          <m:e>
                            <m:r>
                              <w:rPr>
                                <w:rFonts w:ascii="Cambria Math" w:hAnsi="Cambria Math" w:cs="Times New Roman"/>
                              </w:rPr>
                              <m:t>D</m:t>
                            </m:r>
                          </m:e>
                        </m:acc>
                      </m:e>
                      <m:sup>
                        <m:r>
                          <w:rPr>
                            <w:rFonts w:ascii="Cambria Math" w:hAnsi="Cambria Math" w:cs="Times New Roman"/>
                          </w:rPr>
                          <m:t>2</m:t>
                        </m:r>
                      </m:sup>
                    </m:sSup>
                  </m:e>
                  <m:sub>
                    <m:r>
                      <w:rPr>
                        <w:rFonts w:ascii="Cambria Math" w:hAnsi="Cambria Math" w:cs="Times New Roman"/>
                      </w:rPr>
                      <m:t>C</m:t>
                    </m:r>
                  </m:sub>
                </m:sSub>
              </m:oMath>
            </m:oMathPara>
          </w:p>
        </w:tc>
        <w:tc>
          <w:tcPr>
            <w:tcW w:w="1093" w:type="dxa"/>
            <w:vAlign w:val="center"/>
          </w:tcPr>
          <w:p w14:paraId="05D72BDC"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2ABA4E25" w14:textId="0A6EE052"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{"citationItems":[{"id":"ITEM-1","itemData":{"DOI":"10.1006/tpbi.2002.1572","ISSN":"00405809","PMID":"12027616","abstract":"The concept of marine reserves as a method of improving management of fisheries is gaining momentum. While the list of benefits from reserves is frequently promoted, precise formulations of theory to support reserve design are not fully developed. To determine the size of reserves and the distances between reserves an understanding of the requirements for persistence of local populations is required. Unfortunately, conditions for persistence are poorly characterized, as are the larval dispersal patterns on which persistence depends. With the current paucity of information regarding meroplanktonic larval transport processes, understanding the robustness of theoretical results to larval dispersal is of key importance. From this formulation a broad range of dispersal patterns are analyzed. Larval dispersal is represented by a probability distribution that defines the fraction of successful settlers from an arbitrary location, the origin of the distribution, to any other location along the coast. While the effects of specific dispersal patterns have been investigated for invasion processes, critical habitat size and persistence issues have generally been addressed with only one or two dispersal types. To that end, we formulate models based on integrodifference equations that are spatially continuous and temporally discrete. We consider a range of dispersal distributions from leptokurtic to platykurtic. The effect of different dispersal patterns is considered for a single isolated reserve of varying size receiving no external larvae, as well as multiple reserves with varying degrees of connectivity. While different patterns result in quantitative differences in persistence, qualitatively similar effects across all patterns are seen in both single- and multiple reserve models. Persistence in an isolated reserve requires a size that is approximately twice the mean dispersal distance and regardless of the dispersal pattern the population in a patch is not persistent if the reserve size is reduced to just the mean dispersal distance. With an idealized coastline structure consisting of an infinite line of equally spaced reserves separated by regions of coastline in which reproduction is nil, the relative settlement as a function of the fraction of coastline and size of reserve is qualitatively very similar over a broad range of dispersal patterns. The upper limit for the minimum fraction of coastline held in reserve is about 40%. As the fraction of coastline is r…","author":[{"dropping-particle":"","family":"Lockwood","given":"Dale R.","non-dropping-particle":"","parse-names":false,"suffix":""},{"dropping-particle":"","family":"Hastings","given":"Alan","non-dropping-particle":"","parse-names":false,"suffix":""},{"dropping-particle":"","family":"Botsford","given":"Louis W.","non-dropping-particle":"","parse-names":false,"suffix":""}],"container-title":"Theoretical Population Biology","id":"ITEM-1","issue":"3","issued":{"date-parts":[["2002"]]},"page":"297-309","title":"The effects of dispersal patterns on marine reserves: does the tail wag the dog?","type":"article-journal","volume":"61"},"uris":["http://www.mendeley.com/documents/?uuid=8d62d1b1-ef00-411a-badd-e24fb4d6ba22"]}],"mendeley":{"formattedCitation":"[5]","plainTextFormattedCitation":"[5]","previouslyFormattedCitation":"[26]"},"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[5]</w:t>
            </w:r>
            <w:r>
              <w:rPr>
                <w:rFonts w:ascii="Times New Roman" w:hAnsi="Times New Roman" w:cs="Times New Roman"/>
              </w:rPr>
              <w:fldChar w:fldCharType="end"/>
            </w:r>
          </w:p>
        </w:tc>
      </w:tr>
      <w:tr w:rsidR="00E13DC2" w14:paraId="7F1C9239" w14:textId="77777777" w:rsidTr="5579E392">
        <w:tc>
          <w:tcPr>
            <w:tcW w:w="1230" w:type="dxa"/>
            <w:vAlign w:val="center"/>
          </w:tcPr>
          <w:p w14:paraId="74E0F37D"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e>
                  <m:sub>
                    <m:r>
                      <w:rPr>
                        <w:rFonts w:ascii="Cambria Math" w:hAnsi="Cambria Math" w:cs="Times New Roman"/>
                      </w:rPr>
                      <m:t>I</m:t>
                    </m:r>
                  </m:sub>
                </m:sSub>
              </m:oMath>
            </m:oMathPara>
          </w:p>
        </w:tc>
        <w:tc>
          <w:tcPr>
            <w:tcW w:w="3911" w:type="dxa"/>
            <w:vAlign w:val="center"/>
          </w:tcPr>
          <w:p w14:paraId="74EA09BA"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Variance in daily dispersal distance for incompetent birds (for normal kernel)</w:t>
            </w:r>
          </w:p>
        </w:tc>
        <w:tc>
          <w:tcPr>
            <w:tcW w:w="1701" w:type="dxa"/>
            <w:vAlign w:val="center"/>
          </w:tcPr>
          <w:p w14:paraId="51842692" w14:textId="77777777" w:rsidR="00E13DC2" w:rsidRDefault="00000000" w:rsidP="008A0B7A">
            <w:pPr>
              <w:widowControl w:val="0"/>
              <w:autoSpaceDE w:val="0"/>
              <w:autoSpaceDN w:val="0"/>
              <w:adjustRightInd w:val="0"/>
              <w:jc w:val="cente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 xml:space="preserve">x </m:t>
                </m:r>
                <m:sSub>
                  <m:sSubPr>
                    <m:ctrlPr>
                      <w:rPr>
                        <w:rFonts w:ascii="Cambria Math" w:hAnsi="Cambria Math" w:cs="Times New Roman"/>
                        <w:i/>
                      </w:rPr>
                    </m:ctrlPr>
                  </m:sSubPr>
                  <m:e>
                    <m:sSup>
                      <m:sSupPr>
                        <m:ctrlPr>
                          <w:rPr>
                            <w:rFonts w:ascii="Cambria Math" w:hAnsi="Cambria Math" w:cs="Times New Roman"/>
                            <w:i/>
                          </w:rPr>
                        </m:ctrlPr>
                      </m:sSupPr>
                      <m:e>
                        <m:acc>
                          <m:accPr>
                            <m:chr m:val="̅"/>
                            <m:ctrlPr>
                              <w:rPr>
                                <w:rFonts w:ascii="Cambria Math" w:hAnsi="Cambria Math" w:cs="Times New Roman"/>
                                <w:i/>
                              </w:rPr>
                            </m:ctrlPr>
                          </m:accPr>
                          <m:e>
                            <m:r>
                              <w:rPr>
                                <w:rFonts w:ascii="Cambria Math" w:hAnsi="Cambria Math" w:cs="Times New Roman"/>
                              </w:rPr>
                              <m:t>D</m:t>
                            </m:r>
                          </m:e>
                        </m:acc>
                      </m:e>
                      <m:sup>
                        <m:r>
                          <w:rPr>
                            <w:rFonts w:ascii="Cambria Math" w:hAnsi="Cambria Math" w:cs="Times New Roman"/>
                          </w:rPr>
                          <m:t>2</m:t>
                        </m:r>
                      </m:sup>
                    </m:sSup>
                  </m:e>
                  <m:sub>
                    <m:r>
                      <w:rPr>
                        <w:rFonts w:ascii="Cambria Math" w:hAnsi="Cambria Math" w:cs="Times New Roman"/>
                      </w:rPr>
                      <m:t>I</m:t>
                    </m:r>
                  </m:sub>
                </m:sSub>
              </m:oMath>
            </m:oMathPara>
          </w:p>
        </w:tc>
        <w:tc>
          <w:tcPr>
            <w:tcW w:w="1093" w:type="dxa"/>
            <w:vAlign w:val="center"/>
          </w:tcPr>
          <w:p w14:paraId="55C88E92"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0A126796" w14:textId="38371430"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fldChar w:fldCharType="begin" w:fldLock="1"/>
            </w:r>
            <w:r w:rsidR="004027ED">
              <w:rPr>
                <w:rFonts w:ascii="Times New Roman" w:hAnsi="Times New Roman" w:cs="Times New Roman"/>
              </w:rPr>
              <w:instrText>ADDIN CSL_CITATION {"citationItems":[{"id":"ITEM-1","itemData":{"DOI":"10.1006/tpbi.2002.1572","ISSN":"00405809","PMID":"12027616","abstract":"The concept of marine reserves as a method of improving management of fisheries is gaining momentum. While the list of benefits from reserves is frequently promoted, precise formulations of theory to support reserve design are not fully developed. To determine the size of reserves and the distances between reserves an understanding of the requirements for persistence of local populations is required. Unfortunately, conditions for persistence are poorly characterized, as are the larval dispersal patterns on which persistence depends. With the current paucity of information regarding meroplanktonic larval transport processes, understanding the robustness of theoretical results to larval dispersal is of key importance. From this formulation a broad range of dispersal patterns are analyzed. Larval dispersal is represented by a probability distribution that defines the fraction of successful settlers from an arbitrary location, the origin of the distribution, to any other location along the coast. While the effects of specific dispersal patterns have been investigated for invasion processes, critical habitat size and persistence issues have generally been addressed with only one or two dispersal types. To that end, we formulate models based on integrodifference equations that are spatially continuous and temporally discrete. We consider a range of dispersal distributions from leptokurtic to platykurtic. The effect of different dispersal patterns is considered for a single isolated reserve of varying size receiving no external larvae, as well as multiple reserves with varying degrees of connectivity. While different patterns result in quantitative differences in persistence, qualitatively similar effects across all patterns are seen in both single- and multiple reserve models. Persistence in an isolated reserve requires a size that is approximately twice the mean dispersal distance and regardless of the dispersal pattern the population in a patch is not persistent if the reserve size is reduced to just the mean dispersal distance. With an idealized coastline structure consisting of an infinite line of equally spaced reserves separated by regions of coastline in which reproduction is nil, the relative settlement as a function of the fraction of coastline and size of reserve is qualitatively very similar over a broad range of dispersal patterns. The upper limit for the minimum fraction of coastline held in reserve is about 40%. As the fraction of coastline is r…","author":[{"dropping-particle":"","family":"Lockwood","given":"Dale R.","non-dropping-particle":"","parse-names":false,"suffix":""},{"dropping-particle":"","family":"Hastings","given":"Alan","non-dropping-particle":"","parse-names":false,"suffix":""},{"dropping-particle":"","family":"Botsford","given":"Louis W.","non-dropping-particle":"","parse-names":false,"suffix":""}],"container-title":"Theoretical Population Biology","id":"ITEM-1","issue":"3","issued":{"date-parts":[["2002"]]},"page":"297-309","title":"The effects of dispersal patterns on marine reserves: does the tail wag the dog?","type":"article-journal","volume":"61"},"uris":["http://www.mendeley.com/documents/?uuid=8d62d1b1-ef00-411a-badd-e24fb4d6ba22"]}],"mendeley":{"formattedCitation":"[5]","plainTextFormattedCitation":"[5]","previouslyFormattedCitation":"[26]"},"properties":{"noteIndex":0},"schema":"https://github.com/citation-style-language/schema/raw/master/csl-citation.json"}</w:instrText>
            </w:r>
            <w:r>
              <w:rPr>
                <w:rFonts w:ascii="Times New Roman" w:hAnsi="Times New Roman" w:cs="Times New Roman"/>
              </w:rPr>
              <w:fldChar w:fldCharType="separate"/>
            </w:r>
            <w:r w:rsidR="004027ED" w:rsidRPr="004027ED">
              <w:rPr>
                <w:rFonts w:ascii="Times New Roman" w:hAnsi="Times New Roman" w:cs="Times New Roman"/>
                <w:noProof/>
              </w:rPr>
              <w:t>[5]</w:t>
            </w:r>
            <w:r>
              <w:rPr>
                <w:rFonts w:ascii="Times New Roman" w:hAnsi="Times New Roman" w:cs="Times New Roman"/>
              </w:rPr>
              <w:fldChar w:fldCharType="end"/>
            </w:r>
          </w:p>
        </w:tc>
      </w:tr>
      <w:tr w:rsidR="00E13DC2" w14:paraId="0200BE80" w14:textId="77777777" w:rsidTr="5579E392">
        <w:tc>
          <w:tcPr>
            <w:tcW w:w="1230" w:type="dxa"/>
            <w:vAlign w:val="center"/>
          </w:tcPr>
          <w:p w14:paraId="06227F69"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C</m:t>
                    </m:r>
                  </m:sub>
                </m:sSub>
              </m:oMath>
            </m:oMathPara>
          </w:p>
        </w:tc>
        <w:tc>
          <w:tcPr>
            <w:tcW w:w="3911" w:type="dxa"/>
            <w:vAlign w:val="center"/>
          </w:tcPr>
          <w:p w14:paraId="747E856E"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 max distance between nocturnal roost locations of competent birds</w:t>
            </w:r>
          </w:p>
        </w:tc>
        <w:tc>
          <w:tcPr>
            <w:tcW w:w="1701" w:type="dxa"/>
            <w:vAlign w:val="center"/>
          </w:tcPr>
          <w:p w14:paraId="34D1C632"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779</w:t>
            </w:r>
          </w:p>
        </w:tc>
        <w:tc>
          <w:tcPr>
            <w:tcW w:w="1093" w:type="dxa"/>
            <w:vAlign w:val="center"/>
          </w:tcPr>
          <w:p w14:paraId="6EAD421B"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07CDECC4"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fieldwork</w:t>
            </w:r>
          </w:p>
        </w:tc>
      </w:tr>
      <w:tr w:rsidR="00E13DC2" w14:paraId="293CA433" w14:textId="77777777" w:rsidTr="5579E392">
        <w:tc>
          <w:tcPr>
            <w:tcW w:w="1230" w:type="dxa"/>
            <w:vAlign w:val="center"/>
          </w:tcPr>
          <w:p w14:paraId="7198D6D1" w14:textId="77777777" w:rsidR="00E13DC2" w:rsidRDefault="00000000" w:rsidP="008A0B7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oMath>
            </m:oMathPara>
          </w:p>
        </w:tc>
        <w:tc>
          <w:tcPr>
            <w:tcW w:w="3911" w:type="dxa"/>
            <w:vAlign w:val="center"/>
          </w:tcPr>
          <w:p w14:paraId="0F75F11D"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Mean max distance between nocturnal roost locations of incompetent birds</w:t>
            </w:r>
          </w:p>
        </w:tc>
        <w:tc>
          <w:tcPr>
            <w:tcW w:w="1701" w:type="dxa"/>
            <w:vAlign w:val="center"/>
          </w:tcPr>
          <w:p w14:paraId="3AAFA034"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3,132</w:t>
            </w:r>
          </w:p>
        </w:tc>
        <w:tc>
          <w:tcPr>
            <w:tcW w:w="1093" w:type="dxa"/>
            <w:vAlign w:val="center"/>
          </w:tcPr>
          <w:p w14:paraId="7EA1CD58" w14:textId="77777777" w:rsidR="00E13DC2" w:rsidRDefault="00E13DC2" w:rsidP="008A0B7A">
            <w:pPr>
              <w:widowControl w:val="0"/>
              <w:autoSpaceDE w:val="0"/>
              <w:autoSpaceDN w:val="0"/>
              <w:adjustRightInd w:val="0"/>
              <w:rPr>
                <w:rFonts w:ascii="Times New Roman" w:hAnsi="Times New Roman" w:cs="Times New Roman"/>
              </w:rPr>
            </w:pPr>
            <w:r>
              <w:rPr>
                <w:rFonts w:ascii="Times New Roman" w:hAnsi="Times New Roman" w:cs="Times New Roman"/>
              </w:rPr>
              <w:t>m</w:t>
            </w:r>
          </w:p>
        </w:tc>
        <w:tc>
          <w:tcPr>
            <w:tcW w:w="1415" w:type="dxa"/>
            <w:vAlign w:val="center"/>
          </w:tcPr>
          <w:p w14:paraId="204F9CBC" w14:textId="77777777" w:rsidR="00E13DC2" w:rsidRDefault="00E13DC2"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fieldwork</w:t>
            </w:r>
          </w:p>
        </w:tc>
      </w:tr>
    </w:tbl>
    <w:p w14:paraId="5E498043" w14:textId="3F4FA5B7" w:rsidR="00D54656" w:rsidRPr="00AB4DA3" w:rsidRDefault="67BA611D" w:rsidP="5579E392">
      <w:pPr>
        <w:widowControl w:val="0"/>
        <w:autoSpaceDE w:val="0"/>
        <w:autoSpaceDN w:val="0"/>
        <w:adjustRightInd w:val="0"/>
        <w:spacing w:line="240" w:lineRule="auto"/>
        <w:rPr>
          <w:rFonts w:ascii="Times New Roman" w:hAnsi="Times New Roman" w:cs="Times New Roman"/>
        </w:rPr>
      </w:pPr>
      <w:r w:rsidRPr="5579E392">
        <w:rPr>
          <w:rFonts w:ascii="Times New Roman" w:hAnsi="Times New Roman" w:cs="Times New Roman"/>
        </w:rPr>
        <w:t>Symbols, parameters, and sources for parameterization of movement of birds and mosquitoes between ivermectin-treated and untreated patches in spatially implicit patch model of West Nile virus (WNV) transmission with ivermectin-treated birdfeeders.</w:t>
      </w:r>
    </w:p>
    <w:p w14:paraId="2A362642" w14:textId="51218B7B" w:rsidR="004F4225" w:rsidRDefault="00777F73" w:rsidP="5579E392">
      <w:pPr>
        <w:widowControl w:val="0"/>
        <w:autoSpaceDE w:val="0"/>
        <w:autoSpaceDN w:val="0"/>
        <w:adjustRightInd w:val="0"/>
        <w:spacing w:after="0" w:line="240" w:lineRule="auto"/>
        <w:rPr>
          <w:rFonts w:ascii="Times New Roman" w:hAnsi="Times New Roman" w:cs="Times New Roman"/>
        </w:rPr>
      </w:pPr>
      <w:r w:rsidRPr="676DB29C">
        <w:rPr>
          <w:rFonts w:ascii="Times New Roman" w:hAnsi="Times New Roman" w:cs="Times New Roman"/>
          <w:b/>
          <w:bCs/>
        </w:rPr>
        <w:t>Table</w:t>
      </w:r>
      <w:r w:rsidR="377FDD75" w:rsidRPr="676DB29C">
        <w:rPr>
          <w:rFonts w:ascii="Times New Roman" w:hAnsi="Times New Roman" w:cs="Times New Roman"/>
          <w:b/>
          <w:bCs/>
        </w:rPr>
        <w:t xml:space="preserve"> C</w:t>
      </w:r>
      <w:r w:rsidRPr="676DB29C">
        <w:rPr>
          <w:rFonts w:ascii="Times New Roman" w:hAnsi="Times New Roman" w:cs="Times New Roman"/>
          <w:b/>
          <w:bCs/>
        </w:rPr>
        <w:t>.</w:t>
      </w:r>
      <w:r w:rsidRPr="676DB29C">
        <w:rPr>
          <w:rFonts w:ascii="Times New Roman" w:hAnsi="Times New Roman" w:cs="Times New Roman"/>
        </w:rPr>
        <w:t xml:space="preserve"> </w:t>
      </w:r>
      <w:r w:rsidR="00EA1883" w:rsidRPr="676DB29C">
        <w:rPr>
          <w:rFonts w:ascii="Times New Roman" w:hAnsi="Times New Roman" w:cs="Times New Roman"/>
          <w:b/>
          <w:bCs/>
        </w:rPr>
        <w:t>Sensitivity analysis.</w:t>
      </w:r>
      <w:r w:rsidR="00EA1883" w:rsidRPr="676DB29C">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475"/>
        <w:gridCol w:w="2512"/>
        <w:gridCol w:w="1287"/>
        <w:gridCol w:w="1503"/>
        <w:gridCol w:w="1530"/>
      </w:tblGrid>
      <w:tr w:rsidR="00E2401C" w14:paraId="11538C93" w14:textId="5AFA7302" w:rsidTr="06C66258">
        <w:trPr>
          <w:trHeight w:val="255"/>
        </w:trPr>
        <w:tc>
          <w:tcPr>
            <w:tcW w:w="1353" w:type="dxa"/>
            <w:vMerge w:val="restart"/>
            <w:vAlign w:val="center"/>
          </w:tcPr>
          <w:p w14:paraId="0EAF2379" w14:textId="6731E487" w:rsidR="00E2401C" w:rsidRDefault="00E2401C"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Symbol*</w:t>
            </w:r>
          </w:p>
        </w:tc>
        <w:tc>
          <w:tcPr>
            <w:tcW w:w="2512" w:type="dxa"/>
            <w:vMerge w:val="restart"/>
            <w:vAlign w:val="center"/>
          </w:tcPr>
          <w:p w14:paraId="6FF08A7B" w14:textId="77777777" w:rsidR="00E2401C" w:rsidRDefault="00E2401C" w:rsidP="008A0B7A">
            <w:pPr>
              <w:widowControl w:val="0"/>
              <w:autoSpaceDE w:val="0"/>
              <w:autoSpaceDN w:val="0"/>
              <w:adjustRightInd w:val="0"/>
              <w:rPr>
                <w:rFonts w:ascii="Times New Roman" w:hAnsi="Times New Roman" w:cs="Times New Roman"/>
              </w:rPr>
            </w:pPr>
            <w:r>
              <w:rPr>
                <w:rFonts w:ascii="Times New Roman" w:hAnsi="Times New Roman" w:cs="Times New Roman"/>
              </w:rPr>
              <w:t>Range</w:t>
            </w:r>
          </w:p>
        </w:tc>
        <w:tc>
          <w:tcPr>
            <w:tcW w:w="4320" w:type="dxa"/>
            <w:gridSpan w:val="3"/>
            <w:vAlign w:val="center"/>
          </w:tcPr>
          <w:p w14:paraId="551AF429" w14:textId="59569DFC" w:rsidR="00E2401C" w:rsidRDefault="00E2401C"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total infectious mosquito-days</w:t>
            </w:r>
          </w:p>
        </w:tc>
      </w:tr>
      <w:tr w:rsidR="00E2401C" w14:paraId="14A14E05" w14:textId="460BB947" w:rsidTr="06C66258">
        <w:trPr>
          <w:trHeight w:val="255"/>
        </w:trPr>
        <w:tc>
          <w:tcPr>
            <w:tcW w:w="1353" w:type="dxa"/>
            <w:vMerge/>
            <w:vAlign w:val="center"/>
          </w:tcPr>
          <w:p w14:paraId="4D449E98" w14:textId="77777777" w:rsidR="00E2401C" w:rsidRDefault="00E2401C" w:rsidP="008A0B7A">
            <w:pPr>
              <w:widowControl w:val="0"/>
              <w:autoSpaceDE w:val="0"/>
              <w:autoSpaceDN w:val="0"/>
              <w:adjustRightInd w:val="0"/>
              <w:jc w:val="center"/>
              <w:rPr>
                <w:rFonts w:ascii="Times New Roman" w:hAnsi="Times New Roman" w:cs="Times New Roman"/>
              </w:rPr>
            </w:pPr>
          </w:p>
        </w:tc>
        <w:tc>
          <w:tcPr>
            <w:tcW w:w="2512" w:type="dxa"/>
            <w:vMerge/>
            <w:vAlign w:val="center"/>
          </w:tcPr>
          <w:p w14:paraId="5C851A17" w14:textId="77777777" w:rsidR="00E2401C" w:rsidRDefault="00E2401C" w:rsidP="008A0B7A">
            <w:pPr>
              <w:widowControl w:val="0"/>
              <w:autoSpaceDE w:val="0"/>
              <w:autoSpaceDN w:val="0"/>
              <w:adjustRightInd w:val="0"/>
              <w:rPr>
                <w:rFonts w:ascii="Times New Roman" w:hAnsi="Times New Roman" w:cs="Times New Roman"/>
              </w:rPr>
            </w:pPr>
          </w:p>
        </w:tc>
        <w:tc>
          <w:tcPr>
            <w:tcW w:w="1287" w:type="dxa"/>
            <w:vAlign w:val="center"/>
          </w:tcPr>
          <w:p w14:paraId="5D5EAA78" w14:textId="77777777" w:rsidR="00E2401C" w:rsidRDefault="00E2401C"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IncMSE</w:t>
            </w:r>
            <w:proofErr w:type="spellEnd"/>
            <w:r>
              <w:rPr>
                <w:rFonts w:ascii="Times New Roman" w:hAnsi="Times New Roman" w:cs="Times New Roman"/>
                <w:vertAlign w:val="superscript"/>
              </w:rPr>
              <w:t>†</w:t>
            </w:r>
          </w:p>
        </w:tc>
        <w:tc>
          <w:tcPr>
            <w:tcW w:w="1503" w:type="dxa"/>
            <w:vAlign w:val="center"/>
          </w:tcPr>
          <w:p w14:paraId="13BEAA8B" w14:textId="30C04377" w:rsidR="00E2401C" w:rsidRDefault="00E2401C" w:rsidP="008A0B7A">
            <w:pPr>
              <w:widowControl w:val="0"/>
              <w:autoSpaceDE w:val="0"/>
              <w:autoSpaceDN w:val="0"/>
              <w:adjustRightInd w:val="0"/>
              <w:jc w:val="center"/>
              <w:rPr>
                <w:rFonts w:ascii="Times New Roman" w:hAnsi="Times New Roman" w:cs="Times New Roman"/>
              </w:rPr>
            </w:pPr>
            <w:r>
              <w:rPr>
                <w:rFonts w:ascii="Times New Roman" w:hAnsi="Times New Roman" w:cs="Times New Roman"/>
              </w:rPr>
              <w:t>Contribution^</w:t>
            </w:r>
          </w:p>
        </w:tc>
        <w:tc>
          <w:tcPr>
            <w:tcW w:w="1530" w:type="dxa"/>
          </w:tcPr>
          <w:p w14:paraId="4ACFA18C" w14:textId="0ADEBA11" w:rsidR="00E2401C" w:rsidRPr="00BA2D14" w:rsidRDefault="00E2401C" w:rsidP="008A0B7A">
            <w:pPr>
              <w:widowControl w:val="0"/>
              <w:autoSpaceDE w:val="0"/>
              <w:autoSpaceDN w:val="0"/>
              <w:adjustRightInd w:val="0"/>
              <w:jc w:val="center"/>
              <w:rPr>
                <w:rFonts w:ascii="Times New Roman" w:hAnsi="Times New Roman" w:cs="Times New Roman"/>
                <w:vertAlign w:val="superscript"/>
              </w:rPr>
            </w:pPr>
            <w:r>
              <w:rPr>
                <w:rFonts w:ascii="Times New Roman" w:hAnsi="Times New Roman" w:cs="Times New Roman"/>
              </w:rPr>
              <w:t>Relative Importance</w:t>
            </w:r>
            <w:r w:rsidR="00BA2D14">
              <w:rPr>
                <w:rFonts w:ascii="Times New Roman" w:hAnsi="Times New Roman" w:cs="Times New Roman"/>
                <w:vertAlign w:val="superscript"/>
              </w:rPr>
              <w:t>=</w:t>
            </w:r>
          </w:p>
        </w:tc>
      </w:tr>
      <w:tr w:rsidR="001D48BA" w14:paraId="0A663017" w14:textId="7358DA88" w:rsidTr="06C66258">
        <w:tc>
          <w:tcPr>
            <w:tcW w:w="1353" w:type="dxa"/>
            <w:vAlign w:val="center"/>
          </w:tcPr>
          <w:p w14:paraId="0B3AE026" w14:textId="3961D0BF" w:rsidR="001D48BA" w:rsidRDefault="00000000" w:rsidP="001D48B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CM</m:t>
                    </m:r>
                  </m:sub>
                </m:sSub>
              </m:oMath>
            </m:oMathPara>
          </w:p>
        </w:tc>
        <w:tc>
          <w:tcPr>
            <w:tcW w:w="2512" w:type="dxa"/>
          </w:tcPr>
          <w:p w14:paraId="6CB5CC79" w14:textId="789213F0" w:rsidR="001D48BA"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[0.05, 1]</w:t>
            </w:r>
          </w:p>
        </w:tc>
        <w:tc>
          <w:tcPr>
            <w:tcW w:w="1287" w:type="dxa"/>
            <w:vAlign w:val="center"/>
          </w:tcPr>
          <w:p w14:paraId="2ED62937" w14:textId="2D442966" w:rsidR="001D48BA" w:rsidRDefault="001D48BA" w:rsidP="06C66258">
            <w:pPr>
              <w:widowControl w:val="0"/>
              <w:autoSpaceDE w:val="0"/>
              <w:autoSpaceDN w:val="0"/>
              <w:adjustRightInd w:val="0"/>
              <w:jc w:val="center"/>
              <w:rPr>
                <w:color w:val="000000" w:themeColor="text1"/>
              </w:rPr>
            </w:pPr>
            <w:r w:rsidRPr="06C66258">
              <w:rPr>
                <w:color w:val="000000" w:themeColor="text1"/>
              </w:rPr>
              <w:t>18,0</w:t>
            </w:r>
            <w:r w:rsidR="210A5077" w:rsidRPr="06C66258">
              <w:rPr>
                <w:color w:val="000000" w:themeColor="text1"/>
              </w:rPr>
              <w:t>55.22</w:t>
            </w:r>
          </w:p>
        </w:tc>
        <w:tc>
          <w:tcPr>
            <w:tcW w:w="1503" w:type="dxa"/>
            <w:vAlign w:val="center"/>
          </w:tcPr>
          <w:p w14:paraId="68F7EDAF" w14:textId="33F15218" w:rsidR="001D48BA"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2</w:t>
            </w:r>
            <w:r w:rsidR="22AC6ACF" w:rsidRPr="06C66258">
              <w:rPr>
                <w:color w:val="000000" w:themeColor="text1"/>
              </w:rPr>
              <w:t>7.61</w:t>
            </w:r>
          </w:p>
        </w:tc>
        <w:tc>
          <w:tcPr>
            <w:tcW w:w="1530" w:type="dxa"/>
          </w:tcPr>
          <w:p w14:paraId="32C482D3" w14:textId="2A2636A2" w:rsidR="001D48BA"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r>
      <w:tr w:rsidR="001D48BA" w14:paraId="4906A17C" w14:textId="6C6A3A1E" w:rsidTr="06C66258">
        <w:tc>
          <w:tcPr>
            <w:tcW w:w="1353" w:type="dxa"/>
            <w:vAlign w:val="center"/>
          </w:tcPr>
          <w:p w14:paraId="0D4F89D9" w14:textId="699B4B88" w:rsidR="001D48BA" w:rsidRDefault="00000000" w:rsidP="001D48BA">
            <w:pPr>
              <w:widowControl w:val="0"/>
              <w:autoSpaceDE w:val="0"/>
              <w:autoSpaceDN w:val="0"/>
              <w:adjustRightInd w:val="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oMath>
            <w:r w:rsidR="001D48B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oMath>
          </w:p>
        </w:tc>
        <w:tc>
          <w:tcPr>
            <w:tcW w:w="2512" w:type="dxa"/>
          </w:tcPr>
          <w:p w14:paraId="3F67F2BE" w14:textId="05AD92E7" w:rsidR="001D48BA" w:rsidRDefault="001D48BA" w:rsidP="001D48BA">
            <w:pPr>
              <w:widowControl w:val="0"/>
              <w:autoSpaceDE w:val="0"/>
              <w:autoSpaceDN w:val="0"/>
              <w:adjustRightInd w:val="0"/>
              <w:rPr>
                <w:rFonts w:ascii="Times New Roman" w:hAnsi="Times New Roman" w:cs="Times New Roman"/>
              </w:rPr>
            </w:pPr>
            <w:r>
              <w:rPr>
                <w:rFonts w:ascii="Times New Roman" w:hAnsi="Times New Roman" w:cs="Times New Roman"/>
              </w:rPr>
              <w:t>[1/21, 1/7]</w:t>
            </w:r>
          </w:p>
        </w:tc>
        <w:tc>
          <w:tcPr>
            <w:tcW w:w="1287" w:type="dxa"/>
            <w:vAlign w:val="center"/>
          </w:tcPr>
          <w:p w14:paraId="7C2FB98D" w14:textId="0F1A7028" w:rsidR="001D48BA"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11,</w:t>
            </w:r>
            <w:r w:rsidR="51DFB828" w:rsidRPr="06C66258">
              <w:rPr>
                <w:color w:val="000000" w:themeColor="text1"/>
              </w:rPr>
              <w:t>113.01</w:t>
            </w:r>
          </w:p>
        </w:tc>
        <w:tc>
          <w:tcPr>
            <w:tcW w:w="1503" w:type="dxa"/>
            <w:vAlign w:val="center"/>
          </w:tcPr>
          <w:p w14:paraId="4DEE462A" w14:textId="1B6E98C3" w:rsidR="001D48BA"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w:t>
            </w:r>
            <w:r w:rsidR="17A5D944" w:rsidRPr="06C66258">
              <w:rPr>
                <w:color w:val="000000" w:themeColor="text1"/>
              </w:rPr>
              <w:t>7.00</w:t>
            </w:r>
          </w:p>
        </w:tc>
        <w:tc>
          <w:tcPr>
            <w:tcW w:w="1530" w:type="dxa"/>
          </w:tcPr>
          <w:p w14:paraId="4244729C" w14:textId="170AAAFD" w:rsidR="001D48BA"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r>
      <w:tr w:rsidR="001D48BA" w14:paraId="3820A6C5" w14:textId="71B244E7" w:rsidTr="06C66258">
        <w:tc>
          <w:tcPr>
            <w:tcW w:w="1353" w:type="dxa"/>
            <w:vAlign w:val="center"/>
          </w:tcPr>
          <w:p w14:paraId="1E6DDEED" w14:textId="670094F7" w:rsidR="001D48BA" w:rsidRDefault="00000000" w:rsidP="001D48B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m:oMathPara>
          </w:p>
        </w:tc>
        <w:tc>
          <w:tcPr>
            <w:tcW w:w="2512" w:type="dxa"/>
          </w:tcPr>
          <w:p w14:paraId="780DEB82" w14:textId="1C5FB0A2" w:rsidR="001D48BA"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[0.01, 1]</w:t>
            </w:r>
          </w:p>
        </w:tc>
        <w:tc>
          <w:tcPr>
            <w:tcW w:w="1287" w:type="dxa"/>
            <w:vAlign w:val="center"/>
          </w:tcPr>
          <w:p w14:paraId="6D28AD2F" w14:textId="604698EF" w:rsidR="001D48BA"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6,</w:t>
            </w:r>
            <w:r w:rsidR="641DBCAD" w:rsidRPr="06C66258">
              <w:rPr>
                <w:color w:val="000000" w:themeColor="text1"/>
              </w:rPr>
              <w:t>585.41</w:t>
            </w:r>
          </w:p>
        </w:tc>
        <w:tc>
          <w:tcPr>
            <w:tcW w:w="1503" w:type="dxa"/>
            <w:vAlign w:val="center"/>
          </w:tcPr>
          <w:p w14:paraId="4C88D358" w14:textId="72722AA9" w:rsidR="001D48BA" w:rsidRDefault="0CCA2F93" w:rsidP="06C66258">
            <w:pPr>
              <w:widowControl w:val="0"/>
              <w:autoSpaceDE w:val="0"/>
              <w:autoSpaceDN w:val="0"/>
              <w:adjustRightInd w:val="0"/>
              <w:jc w:val="center"/>
              <w:rPr>
                <w:color w:val="000000" w:themeColor="text1"/>
              </w:rPr>
            </w:pPr>
            <w:r w:rsidRPr="06C66258">
              <w:rPr>
                <w:color w:val="000000" w:themeColor="text1"/>
              </w:rPr>
              <w:t>10.07</w:t>
            </w:r>
          </w:p>
        </w:tc>
        <w:tc>
          <w:tcPr>
            <w:tcW w:w="1530" w:type="dxa"/>
          </w:tcPr>
          <w:p w14:paraId="5F0A5245" w14:textId="0F4E5FFD" w:rsidR="001D48BA"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r w:rsidR="001D48BA" w14:paraId="4F7A0BB1" w14:textId="59F51880" w:rsidTr="06C66258">
        <w:tc>
          <w:tcPr>
            <w:tcW w:w="1353" w:type="dxa"/>
            <w:vAlign w:val="center"/>
          </w:tcPr>
          <w:p w14:paraId="57AA9833" w14:textId="66B947D6" w:rsidR="001D48BA" w:rsidRPr="00AB30B8" w:rsidRDefault="001D48BA" w:rsidP="001D48BA">
            <w:pPr>
              <w:widowControl w:val="0"/>
              <w:autoSpaceDE w:val="0"/>
              <w:autoSpaceDN w:val="0"/>
              <w:adjustRightInd w:val="0"/>
              <w:jc w:val="center"/>
              <w:rPr>
                <w:rFonts w:ascii="Times New Roman" w:hAnsi="Times New Roman" w:cs="Times New Roman"/>
              </w:rPr>
            </w:pPr>
            <w:proofErr w:type="spellStart"/>
            <w:r w:rsidRPr="06C66258">
              <w:rPr>
                <w:rFonts w:ascii="Calibri" w:eastAsia="Calibri" w:hAnsi="Calibri" w:cs="Times New Roman"/>
                <w:i/>
                <w:iCs/>
              </w:rPr>
              <w:t>n</w:t>
            </w:r>
            <w:r w:rsidR="4B98798D" w:rsidRPr="06C66258">
              <w:rPr>
                <w:rFonts w:ascii="Calibri" w:eastAsia="Calibri" w:hAnsi="Calibri" w:cs="Times New Roman"/>
                <w:i/>
                <w:iCs/>
                <w:vertAlign w:val="subscript"/>
              </w:rPr>
              <w:t>treated</w:t>
            </w:r>
            <w:proofErr w:type="spellEnd"/>
            <w:r w:rsidRPr="06C66258">
              <w:rPr>
                <w:rFonts w:ascii="Calibri" w:eastAsia="Calibri" w:hAnsi="Calibri" w:cs="Calibri"/>
                <w:vertAlign w:val="superscript"/>
              </w:rPr>
              <w:t>#</w:t>
            </w:r>
          </w:p>
        </w:tc>
        <w:tc>
          <w:tcPr>
            <w:tcW w:w="2512" w:type="dxa"/>
          </w:tcPr>
          <w:p w14:paraId="469DC50D" w14:textId="4FBC8C33"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 75]</w:t>
            </w:r>
          </w:p>
        </w:tc>
        <w:tc>
          <w:tcPr>
            <w:tcW w:w="1287" w:type="dxa"/>
            <w:vAlign w:val="center"/>
          </w:tcPr>
          <w:p w14:paraId="2BA2A32E" w14:textId="3E0C1E3D" w:rsidR="001D48BA" w:rsidRPr="00AB30B8" w:rsidRDefault="434B9FF4" w:rsidP="06C66258">
            <w:pPr>
              <w:spacing w:line="259" w:lineRule="auto"/>
              <w:jc w:val="center"/>
              <w:rPr>
                <w:color w:val="000000" w:themeColor="text1"/>
              </w:rPr>
            </w:pPr>
            <w:r w:rsidRPr="06C66258">
              <w:rPr>
                <w:color w:val="000000" w:themeColor="text1"/>
              </w:rPr>
              <w:t>6,113.65</w:t>
            </w:r>
          </w:p>
        </w:tc>
        <w:tc>
          <w:tcPr>
            <w:tcW w:w="1503" w:type="dxa"/>
            <w:vAlign w:val="center"/>
          </w:tcPr>
          <w:p w14:paraId="195AE7C4" w14:textId="67E0D418" w:rsidR="001D48BA" w:rsidRPr="00AB30B8" w:rsidRDefault="18A068E9" w:rsidP="06C66258">
            <w:pPr>
              <w:widowControl w:val="0"/>
              <w:autoSpaceDE w:val="0"/>
              <w:autoSpaceDN w:val="0"/>
              <w:adjustRightInd w:val="0"/>
              <w:jc w:val="center"/>
              <w:rPr>
                <w:color w:val="000000" w:themeColor="text1"/>
              </w:rPr>
            </w:pPr>
            <w:r w:rsidRPr="06C66258">
              <w:rPr>
                <w:color w:val="000000" w:themeColor="text1"/>
              </w:rPr>
              <w:t>9.35</w:t>
            </w:r>
          </w:p>
        </w:tc>
        <w:tc>
          <w:tcPr>
            <w:tcW w:w="1530" w:type="dxa"/>
          </w:tcPr>
          <w:p w14:paraId="2AB9D1F3" w14:textId="4CC5299A"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4</w:t>
            </w:r>
          </w:p>
        </w:tc>
      </w:tr>
      <w:tr w:rsidR="001D48BA" w14:paraId="0DADFF4E" w14:textId="6CD494F2" w:rsidTr="06C66258">
        <w:tc>
          <w:tcPr>
            <w:tcW w:w="1353" w:type="dxa"/>
            <w:vAlign w:val="center"/>
          </w:tcPr>
          <w:p w14:paraId="181F55B4" w14:textId="7EAD39A0" w:rsidR="001D48BA" w:rsidRPr="00AB30B8" w:rsidRDefault="00000000" w:rsidP="001D48BA">
            <w:pPr>
              <w:widowControl w:val="0"/>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C</m:t>
                    </m:r>
                  </m:sub>
                </m:sSub>
              </m:oMath>
            </m:oMathPara>
          </w:p>
        </w:tc>
        <w:tc>
          <w:tcPr>
            <w:tcW w:w="2512" w:type="dxa"/>
          </w:tcPr>
          <w:p w14:paraId="05278A0D" w14:textId="5688A74F"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[1/7, 1/2]</w:t>
            </w:r>
          </w:p>
        </w:tc>
        <w:tc>
          <w:tcPr>
            <w:tcW w:w="1287" w:type="dxa"/>
            <w:vAlign w:val="center"/>
          </w:tcPr>
          <w:p w14:paraId="048E7699" w14:textId="6ACFB9BA"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4,</w:t>
            </w:r>
            <w:r w:rsidR="005CC310" w:rsidRPr="06C66258">
              <w:rPr>
                <w:color w:val="000000" w:themeColor="text1"/>
              </w:rPr>
              <w:t>680.25</w:t>
            </w:r>
          </w:p>
        </w:tc>
        <w:tc>
          <w:tcPr>
            <w:tcW w:w="1503" w:type="dxa"/>
            <w:vAlign w:val="center"/>
          </w:tcPr>
          <w:p w14:paraId="68688B1E" w14:textId="599EC747" w:rsidR="001D48BA" w:rsidRPr="00AB30B8" w:rsidRDefault="5F468DEF" w:rsidP="06C66258">
            <w:pPr>
              <w:widowControl w:val="0"/>
              <w:autoSpaceDE w:val="0"/>
              <w:autoSpaceDN w:val="0"/>
              <w:adjustRightInd w:val="0"/>
              <w:jc w:val="center"/>
              <w:rPr>
                <w:color w:val="000000" w:themeColor="text1"/>
              </w:rPr>
            </w:pPr>
            <w:r w:rsidRPr="06C66258">
              <w:rPr>
                <w:color w:val="000000" w:themeColor="text1"/>
              </w:rPr>
              <w:t>7.16</w:t>
            </w:r>
          </w:p>
        </w:tc>
        <w:tc>
          <w:tcPr>
            <w:tcW w:w="1530" w:type="dxa"/>
          </w:tcPr>
          <w:p w14:paraId="32630A84" w14:textId="42D9D7BB"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5</w:t>
            </w:r>
          </w:p>
        </w:tc>
      </w:tr>
      <w:tr w:rsidR="001D48BA" w14:paraId="12A09A0E" w14:textId="20FE4491" w:rsidTr="06C66258">
        <w:tc>
          <w:tcPr>
            <w:tcW w:w="1353" w:type="dxa"/>
            <w:vAlign w:val="center"/>
          </w:tcPr>
          <w:p w14:paraId="6727FB0C" w14:textId="387790A8" w:rsidR="001D48BA" w:rsidRPr="00AB30B8" w:rsidRDefault="001D48BA" w:rsidP="001D48BA">
            <w:pPr>
              <w:widowControl w:val="0"/>
              <w:autoSpaceDE w:val="0"/>
              <w:autoSpaceDN w:val="0"/>
              <w:adjustRightInd w:val="0"/>
              <w:jc w:val="center"/>
              <w:rPr>
                <w:rFonts w:ascii="Times New Roman" w:eastAsia="Calibri" w:hAnsi="Times New Roman" w:cs="Times New Roman"/>
              </w:rPr>
            </w:pPr>
            <w:r w:rsidRPr="00AB30B8">
              <w:rPr>
                <w:rFonts w:ascii="Times New Roman" w:eastAsia="Calibri" w:hAnsi="Times New Roman" w:cs="Times New Roman"/>
              </w:rPr>
              <w:t>GP</w:t>
            </w:r>
          </w:p>
        </w:tc>
        <w:tc>
          <w:tcPr>
            <w:tcW w:w="2512" w:type="dxa"/>
          </w:tcPr>
          <w:p w14:paraId="03D6DF8B" w14:textId="5DF55BD0"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[3, 7]</w:t>
            </w:r>
          </w:p>
        </w:tc>
        <w:tc>
          <w:tcPr>
            <w:tcW w:w="1287" w:type="dxa"/>
            <w:vAlign w:val="center"/>
          </w:tcPr>
          <w:p w14:paraId="241B7994" w14:textId="59D0CB6A"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2,</w:t>
            </w:r>
            <w:r w:rsidR="14629920" w:rsidRPr="06C66258">
              <w:rPr>
                <w:color w:val="000000" w:themeColor="text1"/>
              </w:rPr>
              <w:t>413.26</w:t>
            </w:r>
          </w:p>
        </w:tc>
        <w:tc>
          <w:tcPr>
            <w:tcW w:w="1503" w:type="dxa"/>
            <w:vAlign w:val="center"/>
          </w:tcPr>
          <w:p w14:paraId="4D13FB68" w14:textId="3C9C0957"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3.</w:t>
            </w:r>
            <w:r w:rsidR="55301DD9" w:rsidRPr="06C66258">
              <w:rPr>
                <w:color w:val="000000" w:themeColor="text1"/>
              </w:rPr>
              <w:t>69</w:t>
            </w:r>
          </w:p>
        </w:tc>
        <w:tc>
          <w:tcPr>
            <w:tcW w:w="1530" w:type="dxa"/>
          </w:tcPr>
          <w:p w14:paraId="55993D46" w14:textId="3A35F228"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6</w:t>
            </w:r>
          </w:p>
        </w:tc>
      </w:tr>
      <w:tr w:rsidR="001D48BA" w14:paraId="55D6ED16" w14:textId="48E7C7D7" w:rsidTr="06C66258">
        <w:tc>
          <w:tcPr>
            <w:tcW w:w="1353" w:type="dxa"/>
            <w:vAlign w:val="center"/>
          </w:tcPr>
          <w:p w14:paraId="3642B353" w14:textId="1786E901"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MC</m:t>
                    </m:r>
                  </m:sub>
                </m:sSub>
              </m:oMath>
            </m:oMathPara>
          </w:p>
        </w:tc>
        <w:tc>
          <w:tcPr>
            <w:tcW w:w="2512" w:type="dxa"/>
          </w:tcPr>
          <w:p w14:paraId="37E63F62" w14:textId="2DA57F24"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[0.8, 1]</w:t>
            </w:r>
          </w:p>
        </w:tc>
        <w:tc>
          <w:tcPr>
            <w:tcW w:w="1287" w:type="dxa"/>
            <w:vAlign w:val="center"/>
          </w:tcPr>
          <w:p w14:paraId="7F3FA0E8" w14:textId="2E00A0D2"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2,</w:t>
            </w:r>
            <w:r w:rsidR="3FEBB6C7" w:rsidRPr="06C66258">
              <w:rPr>
                <w:color w:val="000000" w:themeColor="text1"/>
              </w:rPr>
              <w:t>198.91</w:t>
            </w:r>
          </w:p>
        </w:tc>
        <w:tc>
          <w:tcPr>
            <w:tcW w:w="1503" w:type="dxa"/>
            <w:vAlign w:val="center"/>
          </w:tcPr>
          <w:p w14:paraId="470CEC6D" w14:textId="16D5F0E4"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3.</w:t>
            </w:r>
            <w:r w:rsidR="6D326F24" w:rsidRPr="06C66258">
              <w:rPr>
                <w:color w:val="000000" w:themeColor="text1"/>
              </w:rPr>
              <w:t>36</w:t>
            </w:r>
          </w:p>
        </w:tc>
        <w:tc>
          <w:tcPr>
            <w:tcW w:w="1530" w:type="dxa"/>
          </w:tcPr>
          <w:p w14:paraId="7EEA4CFB" w14:textId="4297BE79"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7</w:t>
            </w:r>
          </w:p>
        </w:tc>
      </w:tr>
      <w:tr w:rsidR="001D48BA" w14:paraId="5449B61D" w14:textId="1E584116" w:rsidTr="06C66258">
        <w:tc>
          <w:tcPr>
            <w:tcW w:w="1353" w:type="dxa"/>
            <w:vAlign w:val="center"/>
          </w:tcPr>
          <w:p w14:paraId="31523684" w14:textId="1116956A"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C</m:t>
                    </m:r>
                  </m:sub>
                </m:sSub>
              </m:oMath>
            </m:oMathPara>
          </w:p>
        </w:tc>
        <w:tc>
          <w:tcPr>
            <w:tcW w:w="2512" w:type="dxa"/>
          </w:tcPr>
          <w:p w14:paraId="3A023168" w14:textId="2A6EB4AA"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[1/8, 1/3]</w:t>
            </w:r>
          </w:p>
        </w:tc>
        <w:tc>
          <w:tcPr>
            <w:tcW w:w="1287" w:type="dxa"/>
            <w:vAlign w:val="center"/>
          </w:tcPr>
          <w:p w14:paraId="5923EBA2" w14:textId="3096A151"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w:t>
            </w:r>
            <w:r w:rsidR="7A48733F" w:rsidRPr="06C66258">
              <w:rPr>
                <w:color w:val="000000" w:themeColor="text1"/>
              </w:rPr>
              <w:t>739.13</w:t>
            </w:r>
          </w:p>
        </w:tc>
        <w:tc>
          <w:tcPr>
            <w:tcW w:w="1503" w:type="dxa"/>
            <w:vAlign w:val="center"/>
          </w:tcPr>
          <w:p w14:paraId="5213950B" w14:textId="0AB3AF27"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2.</w:t>
            </w:r>
            <w:r w:rsidR="76B38F9E" w:rsidRPr="06C66258">
              <w:rPr>
                <w:color w:val="000000" w:themeColor="text1"/>
              </w:rPr>
              <w:t>66</w:t>
            </w:r>
          </w:p>
        </w:tc>
        <w:tc>
          <w:tcPr>
            <w:tcW w:w="1530" w:type="dxa"/>
          </w:tcPr>
          <w:p w14:paraId="3AC5A66F" w14:textId="52730EE8"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8</w:t>
            </w:r>
          </w:p>
        </w:tc>
      </w:tr>
      <w:tr w:rsidR="001D48BA" w14:paraId="73004D95" w14:textId="2BD4B4EA" w:rsidTr="06C66258">
        <w:tc>
          <w:tcPr>
            <w:tcW w:w="1353" w:type="dxa"/>
            <w:vAlign w:val="center"/>
          </w:tcPr>
          <w:p w14:paraId="2ADC5EB0" w14:textId="1537032B"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C</m:t>
                    </m:r>
                  </m:sub>
                </m:sSub>
              </m:oMath>
            </m:oMathPara>
          </w:p>
        </w:tc>
        <w:tc>
          <w:tcPr>
            <w:tcW w:w="2512" w:type="dxa"/>
          </w:tcPr>
          <w:p w14:paraId="63294BD8" w14:textId="7A81356D"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[0.1, 1]</w:t>
            </w:r>
          </w:p>
        </w:tc>
        <w:tc>
          <w:tcPr>
            <w:tcW w:w="1287" w:type="dxa"/>
            <w:vAlign w:val="center"/>
          </w:tcPr>
          <w:p w14:paraId="70893C8C" w14:textId="53048A51"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w:t>
            </w:r>
            <w:r w:rsidR="05A3B408" w:rsidRPr="06C66258">
              <w:rPr>
                <w:color w:val="000000" w:themeColor="text1"/>
              </w:rPr>
              <w:t>347.92</w:t>
            </w:r>
          </w:p>
        </w:tc>
        <w:tc>
          <w:tcPr>
            <w:tcW w:w="1503" w:type="dxa"/>
            <w:vAlign w:val="center"/>
          </w:tcPr>
          <w:p w14:paraId="5BE4C903" w14:textId="05991EF6" w:rsidR="001D48BA" w:rsidRPr="00AB30B8" w:rsidRDefault="6F14BBD4" w:rsidP="06C66258">
            <w:pPr>
              <w:widowControl w:val="0"/>
              <w:autoSpaceDE w:val="0"/>
              <w:autoSpaceDN w:val="0"/>
              <w:adjustRightInd w:val="0"/>
              <w:jc w:val="center"/>
              <w:rPr>
                <w:color w:val="000000" w:themeColor="text1"/>
              </w:rPr>
            </w:pPr>
            <w:r w:rsidRPr="06C66258">
              <w:rPr>
                <w:color w:val="000000" w:themeColor="text1"/>
              </w:rPr>
              <w:t>2.06</w:t>
            </w:r>
          </w:p>
        </w:tc>
        <w:tc>
          <w:tcPr>
            <w:tcW w:w="1530" w:type="dxa"/>
          </w:tcPr>
          <w:p w14:paraId="1A2D38BF" w14:textId="230FCA27"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9</w:t>
            </w:r>
          </w:p>
        </w:tc>
      </w:tr>
      <w:tr w:rsidR="001D48BA" w14:paraId="7C5301C1" w14:textId="1A93E206" w:rsidTr="06C66258">
        <w:tc>
          <w:tcPr>
            <w:tcW w:w="1353" w:type="dxa"/>
            <w:vAlign w:val="center"/>
          </w:tcPr>
          <w:p w14:paraId="6DAD30A2" w14:textId="104278F8"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C</m:t>
                    </m:r>
                  </m:sub>
                </m:sSub>
              </m:oMath>
            </m:oMathPara>
          </w:p>
        </w:tc>
        <w:tc>
          <w:tcPr>
            <w:tcW w:w="2512" w:type="dxa"/>
          </w:tcPr>
          <w:p w14:paraId="282F9916" w14:textId="61278BBF"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[0.5, 1]</w:t>
            </w:r>
          </w:p>
        </w:tc>
        <w:tc>
          <w:tcPr>
            <w:tcW w:w="1287" w:type="dxa"/>
            <w:vAlign w:val="center"/>
          </w:tcPr>
          <w:p w14:paraId="35B1D7A9" w14:textId="55953026"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1,0</w:t>
            </w:r>
            <w:r w:rsidR="218E8299" w:rsidRPr="06C66258">
              <w:rPr>
                <w:color w:val="000000" w:themeColor="text1"/>
              </w:rPr>
              <w:t>33.47</w:t>
            </w:r>
          </w:p>
        </w:tc>
        <w:tc>
          <w:tcPr>
            <w:tcW w:w="1503" w:type="dxa"/>
            <w:vAlign w:val="center"/>
          </w:tcPr>
          <w:p w14:paraId="02AB2FBC" w14:textId="5BF0B54A"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1.5</w:t>
            </w:r>
            <w:r w:rsidR="5E60AD67" w:rsidRPr="06C66258">
              <w:rPr>
                <w:color w:val="000000" w:themeColor="text1"/>
              </w:rPr>
              <w:t>8</w:t>
            </w:r>
          </w:p>
        </w:tc>
        <w:tc>
          <w:tcPr>
            <w:tcW w:w="1530" w:type="dxa"/>
          </w:tcPr>
          <w:p w14:paraId="3652CF01" w14:textId="18227812"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10</w:t>
            </w:r>
          </w:p>
        </w:tc>
      </w:tr>
      <w:tr w:rsidR="001D48BA" w14:paraId="7DF0C973" w14:textId="296C57E5" w:rsidTr="06C66258">
        <w:tc>
          <w:tcPr>
            <w:tcW w:w="1353" w:type="dxa"/>
            <w:vAlign w:val="center"/>
          </w:tcPr>
          <w:p w14:paraId="17774DBE" w14:textId="483249E8"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oMath>
            </m:oMathPara>
          </w:p>
        </w:tc>
        <w:tc>
          <w:tcPr>
            <w:tcW w:w="2512" w:type="dxa"/>
          </w:tcPr>
          <w:p w14:paraId="56EE298B" w14:textId="4C4A3208"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[100, 500]</w:t>
            </w:r>
          </w:p>
        </w:tc>
        <w:tc>
          <w:tcPr>
            <w:tcW w:w="1287" w:type="dxa"/>
            <w:vAlign w:val="center"/>
          </w:tcPr>
          <w:p w14:paraId="30B8E20D" w14:textId="053E3671"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9</w:t>
            </w:r>
            <w:r w:rsidR="5241DA6A" w:rsidRPr="06C66258">
              <w:rPr>
                <w:color w:val="000000" w:themeColor="text1"/>
              </w:rPr>
              <w:t>68.46</w:t>
            </w:r>
          </w:p>
        </w:tc>
        <w:tc>
          <w:tcPr>
            <w:tcW w:w="1503" w:type="dxa"/>
            <w:vAlign w:val="center"/>
          </w:tcPr>
          <w:p w14:paraId="3FC4DA20" w14:textId="2DC59892"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1.4</w:t>
            </w:r>
            <w:r w:rsidR="64BD7C7B" w:rsidRPr="06C66258">
              <w:rPr>
                <w:color w:val="000000" w:themeColor="text1"/>
              </w:rPr>
              <w:t>8</w:t>
            </w:r>
          </w:p>
        </w:tc>
        <w:tc>
          <w:tcPr>
            <w:tcW w:w="1530" w:type="dxa"/>
          </w:tcPr>
          <w:p w14:paraId="3C74A48A" w14:textId="29B62B7E"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11</w:t>
            </w:r>
          </w:p>
        </w:tc>
      </w:tr>
      <w:tr w:rsidR="001D48BA" w14:paraId="3FA28574" w14:textId="15834F1F" w:rsidTr="06C66258">
        <w:tc>
          <w:tcPr>
            <w:tcW w:w="1353" w:type="dxa"/>
            <w:vAlign w:val="center"/>
          </w:tcPr>
          <w:p w14:paraId="196D3A17" w14:textId="2EFAB6FF"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D</m:t>
                    </m:r>
                  </m:sub>
                </m:sSub>
              </m:oMath>
            </m:oMathPara>
          </w:p>
        </w:tc>
        <w:tc>
          <w:tcPr>
            <w:tcW w:w="2512" w:type="dxa"/>
          </w:tcPr>
          <w:p w14:paraId="0E5A3AD5" w14:textId="634B118D"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[1/5, 1/1]</w:t>
            </w:r>
          </w:p>
        </w:tc>
        <w:tc>
          <w:tcPr>
            <w:tcW w:w="1287" w:type="dxa"/>
            <w:vAlign w:val="center"/>
          </w:tcPr>
          <w:p w14:paraId="1E0A42E0" w14:textId="6FB7E68B" w:rsidR="001D48BA" w:rsidRPr="00AB30B8" w:rsidRDefault="62858526" w:rsidP="06C66258">
            <w:pPr>
              <w:spacing w:line="259" w:lineRule="auto"/>
              <w:jc w:val="center"/>
              <w:rPr>
                <w:color w:val="000000" w:themeColor="text1"/>
              </w:rPr>
            </w:pPr>
            <w:r w:rsidRPr="06C66258">
              <w:rPr>
                <w:color w:val="000000" w:themeColor="text1"/>
              </w:rPr>
              <w:t>959.13</w:t>
            </w:r>
          </w:p>
        </w:tc>
        <w:tc>
          <w:tcPr>
            <w:tcW w:w="1503" w:type="dxa"/>
            <w:vAlign w:val="center"/>
          </w:tcPr>
          <w:p w14:paraId="0AB43D5B" w14:textId="0C93619C"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1.</w:t>
            </w:r>
            <w:r w:rsidR="35BB4DBA" w:rsidRPr="06C66258">
              <w:rPr>
                <w:color w:val="000000" w:themeColor="text1"/>
              </w:rPr>
              <w:t>47</w:t>
            </w:r>
          </w:p>
        </w:tc>
        <w:tc>
          <w:tcPr>
            <w:tcW w:w="1530" w:type="dxa"/>
          </w:tcPr>
          <w:p w14:paraId="697F2549" w14:textId="7CA75C8D"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12</w:t>
            </w:r>
          </w:p>
        </w:tc>
      </w:tr>
      <w:tr w:rsidR="001D48BA" w14:paraId="16F64792" w14:textId="1441F370" w:rsidTr="06C66258">
        <w:tc>
          <w:tcPr>
            <w:tcW w:w="1353" w:type="dxa"/>
            <w:vAlign w:val="center"/>
          </w:tcPr>
          <w:p w14:paraId="58E69239" w14:textId="37D43A54"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C</m:t>
                    </m:r>
                  </m:sub>
                </m:sSub>
              </m:oMath>
            </m:oMathPara>
          </w:p>
        </w:tc>
        <w:tc>
          <w:tcPr>
            <w:tcW w:w="2512" w:type="dxa"/>
          </w:tcPr>
          <w:p w14:paraId="208481CE" w14:textId="63CE7A43"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[100, 500]</w:t>
            </w:r>
          </w:p>
        </w:tc>
        <w:tc>
          <w:tcPr>
            <w:tcW w:w="1287" w:type="dxa"/>
            <w:vAlign w:val="center"/>
          </w:tcPr>
          <w:p w14:paraId="6C214871" w14:textId="46CC6D2A" w:rsidR="001D48BA" w:rsidRPr="00AB30B8" w:rsidRDefault="787D5691" w:rsidP="06C66258">
            <w:pPr>
              <w:spacing w:line="259" w:lineRule="auto"/>
              <w:jc w:val="center"/>
              <w:rPr>
                <w:color w:val="000000" w:themeColor="text1"/>
              </w:rPr>
            </w:pPr>
            <w:r w:rsidRPr="06C66258">
              <w:rPr>
                <w:color w:val="000000" w:themeColor="text1"/>
              </w:rPr>
              <w:t>928.15</w:t>
            </w:r>
          </w:p>
        </w:tc>
        <w:tc>
          <w:tcPr>
            <w:tcW w:w="1503" w:type="dxa"/>
            <w:vAlign w:val="center"/>
          </w:tcPr>
          <w:p w14:paraId="53E518D3" w14:textId="1C3251E3"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1.</w:t>
            </w:r>
            <w:r w:rsidR="1BD7900B" w:rsidRPr="06C66258">
              <w:rPr>
                <w:color w:val="000000" w:themeColor="text1"/>
              </w:rPr>
              <w:t>42</w:t>
            </w:r>
          </w:p>
        </w:tc>
        <w:tc>
          <w:tcPr>
            <w:tcW w:w="1530" w:type="dxa"/>
          </w:tcPr>
          <w:p w14:paraId="4124CFD4" w14:textId="18A86CC3"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13</w:t>
            </w:r>
          </w:p>
        </w:tc>
      </w:tr>
      <w:tr w:rsidR="001D48BA" w14:paraId="5B23BF2C" w14:textId="555CCDB0" w:rsidTr="06C66258">
        <w:tc>
          <w:tcPr>
            <w:tcW w:w="1353" w:type="dxa"/>
            <w:vAlign w:val="center"/>
          </w:tcPr>
          <w:p w14:paraId="01247B9E" w14:textId="1E4D3A73" w:rsidR="001D48BA" w:rsidRPr="00AB30B8" w:rsidRDefault="00000000" w:rsidP="001D48BA">
            <w:pPr>
              <w:widowControl w:val="0"/>
              <w:autoSpaceDE w:val="0"/>
              <w:autoSpaceDN w:val="0"/>
              <w:adjustRightInd w:val="0"/>
              <w:jc w:val="center"/>
              <w:rPr>
                <w:rFonts w:ascii="Times New Roman" w:eastAsia="Calibri" w:hAnsi="Times New Roman"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C</m:t>
                  </m:r>
                </m:sub>
              </m:sSub>
            </m:oMath>
            <w:r w:rsidR="001D48B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oMath>
          </w:p>
        </w:tc>
        <w:tc>
          <w:tcPr>
            <w:tcW w:w="2512" w:type="dxa"/>
          </w:tcPr>
          <w:p w14:paraId="6FA70C20" w14:textId="13C8054D" w:rsidR="001D48BA" w:rsidRPr="00AB30B8" w:rsidRDefault="001D48BA" w:rsidP="001D48BA">
            <w:pPr>
              <w:widowControl w:val="0"/>
              <w:autoSpaceDE w:val="0"/>
              <w:autoSpaceDN w:val="0"/>
              <w:adjustRightInd w:val="0"/>
              <w:rPr>
                <w:rFonts w:ascii="Times New Roman" w:hAnsi="Times New Roman" w:cs="Times New Roman"/>
              </w:rPr>
            </w:pPr>
            <w:r>
              <w:rPr>
                <w:rFonts w:ascii="Times New Roman" w:hAnsi="Times New Roman" w:cs="Times New Roman"/>
              </w:rPr>
              <w:t>[(1/6)/365, (1/0.75)/365]</w:t>
            </w:r>
          </w:p>
        </w:tc>
        <w:tc>
          <w:tcPr>
            <w:tcW w:w="1287" w:type="dxa"/>
            <w:vAlign w:val="center"/>
          </w:tcPr>
          <w:p w14:paraId="7B4A8CFE" w14:textId="3D8F2FC3" w:rsidR="001D48BA" w:rsidRPr="00AB30B8" w:rsidRDefault="734C3A7D" w:rsidP="06C66258">
            <w:pPr>
              <w:spacing w:line="259" w:lineRule="auto"/>
              <w:jc w:val="center"/>
              <w:rPr>
                <w:color w:val="000000" w:themeColor="text1"/>
              </w:rPr>
            </w:pPr>
            <w:r w:rsidRPr="06C66258">
              <w:rPr>
                <w:color w:val="000000" w:themeColor="text1"/>
              </w:rPr>
              <w:t>811.32</w:t>
            </w:r>
          </w:p>
        </w:tc>
        <w:tc>
          <w:tcPr>
            <w:tcW w:w="1503" w:type="dxa"/>
            <w:vAlign w:val="center"/>
          </w:tcPr>
          <w:p w14:paraId="760FE727" w14:textId="4CBEC7D4"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1.2</w:t>
            </w:r>
            <w:r w:rsidR="79075C94" w:rsidRPr="06C66258">
              <w:rPr>
                <w:color w:val="000000" w:themeColor="text1"/>
              </w:rPr>
              <w:t>4</w:t>
            </w:r>
          </w:p>
        </w:tc>
        <w:tc>
          <w:tcPr>
            <w:tcW w:w="1530" w:type="dxa"/>
          </w:tcPr>
          <w:p w14:paraId="644BB758" w14:textId="7D1A7D27"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14</w:t>
            </w:r>
          </w:p>
        </w:tc>
      </w:tr>
      <w:tr w:rsidR="001D48BA" w14:paraId="53535187" w14:textId="66874DDB" w:rsidTr="06C66258">
        <w:tc>
          <w:tcPr>
            <w:tcW w:w="1353" w:type="dxa"/>
            <w:vAlign w:val="center"/>
          </w:tcPr>
          <w:p w14:paraId="0569EC81" w14:textId="018A5303"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I</m:t>
                    </m:r>
                  </m:sub>
                </m:sSub>
              </m:oMath>
            </m:oMathPara>
          </w:p>
        </w:tc>
        <w:tc>
          <w:tcPr>
            <w:tcW w:w="2512" w:type="dxa"/>
          </w:tcPr>
          <w:p w14:paraId="4BA2CB75" w14:textId="329F42A1"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 0.8]</w:t>
            </w:r>
          </w:p>
        </w:tc>
        <w:tc>
          <w:tcPr>
            <w:tcW w:w="1287" w:type="dxa"/>
            <w:vAlign w:val="center"/>
          </w:tcPr>
          <w:p w14:paraId="1AC5CC91" w14:textId="01DD8D23"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7</w:t>
            </w:r>
            <w:r w:rsidR="17DB3643" w:rsidRPr="06C66258">
              <w:rPr>
                <w:color w:val="000000" w:themeColor="text1"/>
              </w:rPr>
              <w:t>65.82</w:t>
            </w:r>
          </w:p>
        </w:tc>
        <w:tc>
          <w:tcPr>
            <w:tcW w:w="1503" w:type="dxa"/>
            <w:vAlign w:val="center"/>
          </w:tcPr>
          <w:p w14:paraId="314586DB" w14:textId="341AFF66"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1.1</w:t>
            </w:r>
            <w:r w:rsidR="50B00565" w:rsidRPr="06C66258">
              <w:rPr>
                <w:color w:val="000000" w:themeColor="text1"/>
              </w:rPr>
              <w:t>7</w:t>
            </w:r>
          </w:p>
        </w:tc>
        <w:tc>
          <w:tcPr>
            <w:tcW w:w="1530" w:type="dxa"/>
          </w:tcPr>
          <w:p w14:paraId="6FC2A5AB" w14:textId="44F6AF44"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15</w:t>
            </w:r>
          </w:p>
        </w:tc>
      </w:tr>
      <w:tr w:rsidR="001D48BA" w14:paraId="27EF0FD9" w14:textId="159054EA" w:rsidTr="06C66258">
        <w:tc>
          <w:tcPr>
            <w:tcW w:w="1353" w:type="dxa"/>
            <w:vAlign w:val="center"/>
          </w:tcPr>
          <w:p w14:paraId="3E6B9D4E" w14:textId="26503657" w:rsidR="001D48BA" w:rsidRPr="00AB30B8" w:rsidRDefault="00000000" w:rsidP="001D48BA">
            <w:pPr>
              <w:widowControl w:val="0"/>
              <w:autoSpaceDE w:val="0"/>
              <w:autoSpaceDN w:val="0"/>
              <w:adjustRightInd w:val="0"/>
              <w:jc w:val="center"/>
              <w:rPr>
                <w:rFonts w:ascii="Times New Roman" w:eastAsia="Calibri" w:hAnsi="Times New Roman"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001D48B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oMath>
          </w:p>
        </w:tc>
        <w:tc>
          <w:tcPr>
            <w:tcW w:w="2512" w:type="dxa"/>
          </w:tcPr>
          <w:p w14:paraId="417E9D71" w14:textId="6E4168F1" w:rsidR="001D48BA" w:rsidRPr="00AB30B8" w:rsidRDefault="001D48BA" w:rsidP="001D48BA">
            <w:pPr>
              <w:widowControl w:val="0"/>
              <w:autoSpaceDE w:val="0"/>
              <w:autoSpaceDN w:val="0"/>
              <w:adjustRightInd w:val="0"/>
              <w:rPr>
                <w:rFonts w:ascii="Times New Roman" w:hAnsi="Times New Roman" w:cs="Times New Roman"/>
              </w:rPr>
            </w:pPr>
            <w:r>
              <w:rPr>
                <w:rFonts w:ascii="Times New Roman" w:hAnsi="Times New Roman" w:cs="Times New Roman"/>
              </w:rPr>
              <w:t>[(1/3)/365, (1/0.75)/365]</w:t>
            </w:r>
          </w:p>
        </w:tc>
        <w:tc>
          <w:tcPr>
            <w:tcW w:w="1287" w:type="dxa"/>
            <w:vAlign w:val="center"/>
          </w:tcPr>
          <w:p w14:paraId="2E8F2F42" w14:textId="05FCE24C"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7</w:t>
            </w:r>
            <w:r w:rsidR="00E0F532" w:rsidRPr="06C66258">
              <w:rPr>
                <w:color w:val="000000" w:themeColor="text1"/>
              </w:rPr>
              <w:t>42.97</w:t>
            </w:r>
          </w:p>
        </w:tc>
        <w:tc>
          <w:tcPr>
            <w:tcW w:w="1503" w:type="dxa"/>
            <w:vAlign w:val="center"/>
          </w:tcPr>
          <w:p w14:paraId="4614D2FD" w14:textId="19D8A6FB"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1.1</w:t>
            </w:r>
            <w:r w:rsidR="0B5B663F" w:rsidRPr="06C66258">
              <w:rPr>
                <w:color w:val="000000" w:themeColor="text1"/>
              </w:rPr>
              <w:t>4</w:t>
            </w:r>
          </w:p>
        </w:tc>
        <w:tc>
          <w:tcPr>
            <w:tcW w:w="1530" w:type="dxa"/>
          </w:tcPr>
          <w:p w14:paraId="5D164722" w14:textId="33A531C1"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16</w:t>
            </w:r>
          </w:p>
        </w:tc>
      </w:tr>
      <w:tr w:rsidR="001D48BA" w14:paraId="7CD3E812" w14:textId="6313E25F" w:rsidTr="06C66258">
        <w:tc>
          <w:tcPr>
            <w:tcW w:w="1353" w:type="dxa"/>
            <w:vAlign w:val="center"/>
          </w:tcPr>
          <w:p w14:paraId="34A8ED21" w14:textId="4F1FB82B"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C</m:t>
                    </m:r>
                  </m:sub>
                </m:sSub>
              </m:oMath>
            </m:oMathPara>
          </w:p>
        </w:tc>
        <w:tc>
          <w:tcPr>
            <w:tcW w:w="2512" w:type="dxa"/>
          </w:tcPr>
          <w:p w14:paraId="4F9DCEB9" w14:textId="1FA66731"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[11, 545]</w:t>
            </w:r>
          </w:p>
        </w:tc>
        <w:tc>
          <w:tcPr>
            <w:tcW w:w="1287" w:type="dxa"/>
            <w:vAlign w:val="center"/>
          </w:tcPr>
          <w:p w14:paraId="741070D6" w14:textId="40771A34"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6</w:t>
            </w:r>
            <w:r w:rsidR="14C4BB62" w:rsidRPr="06C66258">
              <w:rPr>
                <w:color w:val="000000" w:themeColor="text1"/>
              </w:rPr>
              <w:t>85.04</w:t>
            </w:r>
          </w:p>
        </w:tc>
        <w:tc>
          <w:tcPr>
            <w:tcW w:w="1503" w:type="dxa"/>
            <w:vAlign w:val="center"/>
          </w:tcPr>
          <w:p w14:paraId="35C5B595" w14:textId="5F4CBCA3" w:rsidR="001D48BA" w:rsidRPr="00AB30B8" w:rsidRDefault="3C008FF4" w:rsidP="06C66258">
            <w:pPr>
              <w:widowControl w:val="0"/>
              <w:autoSpaceDE w:val="0"/>
              <w:autoSpaceDN w:val="0"/>
              <w:adjustRightInd w:val="0"/>
              <w:jc w:val="center"/>
              <w:rPr>
                <w:color w:val="000000" w:themeColor="text1"/>
              </w:rPr>
            </w:pPr>
            <w:r w:rsidRPr="06C66258">
              <w:rPr>
                <w:color w:val="000000" w:themeColor="text1"/>
              </w:rPr>
              <w:t>1.05</w:t>
            </w:r>
          </w:p>
        </w:tc>
        <w:tc>
          <w:tcPr>
            <w:tcW w:w="1530" w:type="dxa"/>
          </w:tcPr>
          <w:p w14:paraId="0CE03B4B" w14:textId="3E45A343"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17</w:t>
            </w:r>
          </w:p>
        </w:tc>
      </w:tr>
      <w:tr w:rsidR="001D48BA" w14:paraId="3B817801" w14:textId="30083AF7" w:rsidTr="06C66258">
        <w:tc>
          <w:tcPr>
            <w:tcW w:w="1353" w:type="dxa"/>
            <w:vAlign w:val="center"/>
          </w:tcPr>
          <w:p w14:paraId="193FCCCE" w14:textId="4042DD3B" w:rsidR="001D48BA" w:rsidRPr="00AB30B8" w:rsidRDefault="00000000" w:rsidP="001D48B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P(stay)</m:t>
                    </m:r>
                  </m:e>
                  <m:sub>
                    <m:r>
                      <w:rPr>
                        <w:rFonts w:ascii="Cambria Math" w:hAnsi="Cambria Math" w:cs="Times New Roman"/>
                      </w:rPr>
                      <m:t>M</m:t>
                    </m:r>
                  </m:sub>
                </m:sSub>
              </m:oMath>
            </m:oMathPara>
          </w:p>
        </w:tc>
        <w:tc>
          <w:tcPr>
            <w:tcW w:w="2512" w:type="dxa"/>
          </w:tcPr>
          <w:p w14:paraId="3FA0AD90" w14:textId="602DFB3F"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[0.1, 0.75]</w:t>
            </w:r>
          </w:p>
        </w:tc>
        <w:tc>
          <w:tcPr>
            <w:tcW w:w="1287" w:type="dxa"/>
            <w:vAlign w:val="center"/>
          </w:tcPr>
          <w:p w14:paraId="67740122" w14:textId="5564B218" w:rsidR="001D48BA" w:rsidRPr="00AB30B8" w:rsidRDefault="3E537F40" w:rsidP="06C66258">
            <w:pPr>
              <w:spacing w:line="259" w:lineRule="auto"/>
              <w:jc w:val="center"/>
              <w:rPr>
                <w:color w:val="000000" w:themeColor="text1"/>
              </w:rPr>
            </w:pPr>
            <w:r w:rsidRPr="06C66258">
              <w:rPr>
                <w:color w:val="000000" w:themeColor="text1"/>
              </w:rPr>
              <w:t>639.21</w:t>
            </w:r>
          </w:p>
        </w:tc>
        <w:tc>
          <w:tcPr>
            <w:tcW w:w="1503" w:type="dxa"/>
            <w:vAlign w:val="center"/>
          </w:tcPr>
          <w:p w14:paraId="685C6451" w14:textId="5586113C"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0.9</w:t>
            </w:r>
            <w:r w:rsidR="0DB9C02E" w:rsidRPr="06C66258">
              <w:rPr>
                <w:color w:val="000000" w:themeColor="text1"/>
              </w:rPr>
              <w:t>8</w:t>
            </w:r>
          </w:p>
        </w:tc>
        <w:tc>
          <w:tcPr>
            <w:tcW w:w="1530" w:type="dxa"/>
          </w:tcPr>
          <w:p w14:paraId="46CAD20C" w14:textId="4032A88F"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18</w:t>
            </w:r>
          </w:p>
        </w:tc>
      </w:tr>
      <w:tr w:rsidR="001D48BA" w14:paraId="4D89BBF7" w14:textId="7D3089A2" w:rsidTr="06C66258">
        <w:tc>
          <w:tcPr>
            <w:tcW w:w="1353" w:type="dxa"/>
            <w:vAlign w:val="center"/>
          </w:tcPr>
          <w:p w14:paraId="70E58C83" w14:textId="0F7D8AE2" w:rsidR="001D48BA" w:rsidRPr="00AB30B8" w:rsidRDefault="00000000" w:rsidP="001D48B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oMath>
            </m:oMathPara>
          </w:p>
        </w:tc>
        <w:tc>
          <w:tcPr>
            <w:tcW w:w="2512" w:type="dxa"/>
          </w:tcPr>
          <w:p w14:paraId="314C68BD" w14:textId="5E45BB85"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[1,580, 4,400]</w:t>
            </w:r>
          </w:p>
        </w:tc>
        <w:tc>
          <w:tcPr>
            <w:tcW w:w="1287" w:type="dxa"/>
            <w:vAlign w:val="center"/>
          </w:tcPr>
          <w:p w14:paraId="7F0C135E" w14:textId="0BDFBFE2" w:rsidR="001D48BA" w:rsidRPr="00AB30B8" w:rsidRDefault="2F7A29DD" w:rsidP="06C66258">
            <w:pPr>
              <w:spacing w:line="259" w:lineRule="auto"/>
              <w:jc w:val="center"/>
              <w:rPr>
                <w:color w:val="000000" w:themeColor="text1"/>
              </w:rPr>
            </w:pPr>
            <w:r w:rsidRPr="06C66258">
              <w:rPr>
                <w:color w:val="000000" w:themeColor="text1"/>
              </w:rPr>
              <w:t>636.06</w:t>
            </w:r>
          </w:p>
        </w:tc>
        <w:tc>
          <w:tcPr>
            <w:tcW w:w="1503" w:type="dxa"/>
            <w:vAlign w:val="center"/>
          </w:tcPr>
          <w:p w14:paraId="0D4FE826" w14:textId="7A8C8587"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41DD31E9" w:rsidRPr="06C66258">
              <w:rPr>
                <w:color w:val="000000" w:themeColor="text1"/>
              </w:rPr>
              <w:t>97</w:t>
            </w:r>
          </w:p>
        </w:tc>
        <w:tc>
          <w:tcPr>
            <w:tcW w:w="1530" w:type="dxa"/>
          </w:tcPr>
          <w:p w14:paraId="4A1D0B61" w14:textId="34277C59"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19</w:t>
            </w:r>
          </w:p>
        </w:tc>
      </w:tr>
      <w:tr w:rsidR="001D48BA" w14:paraId="56BAC0FB" w14:textId="509169D4" w:rsidTr="06C66258">
        <w:tc>
          <w:tcPr>
            <w:tcW w:w="1353" w:type="dxa"/>
            <w:vAlign w:val="center"/>
          </w:tcPr>
          <w:p w14:paraId="37FCDB7B" w14:textId="1DA08218" w:rsidR="001D48BA" w:rsidRPr="00AB30B8" w:rsidRDefault="00000000" w:rsidP="001D48B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oMath>
            </m:oMathPara>
          </w:p>
        </w:tc>
        <w:tc>
          <w:tcPr>
            <w:tcW w:w="2512" w:type="dxa"/>
          </w:tcPr>
          <w:p w14:paraId="7A7CD4F9" w14:textId="31AB9E2C"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[0.001, 0.008]</w:t>
            </w:r>
          </w:p>
        </w:tc>
        <w:tc>
          <w:tcPr>
            <w:tcW w:w="1287" w:type="dxa"/>
            <w:vAlign w:val="center"/>
          </w:tcPr>
          <w:p w14:paraId="3E4D7A53" w14:textId="55DF3E77" w:rsidR="001D48BA" w:rsidRPr="00AB30B8" w:rsidRDefault="72CD8F5C" w:rsidP="06C66258">
            <w:pPr>
              <w:widowControl w:val="0"/>
              <w:autoSpaceDE w:val="0"/>
              <w:autoSpaceDN w:val="0"/>
              <w:adjustRightInd w:val="0"/>
              <w:jc w:val="center"/>
              <w:rPr>
                <w:color w:val="000000" w:themeColor="text1"/>
              </w:rPr>
            </w:pPr>
            <w:r w:rsidRPr="06C66258">
              <w:rPr>
                <w:color w:val="000000" w:themeColor="text1"/>
              </w:rPr>
              <w:t>627.77</w:t>
            </w:r>
          </w:p>
        </w:tc>
        <w:tc>
          <w:tcPr>
            <w:tcW w:w="1503" w:type="dxa"/>
            <w:vAlign w:val="center"/>
          </w:tcPr>
          <w:p w14:paraId="3D5A92B3" w14:textId="2079970A"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4C435D3A" w:rsidRPr="06C66258">
              <w:rPr>
                <w:color w:val="000000" w:themeColor="text1"/>
              </w:rPr>
              <w:t>96</w:t>
            </w:r>
          </w:p>
        </w:tc>
        <w:tc>
          <w:tcPr>
            <w:tcW w:w="1530" w:type="dxa"/>
          </w:tcPr>
          <w:p w14:paraId="7595D636" w14:textId="71F8D009"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20</w:t>
            </w:r>
          </w:p>
        </w:tc>
      </w:tr>
      <w:tr w:rsidR="001D48BA" w14:paraId="27F3E03D" w14:textId="7CA9C86C" w:rsidTr="06C66258">
        <w:tc>
          <w:tcPr>
            <w:tcW w:w="1353" w:type="dxa"/>
            <w:vAlign w:val="center"/>
          </w:tcPr>
          <w:p w14:paraId="558A42DC" w14:textId="20251975"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P(stay)</m:t>
                    </m:r>
                  </m:e>
                  <m:sub>
                    <m:r>
                      <w:rPr>
                        <w:rFonts w:ascii="Cambria Math" w:hAnsi="Cambria Math" w:cs="Times New Roman"/>
                      </w:rPr>
                      <m:t>I</m:t>
                    </m:r>
                  </m:sub>
                </m:sSub>
              </m:oMath>
            </m:oMathPara>
          </w:p>
        </w:tc>
        <w:tc>
          <w:tcPr>
            <w:tcW w:w="2512" w:type="dxa"/>
          </w:tcPr>
          <w:p w14:paraId="3433DE6B" w14:textId="39A75809"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 0.65]</w:t>
            </w:r>
          </w:p>
        </w:tc>
        <w:tc>
          <w:tcPr>
            <w:tcW w:w="1287" w:type="dxa"/>
            <w:vAlign w:val="center"/>
          </w:tcPr>
          <w:p w14:paraId="1D5390E6" w14:textId="4B9253AA" w:rsidR="001D48BA" w:rsidRPr="00AB30B8" w:rsidRDefault="2401D640" w:rsidP="06C66258">
            <w:pPr>
              <w:spacing w:line="259" w:lineRule="auto"/>
              <w:jc w:val="center"/>
              <w:rPr>
                <w:color w:val="000000" w:themeColor="text1"/>
              </w:rPr>
            </w:pPr>
            <w:r w:rsidRPr="06C66258">
              <w:rPr>
                <w:color w:val="000000" w:themeColor="text1"/>
              </w:rPr>
              <w:t>552.44</w:t>
            </w:r>
          </w:p>
        </w:tc>
        <w:tc>
          <w:tcPr>
            <w:tcW w:w="1503" w:type="dxa"/>
            <w:vAlign w:val="center"/>
          </w:tcPr>
          <w:p w14:paraId="29EA98C7" w14:textId="3C61FC2A"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165841DE" w:rsidRPr="06C66258">
              <w:rPr>
                <w:color w:val="000000" w:themeColor="text1"/>
              </w:rPr>
              <w:t>84</w:t>
            </w:r>
          </w:p>
        </w:tc>
        <w:tc>
          <w:tcPr>
            <w:tcW w:w="1530" w:type="dxa"/>
          </w:tcPr>
          <w:p w14:paraId="187AD8CA" w14:textId="6DE6DF2B"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21</w:t>
            </w:r>
          </w:p>
        </w:tc>
      </w:tr>
      <w:tr w:rsidR="001D48BA" w14:paraId="28294245" w14:textId="43D6FE54" w:rsidTr="06C66258">
        <w:tc>
          <w:tcPr>
            <w:tcW w:w="1353" w:type="dxa"/>
            <w:vAlign w:val="center"/>
          </w:tcPr>
          <w:p w14:paraId="51EE44BF" w14:textId="60497922"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M</m:t>
                    </m:r>
                  </m:sub>
                </m:sSub>
              </m:oMath>
            </m:oMathPara>
          </w:p>
        </w:tc>
        <w:tc>
          <w:tcPr>
            <w:tcW w:w="2512" w:type="dxa"/>
          </w:tcPr>
          <w:p w14:paraId="3CD04341" w14:textId="7DB8FEA4"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[20, 1,000]</w:t>
            </w:r>
          </w:p>
        </w:tc>
        <w:tc>
          <w:tcPr>
            <w:tcW w:w="1287" w:type="dxa"/>
            <w:vAlign w:val="center"/>
          </w:tcPr>
          <w:p w14:paraId="72058958" w14:textId="2998027A" w:rsidR="001D48BA" w:rsidRPr="00AB30B8" w:rsidRDefault="4C6090A4" w:rsidP="06C66258">
            <w:pPr>
              <w:spacing w:line="259" w:lineRule="auto"/>
              <w:jc w:val="center"/>
              <w:rPr>
                <w:color w:val="000000" w:themeColor="text1"/>
              </w:rPr>
            </w:pPr>
            <w:r w:rsidRPr="06C66258">
              <w:rPr>
                <w:color w:val="000000" w:themeColor="text1"/>
              </w:rPr>
              <w:t>446.30</w:t>
            </w:r>
          </w:p>
        </w:tc>
        <w:tc>
          <w:tcPr>
            <w:tcW w:w="1503" w:type="dxa"/>
            <w:vAlign w:val="center"/>
          </w:tcPr>
          <w:p w14:paraId="5972E788" w14:textId="2C5C6E02"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78CB49F8" w:rsidRPr="06C66258">
              <w:rPr>
                <w:color w:val="000000" w:themeColor="text1"/>
              </w:rPr>
              <w:t>68</w:t>
            </w:r>
          </w:p>
        </w:tc>
        <w:tc>
          <w:tcPr>
            <w:tcW w:w="1530" w:type="dxa"/>
          </w:tcPr>
          <w:p w14:paraId="29E7B60E" w14:textId="6F49F2A9"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22</w:t>
            </w:r>
          </w:p>
        </w:tc>
      </w:tr>
      <w:tr w:rsidR="001D48BA" w14:paraId="378462D1" w14:textId="31FAA291" w:rsidTr="06C66258">
        <w:tc>
          <w:tcPr>
            <w:tcW w:w="1353" w:type="dxa"/>
            <w:vAlign w:val="center"/>
          </w:tcPr>
          <w:p w14:paraId="51E02031" w14:textId="15CCC52A" w:rsidR="001D48BA" w:rsidRPr="00AB30B8" w:rsidRDefault="00000000" w:rsidP="001D48BA">
            <w:pPr>
              <w:widowControl w:val="0"/>
              <w:autoSpaceDE w:val="0"/>
              <w:autoSpaceDN w:val="0"/>
              <w:adjustRightInd w:val="0"/>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C</m:t>
                    </m:r>
                  </m:sub>
                </m:sSub>
              </m:oMath>
            </m:oMathPara>
          </w:p>
        </w:tc>
        <w:tc>
          <w:tcPr>
            <w:tcW w:w="2512" w:type="dxa"/>
          </w:tcPr>
          <w:p w14:paraId="1E3FCA73" w14:textId="0A8A7EFF"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[420, 1,178]</w:t>
            </w:r>
          </w:p>
        </w:tc>
        <w:tc>
          <w:tcPr>
            <w:tcW w:w="1287" w:type="dxa"/>
            <w:vAlign w:val="center"/>
          </w:tcPr>
          <w:p w14:paraId="06C26057" w14:textId="667E0269"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4</w:t>
            </w:r>
            <w:r w:rsidR="72258D09" w:rsidRPr="06C66258">
              <w:rPr>
                <w:color w:val="000000" w:themeColor="text1"/>
              </w:rPr>
              <w:t>38.80</w:t>
            </w:r>
          </w:p>
        </w:tc>
        <w:tc>
          <w:tcPr>
            <w:tcW w:w="1503" w:type="dxa"/>
            <w:vAlign w:val="center"/>
          </w:tcPr>
          <w:p w14:paraId="69F6AE2A" w14:textId="2AFA264F"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4151A92E" w:rsidRPr="06C66258">
              <w:rPr>
                <w:color w:val="000000" w:themeColor="text1"/>
              </w:rPr>
              <w:t>67</w:t>
            </w:r>
          </w:p>
        </w:tc>
        <w:tc>
          <w:tcPr>
            <w:tcW w:w="1530" w:type="dxa"/>
          </w:tcPr>
          <w:p w14:paraId="773B6E83" w14:textId="2B1E762B"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23</w:t>
            </w:r>
          </w:p>
        </w:tc>
      </w:tr>
      <w:tr w:rsidR="001D48BA" w14:paraId="040340BE" w14:textId="5F7F43EB" w:rsidTr="06C66258">
        <w:tc>
          <w:tcPr>
            <w:tcW w:w="1353" w:type="dxa"/>
            <w:vAlign w:val="center"/>
          </w:tcPr>
          <w:p w14:paraId="6CCFB26E" w14:textId="023B5E71" w:rsidR="001D48BA" w:rsidRPr="00AB30B8" w:rsidRDefault="00000000" w:rsidP="001D48B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D</m:t>
                        </m:r>
                      </m:e>
                    </m:acc>
                  </m:e>
                  <m:sub>
                    <m:r>
                      <w:rPr>
                        <w:rFonts w:ascii="Cambria Math" w:hAnsi="Cambria Math" w:cs="Times New Roman"/>
                      </w:rPr>
                      <m:t>I</m:t>
                    </m:r>
                  </m:sub>
                </m:sSub>
              </m:oMath>
            </m:oMathPara>
          </w:p>
        </w:tc>
        <w:tc>
          <w:tcPr>
            <w:tcW w:w="2512" w:type="dxa"/>
          </w:tcPr>
          <w:p w14:paraId="76FD233D" w14:textId="3AA2BABE"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[63, 3,335]</w:t>
            </w:r>
          </w:p>
        </w:tc>
        <w:tc>
          <w:tcPr>
            <w:tcW w:w="1287" w:type="dxa"/>
            <w:vAlign w:val="center"/>
          </w:tcPr>
          <w:p w14:paraId="5AF07262" w14:textId="27487B09" w:rsidR="001D48BA" w:rsidRPr="00AB30B8" w:rsidRDefault="001D48BA" w:rsidP="001D48BA">
            <w:pPr>
              <w:widowControl w:val="0"/>
              <w:autoSpaceDE w:val="0"/>
              <w:autoSpaceDN w:val="0"/>
              <w:adjustRightInd w:val="0"/>
              <w:jc w:val="center"/>
              <w:rPr>
                <w:rFonts w:ascii="Times New Roman" w:hAnsi="Times New Roman" w:cs="Times New Roman"/>
              </w:rPr>
            </w:pPr>
            <w:r w:rsidRPr="06C66258">
              <w:rPr>
                <w:color w:val="000000" w:themeColor="text1"/>
              </w:rPr>
              <w:t>4</w:t>
            </w:r>
            <w:r w:rsidR="22EFED62" w:rsidRPr="06C66258">
              <w:rPr>
                <w:color w:val="000000" w:themeColor="text1"/>
              </w:rPr>
              <w:t>32.30</w:t>
            </w:r>
          </w:p>
        </w:tc>
        <w:tc>
          <w:tcPr>
            <w:tcW w:w="1503" w:type="dxa"/>
            <w:vAlign w:val="center"/>
          </w:tcPr>
          <w:p w14:paraId="5560F77C" w14:textId="3B929720"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7B6B4C6C" w:rsidRPr="06C66258">
              <w:rPr>
                <w:color w:val="000000" w:themeColor="text1"/>
              </w:rPr>
              <w:t>66</w:t>
            </w:r>
          </w:p>
        </w:tc>
        <w:tc>
          <w:tcPr>
            <w:tcW w:w="1530" w:type="dxa"/>
          </w:tcPr>
          <w:p w14:paraId="305D783F" w14:textId="2B40D69C"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24</w:t>
            </w:r>
          </w:p>
        </w:tc>
      </w:tr>
      <w:tr w:rsidR="001D48BA" w14:paraId="624CAF92" w14:textId="6FB7800B" w:rsidTr="06C66258">
        <w:tc>
          <w:tcPr>
            <w:tcW w:w="1353" w:type="dxa"/>
            <w:vAlign w:val="center"/>
          </w:tcPr>
          <w:p w14:paraId="0BD773B2" w14:textId="7031DE01" w:rsidR="001D48BA" w:rsidRPr="00AB30B8" w:rsidRDefault="00000000" w:rsidP="001D48BA">
            <w:pPr>
              <w:widowControl w:val="0"/>
              <w:autoSpaceDE w:val="0"/>
              <w:autoSpaceDN w:val="0"/>
              <w:adjustRightInd w:val="0"/>
              <w:jc w:val="center"/>
              <w:rPr>
                <w:rFonts w:ascii="Calibri" w:eastAsia="Calibri" w:hAnsi="Calibri" w:cs="Times New Roman"/>
              </w:rPr>
            </w:pPr>
            <m:oMathPara>
              <m:oMath>
                <m:sSub>
                  <m:sSubPr>
                    <m:ctrlPr>
                      <w:rPr>
                        <w:rFonts w:ascii="Cambria Math" w:hAnsi="Cambria Math" w:cs="Times New Roman"/>
                        <w:i/>
                      </w:rPr>
                    </m:ctrlPr>
                  </m:sSubPr>
                  <m:e>
                    <m:r>
                      <w:rPr>
                        <w:rFonts w:ascii="Cambria Math" w:hAnsi="Cambria Math" w:cs="Times New Roman"/>
                      </w:rPr>
                      <m:t>P(stay)</m:t>
                    </m:r>
                  </m:e>
                  <m:sub>
                    <m:r>
                      <w:rPr>
                        <w:rFonts w:ascii="Cambria Math" w:hAnsi="Cambria Math" w:cs="Times New Roman"/>
                      </w:rPr>
                      <m:t>C</m:t>
                    </m:r>
                  </m:sub>
                </m:sSub>
              </m:oMath>
            </m:oMathPara>
          </w:p>
        </w:tc>
        <w:tc>
          <w:tcPr>
            <w:tcW w:w="2512" w:type="dxa"/>
          </w:tcPr>
          <w:p w14:paraId="637E2FC1" w14:textId="68285BA2"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[0.45, 0.75]</w:t>
            </w:r>
          </w:p>
        </w:tc>
        <w:tc>
          <w:tcPr>
            <w:tcW w:w="1287" w:type="dxa"/>
            <w:vAlign w:val="center"/>
          </w:tcPr>
          <w:p w14:paraId="442C269F" w14:textId="521BA893" w:rsidR="001D48BA" w:rsidRPr="00AB30B8" w:rsidRDefault="001D48BA" w:rsidP="06C66258">
            <w:pPr>
              <w:spacing w:line="259" w:lineRule="auto"/>
              <w:jc w:val="center"/>
              <w:rPr>
                <w:color w:val="000000" w:themeColor="text1"/>
              </w:rPr>
            </w:pPr>
            <w:r w:rsidRPr="06C66258">
              <w:rPr>
                <w:color w:val="000000" w:themeColor="text1"/>
              </w:rPr>
              <w:t>4</w:t>
            </w:r>
            <w:r w:rsidR="45D7074F" w:rsidRPr="06C66258">
              <w:rPr>
                <w:color w:val="000000" w:themeColor="text1"/>
              </w:rPr>
              <w:t>00.19</w:t>
            </w:r>
          </w:p>
        </w:tc>
        <w:tc>
          <w:tcPr>
            <w:tcW w:w="1503" w:type="dxa"/>
            <w:vAlign w:val="center"/>
          </w:tcPr>
          <w:p w14:paraId="6CD27E85" w14:textId="11A8C1DC"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03A88690" w:rsidRPr="06C66258">
              <w:rPr>
                <w:color w:val="000000" w:themeColor="text1"/>
              </w:rPr>
              <w:t>61</w:t>
            </w:r>
          </w:p>
        </w:tc>
        <w:tc>
          <w:tcPr>
            <w:tcW w:w="1530" w:type="dxa"/>
          </w:tcPr>
          <w:p w14:paraId="6DB825BF" w14:textId="55B48C4C"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25</w:t>
            </w:r>
          </w:p>
        </w:tc>
      </w:tr>
      <w:tr w:rsidR="001D48BA" w14:paraId="49C682C0" w14:textId="13263B25" w:rsidTr="06C66258">
        <w:tc>
          <w:tcPr>
            <w:tcW w:w="1353" w:type="dxa"/>
            <w:vAlign w:val="center"/>
          </w:tcPr>
          <w:p w14:paraId="32F86C9A" w14:textId="3475DA33" w:rsidR="001D48BA" w:rsidRPr="00AB30B8" w:rsidRDefault="001F2627" w:rsidP="001D48BA">
            <w:pPr>
              <w:widowControl w:val="0"/>
              <w:autoSpaceDE w:val="0"/>
              <w:autoSpaceDN w:val="0"/>
              <w:adjustRightInd w:val="0"/>
              <w:jc w:val="center"/>
              <w:rPr>
                <w:rFonts w:ascii="Calibri" w:eastAsia="Calibri" w:hAnsi="Calibri" w:cs="Times New Roman"/>
                <w:vertAlign w:val="superscript"/>
              </w:rPr>
            </w:pPr>
            <w:r>
              <w:rPr>
                <w:rFonts w:ascii="Calibri" w:eastAsia="Calibri" w:hAnsi="Calibri" w:cs="Times New Roman"/>
                <w:i/>
                <w:iCs/>
              </w:rPr>
              <w:t>Arrangement</w:t>
            </w:r>
            <w:r w:rsidR="001D48BA" w:rsidRPr="06C66258">
              <w:rPr>
                <w:rFonts w:ascii="Calibri" w:eastAsia="Calibri" w:hAnsi="Calibri" w:cs="Times New Roman"/>
                <w:vertAlign w:val="superscript"/>
              </w:rPr>
              <w:t>+</w:t>
            </w:r>
          </w:p>
        </w:tc>
        <w:tc>
          <w:tcPr>
            <w:tcW w:w="2512" w:type="dxa"/>
          </w:tcPr>
          <w:p w14:paraId="7F6B0D62" w14:textId="490F7FA7" w:rsidR="001D48BA" w:rsidRPr="00AB30B8" w:rsidRDefault="001D48BA" w:rsidP="001D48BA">
            <w:pPr>
              <w:widowControl w:val="0"/>
              <w:autoSpaceDE w:val="0"/>
              <w:autoSpaceDN w:val="0"/>
              <w:adjustRightInd w:val="0"/>
              <w:rPr>
                <w:rFonts w:ascii="Times New Roman" w:hAnsi="Times New Roman" w:cs="Times New Roman"/>
              </w:rPr>
            </w:pPr>
            <w:r w:rsidRPr="00AB30B8">
              <w:rPr>
                <w:rFonts w:ascii="Times New Roman" w:hAnsi="Times New Roman" w:cs="Times New Roman"/>
              </w:rPr>
              <w:t>Contiguous or random</w:t>
            </w:r>
          </w:p>
        </w:tc>
        <w:tc>
          <w:tcPr>
            <w:tcW w:w="1287" w:type="dxa"/>
            <w:vAlign w:val="center"/>
          </w:tcPr>
          <w:p w14:paraId="069D378D" w14:textId="588F1101" w:rsidR="001D48BA" w:rsidRPr="00AB30B8" w:rsidRDefault="10EF1F81" w:rsidP="06C66258">
            <w:pPr>
              <w:widowControl w:val="0"/>
              <w:autoSpaceDE w:val="0"/>
              <w:autoSpaceDN w:val="0"/>
              <w:adjustRightInd w:val="0"/>
              <w:jc w:val="center"/>
              <w:rPr>
                <w:color w:val="000000" w:themeColor="text1"/>
              </w:rPr>
            </w:pPr>
            <w:r w:rsidRPr="06C66258">
              <w:rPr>
                <w:color w:val="000000" w:themeColor="text1"/>
              </w:rPr>
              <w:t>70.90</w:t>
            </w:r>
          </w:p>
        </w:tc>
        <w:tc>
          <w:tcPr>
            <w:tcW w:w="1503" w:type="dxa"/>
            <w:vAlign w:val="center"/>
          </w:tcPr>
          <w:p w14:paraId="5868DBD6" w14:textId="3FEBA4F1" w:rsidR="001D48BA" w:rsidRPr="00AB30B8" w:rsidRDefault="001D48BA" w:rsidP="06C66258">
            <w:pPr>
              <w:widowControl w:val="0"/>
              <w:autoSpaceDE w:val="0"/>
              <w:autoSpaceDN w:val="0"/>
              <w:adjustRightInd w:val="0"/>
              <w:jc w:val="center"/>
              <w:rPr>
                <w:color w:val="000000" w:themeColor="text1"/>
              </w:rPr>
            </w:pPr>
            <w:r w:rsidRPr="06C66258">
              <w:rPr>
                <w:color w:val="000000" w:themeColor="text1"/>
              </w:rPr>
              <w:t>0.</w:t>
            </w:r>
            <w:r w:rsidR="593D816A" w:rsidRPr="06C66258">
              <w:rPr>
                <w:color w:val="000000" w:themeColor="text1"/>
              </w:rPr>
              <w:t>11</w:t>
            </w:r>
          </w:p>
        </w:tc>
        <w:tc>
          <w:tcPr>
            <w:tcW w:w="1530" w:type="dxa"/>
          </w:tcPr>
          <w:p w14:paraId="3CB7B137" w14:textId="153DAC48" w:rsidR="001D48BA" w:rsidRPr="00AB30B8" w:rsidRDefault="001D48BA" w:rsidP="001D48BA">
            <w:pPr>
              <w:widowControl w:val="0"/>
              <w:autoSpaceDE w:val="0"/>
              <w:autoSpaceDN w:val="0"/>
              <w:adjustRightInd w:val="0"/>
              <w:jc w:val="center"/>
              <w:rPr>
                <w:rFonts w:ascii="Times New Roman" w:hAnsi="Times New Roman" w:cs="Times New Roman"/>
              </w:rPr>
            </w:pPr>
            <w:r>
              <w:rPr>
                <w:rFonts w:ascii="Times New Roman" w:hAnsi="Times New Roman" w:cs="Times New Roman"/>
              </w:rPr>
              <w:t>26</w:t>
            </w:r>
          </w:p>
        </w:tc>
      </w:tr>
      <w:tr w:rsidR="006258C2" w14:paraId="4438D73F" w14:textId="7372022F" w:rsidTr="06C66258">
        <w:tc>
          <w:tcPr>
            <w:tcW w:w="1353" w:type="dxa"/>
            <w:vAlign w:val="center"/>
          </w:tcPr>
          <w:p w14:paraId="5F92C9B4" w14:textId="02A212F2" w:rsidR="006258C2" w:rsidRPr="00AB30B8" w:rsidRDefault="00000000" w:rsidP="006258C2">
            <w:pPr>
              <w:widowControl w:val="0"/>
              <w:autoSpaceDE w:val="0"/>
              <w:autoSpaceDN w:val="0"/>
              <w:adjustRightInd w:val="0"/>
              <w:jc w:val="center"/>
              <w:rPr>
                <w:rFonts w:ascii="Calibri" w:eastAsia="Calibri" w:hAnsi="Calibri" w:cs="Times New Roman"/>
                <w:vertAlign w:val="superscript"/>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M</m:t>
                    </m:r>
                  </m:sub>
                </m:sSub>
              </m:oMath>
            </m:oMathPara>
          </w:p>
        </w:tc>
        <w:tc>
          <w:tcPr>
            <w:tcW w:w="2512" w:type="dxa"/>
          </w:tcPr>
          <w:p w14:paraId="1D50E2F2" w14:textId="1EBD7B8C" w:rsidR="006258C2" w:rsidRPr="00AB30B8" w:rsidRDefault="006258C2" w:rsidP="006258C2">
            <w:pPr>
              <w:widowControl w:val="0"/>
              <w:autoSpaceDE w:val="0"/>
              <w:autoSpaceDN w:val="0"/>
              <w:adjustRightInd w:val="0"/>
              <w:rPr>
                <w:rFonts w:ascii="Times New Roman" w:hAnsi="Times New Roman" w:cs="Times New Roman"/>
              </w:rPr>
            </w:pPr>
            <w:r w:rsidRPr="00AB30B8">
              <w:rPr>
                <w:rFonts w:ascii="Times New Roman" w:hAnsi="Times New Roman" w:cs="Times New Roman"/>
              </w:rPr>
              <w:t>Not evaluated</w:t>
            </w:r>
            <w:r w:rsidRPr="00AB30B8">
              <w:rPr>
                <w:rFonts w:ascii="Times New Roman" w:hAnsi="Times New Roman" w:cs="Times New Roman"/>
                <w:vertAlign w:val="superscript"/>
              </w:rPr>
              <w:t>‡</w:t>
            </w:r>
          </w:p>
        </w:tc>
        <w:tc>
          <w:tcPr>
            <w:tcW w:w="1287" w:type="dxa"/>
            <w:vAlign w:val="center"/>
          </w:tcPr>
          <w:p w14:paraId="65F159BF" w14:textId="784D06D9" w:rsidR="006258C2" w:rsidRPr="00AB30B8" w:rsidRDefault="006258C2" w:rsidP="006258C2">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c>
          <w:tcPr>
            <w:tcW w:w="1503" w:type="dxa"/>
            <w:vAlign w:val="center"/>
          </w:tcPr>
          <w:p w14:paraId="770CE1A1" w14:textId="3E0CA7CC" w:rsidR="006258C2" w:rsidRPr="00AB30B8" w:rsidRDefault="006258C2" w:rsidP="006258C2">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c>
          <w:tcPr>
            <w:tcW w:w="1530" w:type="dxa"/>
          </w:tcPr>
          <w:p w14:paraId="77CABCBB" w14:textId="068E056B" w:rsidR="006258C2" w:rsidRPr="00AB30B8" w:rsidRDefault="006258C2" w:rsidP="006258C2">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r>
    </w:tbl>
    <w:p w14:paraId="2D746B3F" w14:textId="486EB416" w:rsidR="0AB54921" w:rsidRDefault="0AB54921" w:rsidP="5579E392">
      <w:pPr>
        <w:spacing w:after="0" w:line="240" w:lineRule="auto"/>
        <w:rPr>
          <w:rFonts w:ascii="Times New Roman" w:hAnsi="Times New Roman" w:cs="Times New Roman"/>
        </w:rPr>
      </w:pPr>
      <w:r w:rsidRPr="5579E392">
        <w:rPr>
          <w:rFonts w:ascii="Times New Roman" w:hAnsi="Times New Roman" w:cs="Times New Roman"/>
        </w:rPr>
        <w:t>Parameter ranges used in global sensitivity analysis and mean change in accuracy. Sensitivity analysis performed using random forest approach by regressing total infectious mosquito-days against listed parameters.</w:t>
      </w:r>
    </w:p>
    <w:p w14:paraId="57FB48A4" w14:textId="5744FD0E" w:rsidR="00EA1883" w:rsidRPr="00EA1883" w:rsidRDefault="00EA1883" w:rsidP="00C12DD6">
      <w:pPr>
        <w:widowControl w:val="0"/>
        <w:autoSpaceDE w:val="0"/>
        <w:autoSpaceDN w:val="0"/>
        <w:adjustRightInd w:val="0"/>
        <w:spacing w:after="0" w:line="240" w:lineRule="auto"/>
        <w:rPr>
          <w:rFonts w:ascii="Times New Roman" w:hAnsi="Times New Roman" w:cs="Times New Roman"/>
        </w:rPr>
      </w:pPr>
      <w:r w:rsidRPr="676DB29C">
        <w:rPr>
          <w:rFonts w:ascii="Times New Roman" w:hAnsi="Times New Roman" w:cs="Times New Roman"/>
        </w:rPr>
        <w:t>* See Table</w:t>
      </w:r>
      <w:r w:rsidR="00B446C9" w:rsidRPr="676DB29C">
        <w:rPr>
          <w:rFonts w:ascii="Times New Roman" w:hAnsi="Times New Roman" w:cs="Times New Roman"/>
        </w:rPr>
        <w:t>s</w:t>
      </w:r>
      <w:r w:rsidRPr="676DB29C">
        <w:rPr>
          <w:rFonts w:ascii="Times New Roman" w:hAnsi="Times New Roman" w:cs="Times New Roman"/>
        </w:rPr>
        <w:t xml:space="preserve"> </w:t>
      </w:r>
      <w:r w:rsidR="5B1A88F5" w:rsidRPr="676DB29C">
        <w:rPr>
          <w:rFonts w:ascii="Times New Roman" w:hAnsi="Times New Roman" w:cs="Times New Roman"/>
        </w:rPr>
        <w:t xml:space="preserve">A-B </w:t>
      </w:r>
      <w:r w:rsidRPr="676DB29C">
        <w:rPr>
          <w:rFonts w:ascii="Times New Roman" w:hAnsi="Times New Roman" w:cs="Times New Roman"/>
        </w:rPr>
        <w:t xml:space="preserve">for </w:t>
      </w:r>
      <w:r w:rsidR="00B446C9" w:rsidRPr="676DB29C">
        <w:rPr>
          <w:rFonts w:ascii="Times New Roman" w:hAnsi="Times New Roman" w:cs="Times New Roman"/>
        </w:rPr>
        <w:t>symbol definitions</w:t>
      </w:r>
      <w:r w:rsidRPr="676DB29C">
        <w:rPr>
          <w:rFonts w:ascii="Times New Roman" w:hAnsi="Times New Roman" w:cs="Times New Roman"/>
        </w:rPr>
        <w:t>.</w:t>
      </w:r>
    </w:p>
    <w:p w14:paraId="53A66C2B" w14:textId="69AE6C40" w:rsidR="00777F73" w:rsidRDefault="00777F73" w:rsidP="00C12DD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vertAlign w:val="superscript"/>
        </w:rPr>
        <w:t xml:space="preserve">† </w:t>
      </w:r>
      <w:r>
        <w:rPr>
          <w:rFonts w:ascii="Times New Roman" w:hAnsi="Times New Roman" w:cs="Times New Roman"/>
        </w:rPr>
        <w:t xml:space="preserve">Percent increase in </w:t>
      </w:r>
      <w:r w:rsidR="00DA4575">
        <w:rPr>
          <w:rFonts w:ascii="Times New Roman" w:hAnsi="Times New Roman" w:cs="Times New Roman"/>
        </w:rPr>
        <w:t>prediction error (mean squared error</w:t>
      </w:r>
      <w:r w:rsidR="00F106C1">
        <w:rPr>
          <w:rFonts w:ascii="Times New Roman" w:hAnsi="Times New Roman" w:cs="Times New Roman"/>
        </w:rPr>
        <w:t xml:space="preserve">) of outcome </w:t>
      </w:r>
      <w:r w:rsidR="001814C0">
        <w:rPr>
          <w:rFonts w:ascii="Times New Roman" w:hAnsi="Times New Roman" w:cs="Times New Roman"/>
        </w:rPr>
        <w:t xml:space="preserve">when parameter </w:t>
      </w:r>
      <w:r w:rsidR="00F106C1">
        <w:rPr>
          <w:rFonts w:ascii="Times New Roman" w:hAnsi="Times New Roman" w:cs="Times New Roman"/>
        </w:rPr>
        <w:t>permuted</w:t>
      </w:r>
      <w:r w:rsidR="00A32210">
        <w:rPr>
          <w:rFonts w:ascii="Times New Roman" w:hAnsi="Times New Roman" w:cs="Times New Roman"/>
        </w:rPr>
        <w:t xml:space="preserve"> in out-of-bag sample vs. not permuted</w:t>
      </w:r>
      <w:r w:rsidR="00DC0E62">
        <w:rPr>
          <w:rFonts w:ascii="Times New Roman" w:hAnsi="Times New Roman" w:cs="Times New Roman"/>
        </w:rPr>
        <w:t>,</w:t>
      </w:r>
      <w:r w:rsidR="00F106C1">
        <w:rPr>
          <w:rFonts w:ascii="Times New Roman" w:hAnsi="Times New Roman" w:cs="Times New Roman"/>
        </w:rPr>
        <w:t xml:space="preserve"> averaged over all trees</w:t>
      </w:r>
      <w:r>
        <w:rPr>
          <w:rFonts w:ascii="Times New Roman" w:hAnsi="Times New Roman" w:cs="Times New Roman"/>
        </w:rPr>
        <w:t>.</w:t>
      </w:r>
    </w:p>
    <w:p w14:paraId="3290971F" w14:textId="1D94D52D" w:rsidR="00777F73" w:rsidRDefault="00777F73" w:rsidP="0024717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DA4575">
        <w:rPr>
          <w:rFonts w:ascii="Times New Roman" w:hAnsi="Times New Roman" w:cs="Times New Roman"/>
        </w:rPr>
        <w:t>P</w:t>
      </w:r>
      <w:r w:rsidR="00E6281D">
        <w:rPr>
          <w:rFonts w:ascii="Times New Roman" w:hAnsi="Times New Roman" w:cs="Times New Roman"/>
        </w:rPr>
        <w:t xml:space="preserve">ercent </w:t>
      </w:r>
      <w:r w:rsidR="00DA4575">
        <w:rPr>
          <w:rFonts w:ascii="Times New Roman" w:hAnsi="Times New Roman" w:cs="Times New Roman"/>
        </w:rPr>
        <w:t>of total</w:t>
      </w:r>
      <w:r w:rsidR="00C12DD6">
        <w:rPr>
          <w:rFonts w:ascii="Times New Roman" w:hAnsi="Times New Roman" w:cs="Times New Roman"/>
        </w:rPr>
        <w:t xml:space="preserve"> increase in mean squared error due to </w:t>
      </w:r>
      <w:r w:rsidR="00F106C1">
        <w:rPr>
          <w:rFonts w:ascii="Times New Roman" w:hAnsi="Times New Roman" w:cs="Times New Roman"/>
        </w:rPr>
        <w:t xml:space="preserve">permuting </w:t>
      </w:r>
      <w:r w:rsidR="00C12DD6">
        <w:rPr>
          <w:rFonts w:ascii="Times New Roman" w:hAnsi="Times New Roman" w:cs="Times New Roman"/>
        </w:rPr>
        <w:t>this parameter.</w:t>
      </w:r>
    </w:p>
    <w:p w14:paraId="71C2DF42" w14:textId="5CD6EDEB" w:rsidR="00BA2D14" w:rsidRPr="00BA2D14" w:rsidRDefault="00BA2D14" w:rsidP="0024717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 xml:space="preserve"> Order of</w:t>
      </w:r>
      <w:r w:rsidR="00396E4F">
        <w:rPr>
          <w:rFonts w:ascii="Times New Roman" w:hAnsi="Times New Roman" w:cs="Times New Roman"/>
        </w:rPr>
        <w:t xml:space="preserve"> relative importance based on contribution to total increase in prediction error.</w:t>
      </w:r>
    </w:p>
    <w:p w14:paraId="18C2A024" w14:textId="5982C388" w:rsidR="00B67F01" w:rsidRPr="00B67F01" w:rsidRDefault="00B67F01" w:rsidP="00B67F01">
      <w:pPr>
        <w:widowControl w:val="0"/>
        <w:autoSpaceDE w:val="0"/>
        <w:autoSpaceDN w:val="0"/>
        <w:adjustRightInd w:val="0"/>
        <w:spacing w:after="0" w:line="240" w:lineRule="auto"/>
        <w:rPr>
          <w:rFonts w:ascii="Times New Roman" w:hAnsi="Times New Roman" w:cs="Times New Roman"/>
        </w:rPr>
      </w:pPr>
      <w:r w:rsidRPr="00B67F01">
        <w:rPr>
          <w:rFonts w:ascii="Times New Roman" w:hAnsi="Times New Roman" w:cs="Times New Roman"/>
          <w:vertAlign w:val="superscript"/>
        </w:rPr>
        <w:t>#</w:t>
      </w:r>
      <w:r w:rsidRPr="00B67F01">
        <w:rPr>
          <w:rFonts w:ascii="Times New Roman" w:hAnsi="Times New Roman" w:cs="Times New Roman"/>
        </w:rPr>
        <w:t xml:space="preserve"> Number of </w:t>
      </w:r>
      <w:r w:rsidR="001C7365">
        <w:rPr>
          <w:rFonts w:ascii="Times New Roman" w:hAnsi="Times New Roman" w:cs="Times New Roman"/>
        </w:rPr>
        <w:t>lot</w:t>
      </w:r>
      <w:r w:rsidRPr="00B67F01">
        <w:rPr>
          <w:rFonts w:ascii="Times New Roman" w:hAnsi="Times New Roman" w:cs="Times New Roman"/>
        </w:rPr>
        <w:t>s with treated feeder in neighborhood.</w:t>
      </w:r>
    </w:p>
    <w:p w14:paraId="2C8AC86E" w14:textId="24E3C7B5" w:rsidR="00B15596" w:rsidRDefault="00B67F01" w:rsidP="00947A9F">
      <w:pPr>
        <w:widowControl w:val="0"/>
        <w:autoSpaceDE w:val="0"/>
        <w:autoSpaceDN w:val="0"/>
        <w:adjustRightInd w:val="0"/>
        <w:spacing w:after="0" w:line="240" w:lineRule="auto"/>
        <w:rPr>
          <w:rFonts w:ascii="Times New Roman" w:hAnsi="Times New Roman" w:cs="Times New Roman"/>
          <w:vertAlign w:val="superscript"/>
        </w:rPr>
      </w:pPr>
      <w:r w:rsidRPr="00B67F01">
        <w:rPr>
          <w:rFonts w:ascii="Times New Roman" w:eastAsia="Calibri" w:hAnsi="Times New Roman" w:cs="Times New Roman"/>
          <w:vertAlign w:val="superscript"/>
        </w:rPr>
        <w:t>+</w:t>
      </w:r>
      <w:r w:rsidRPr="00B67F01">
        <w:rPr>
          <w:rFonts w:ascii="Times New Roman" w:eastAsia="Calibri" w:hAnsi="Times New Roman" w:cs="Times New Roman"/>
        </w:rPr>
        <w:t xml:space="preserve"> Spatial arrangement of treated </w:t>
      </w:r>
      <w:r w:rsidR="00E875BC">
        <w:rPr>
          <w:rFonts w:ascii="Times New Roman" w:eastAsia="Calibri" w:hAnsi="Times New Roman" w:cs="Times New Roman"/>
        </w:rPr>
        <w:t>lot</w:t>
      </w:r>
      <w:r w:rsidRPr="00B67F01">
        <w:rPr>
          <w:rFonts w:ascii="Times New Roman" w:eastAsia="Calibri" w:hAnsi="Times New Roman" w:cs="Times New Roman"/>
        </w:rPr>
        <w:t>s in neighborhood</w:t>
      </w:r>
      <w:r w:rsidR="00E875BC">
        <w:rPr>
          <w:rFonts w:ascii="Times New Roman" w:eastAsia="Calibri" w:hAnsi="Times New Roman" w:cs="Times New Roman"/>
        </w:rPr>
        <w:t xml:space="preserve"> (</w:t>
      </w:r>
      <w:r w:rsidR="00421647">
        <w:rPr>
          <w:rFonts w:ascii="Times New Roman" w:eastAsia="Calibri" w:hAnsi="Times New Roman" w:cs="Times New Roman"/>
        </w:rPr>
        <w:t xml:space="preserve">random or contiguous; </w:t>
      </w:r>
      <w:r w:rsidR="00E875BC">
        <w:rPr>
          <w:rFonts w:ascii="Times New Roman" w:eastAsia="Calibri" w:hAnsi="Times New Roman" w:cs="Times New Roman"/>
        </w:rPr>
        <w:t>see text for details)</w:t>
      </w:r>
      <w:r w:rsidRPr="00B67F01">
        <w:rPr>
          <w:rFonts w:ascii="Times New Roman" w:eastAsia="Calibri" w:hAnsi="Times New Roman" w:cs="Times New Roman"/>
        </w:rPr>
        <w:t>.</w:t>
      </w:r>
      <w:r w:rsidR="00B15596" w:rsidRPr="00B15596">
        <w:rPr>
          <w:rFonts w:ascii="Times New Roman" w:hAnsi="Times New Roman" w:cs="Times New Roman"/>
          <w:vertAlign w:val="superscript"/>
        </w:rPr>
        <w:t xml:space="preserve"> </w:t>
      </w:r>
    </w:p>
    <w:p w14:paraId="0218A424" w14:textId="6A8AB1E5" w:rsidR="00E13DC2" w:rsidRDefault="00B15596" w:rsidP="002362B7">
      <w:pPr>
        <w:widowControl w:val="0"/>
        <w:autoSpaceDE w:val="0"/>
        <w:autoSpaceDN w:val="0"/>
        <w:adjustRightInd w:val="0"/>
        <w:spacing w:line="240" w:lineRule="auto"/>
        <w:rPr>
          <w:rFonts w:ascii="Times New Roman" w:hAnsi="Times New Roman" w:cs="Times New Roman"/>
        </w:rPr>
      </w:pPr>
      <w:r w:rsidRPr="00247171">
        <w:rPr>
          <w:rFonts w:ascii="Times New Roman" w:hAnsi="Times New Roman" w:cs="Times New Roman"/>
          <w:vertAlign w:val="superscript"/>
        </w:rPr>
        <w:t>‡</w:t>
      </w:r>
      <w:r>
        <w:rPr>
          <w:rFonts w:ascii="Times New Roman" w:hAnsi="Times New Roman" w:cs="Times New Roman"/>
        </w:rPr>
        <w:t xml:space="preserve"> Not evaluated in sensitivity analysis because form </w:t>
      </w:r>
      <w:r w:rsidR="00423B7C">
        <w:rPr>
          <w:rFonts w:ascii="Times New Roman" w:hAnsi="Times New Roman" w:cs="Times New Roman"/>
        </w:rPr>
        <w:t xml:space="preserve">was </w:t>
      </w:r>
      <w:r>
        <w:rPr>
          <w:rFonts w:ascii="Times New Roman" w:hAnsi="Times New Roman" w:cs="Times New Roman"/>
        </w:rPr>
        <w:t>developed in modeling framework to produce</w:t>
      </w:r>
      <w:r w:rsidR="00423B7C">
        <w:rPr>
          <w:rFonts w:ascii="Times New Roman" w:hAnsi="Times New Roman" w:cs="Times New Roman"/>
        </w:rPr>
        <w:t xml:space="preserve"> realistic dynamics</w:t>
      </w:r>
      <w:r w:rsidR="001C7365">
        <w:rPr>
          <w:rFonts w:ascii="Times New Roman" w:hAnsi="Times New Roman" w:cs="Times New Roman"/>
        </w:rPr>
        <w:t xml:space="preserve"> (see text for details)</w:t>
      </w:r>
      <w:r w:rsidR="00423B7C">
        <w:rPr>
          <w:rFonts w:ascii="Times New Roman" w:hAnsi="Times New Roman" w:cs="Times New Roman"/>
        </w:rPr>
        <w:t>.</w:t>
      </w:r>
    </w:p>
    <w:p w14:paraId="19CDB26C" w14:textId="77777777" w:rsidR="002362B7" w:rsidRDefault="002362B7" w:rsidP="00E13DC2">
      <w:pPr>
        <w:rPr>
          <w:rFonts w:ascii="Times New Roman" w:hAnsi="Times New Roman" w:cs="Times New Roman"/>
        </w:rPr>
      </w:pPr>
    </w:p>
    <w:p w14:paraId="065DA3B8" w14:textId="65D79074" w:rsidR="00E13DC2" w:rsidRPr="00DD2A58" w:rsidRDefault="00E13DC2" w:rsidP="00E13DC2">
      <w:pPr>
        <w:rPr>
          <w:rFonts w:ascii="Times New Roman" w:hAnsi="Times New Roman" w:cs="Times New Roman"/>
        </w:rPr>
      </w:pPr>
      <w:r w:rsidRPr="00DD2A58">
        <w:rPr>
          <w:rFonts w:ascii="Times New Roman" w:hAnsi="Times New Roman" w:cs="Times New Roman"/>
        </w:rPr>
        <w:t>References Cited</w:t>
      </w:r>
    </w:p>
    <w:p w14:paraId="1B752930" w14:textId="495A4408" w:rsidR="004027ED" w:rsidRPr="004027ED" w:rsidRDefault="00E13DC2"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DD2A58">
        <w:rPr>
          <w:rFonts w:ascii="Times New Roman" w:hAnsi="Times New Roman" w:cs="Times New Roman"/>
        </w:rPr>
        <w:fldChar w:fldCharType="begin" w:fldLock="1"/>
      </w:r>
      <w:r w:rsidRPr="00DD2A58">
        <w:rPr>
          <w:rFonts w:ascii="Times New Roman" w:hAnsi="Times New Roman" w:cs="Times New Roman"/>
        </w:rPr>
        <w:instrText xml:space="preserve">ADDIN Mendeley Bibliography CSL_BIBLIOGRAPHY </w:instrText>
      </w:r>
      <w:r w:rsidRPr="00DD2A58">
        <w:rPr>
          <w:rFonts w:ascii="Times New Roman" w:hAnsi="Times New Roman" w:cs="Times New Roman"/>
        </w:rPr>
        <w:fldChar w:fldCharType="separate"/>
      </w:r>
      <w:r w:rsidR="004027ED" w:rsidRPr="004027ED">
        <w:rPr>
          <w:rFonts w:ascii="Times New Roman" w:hAnsi="Times New Roman" w:cs="Times New Roman"/>
          <w:noProof/>
          <w:szCs w:val="24"/>
        </w:rPr>
        <w:t xml:space="preserve">1. </w:t>
      </w:r>
      <w:r w:rsidR="004027ED" w:rsidRPr="004027ED">
        <w:rPr>
          <w:rFonts w:ascii="Times New Roman" w:hAnsi="Times New Roman" w:cs="Times New Roman"/>
          <w:noProof/>
          <w:szCs w:val="24"/>
        </w:rPr>
        <w:tab/>
        <w:t xml:space="preserve">Hartley DM, Barker CM, Le Menach A, Niu T, Gaff HD, Reisen WK. Effects of temperature on emergence and seasonality of West Nile virus in California. Am J Trop Med Hyg. 2012;86(5):884–94. </w:t>
      </w:r>
    </w:p>
    <w:p w14:paraId="78B9D36D"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2. </w:t>
      </w:r>
      <w:r w:rsidRPr="004027ED">
        <w:rPr>
          <w:rFonts w:ascii="Times New Roman" w:hAnsi="Times New Roman" w:cs="Times New Roman"/>
          <w:noProof/>
          <w:szCs w:val="24"/>
        </w:rPr>
        <w:tab/>
        <w:t xml:space="preserve">Kot M, Schaffer WM. Discrete-time growth-dispersal models. Math Biosci. 1986;80(1):109–36. </w:t>
      </w:r>
    </w:p>
    <w:p w14:paraId="0BF0F742"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3. </w:t>
      </w:r>
      <w:r w:rsidRPr="004027ED">
        <w:rPr>
          <w:rFonts w:ascii="Times New Roman" w:hAnsi="Times New Roman" w:cs="Times New Roman"/>
          <w:noProof/>
          <w:szCs w:val="24"/>
        </w:rPr>
        <w:tab/>
        <w:t xml:space="preserve">Van Kirk RW, Lewis MA. Integrodifference models for peristence in fragmented habitats. Bull Math Biol. 1997;59(1):107–37. </w:t>
      </w:r>
    </w:p>
    <w:p w14:paraId="364A5FCA"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4. </w:t>
      </w:r>
      <w:r w:rsidRPr="004027ED">
        <w:rPr>
          <w:rFonts w:ascii="Times New Roman" w:hAnsi="Times New Roman" w:cs="Times New Roman"/>
          <w:noProof/>
          <w:szCs w:val="24"/>
        </w:rPr>
        <w:tab/>
        <w:t xml:space="preserve">Baskett ML, Yoklavich M, Love MS. Predation, competition, and the recovery of overexploited fish stocks in marine reserves. Can J Fish Aquat Sci. 2006;63(6):1214–29. </w:t>
      </w:r>
    </w:p>
    <w:p w14:paraId="5E49A6CA" w14:textId="7E2A850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5. </w:t>
      </w:r>
      <w:r w:rsidRPr="004027ED">
        <w:rPr>
          <w:rFonts w:ascii="Times New Roman" w:hAnsi="Times New Roman" w:cs="Times New Roman"/>
          <w:noProof/>
          <w:szCs w:val="24"/>
        </w:rPr>
        <w:tab/>
        <w:t xml:space="preserve">Lockwood DR, Hastings A, Botsford LW. The effects of dispersal patterns on marine reserves: </w:t>
      </w:r>
      <w:r w:rsidR="00BB1B1F">
        <w:rPr>
          <w:rFonts w:ascii="Times New Roman" w:hAnsi="Times New Roman" w:cs="Times New Roman"/>
          <w:noProof/>
          <w:szCs w:val="24"/>
        </w:rPr>
        <w:t>D</w:t>
      </w:r>
      <w:r w:rsidRPr="004027ED">
        <w:rPr>
          <w:rFonts w:ascii="Times New Roman" w:hAnsi="Times New Roman" w:cs="Times New Roman"/>
          <w:noProof/>
          <w:szCs w:val="24"/>
        </w:rPr>
        <w:t xml:space="preserve">oes the tail wag the dog? Theor Popul Biol. 2002;61(3):297–309. </w:t>
      </w:r>
    </w:p>
    <w:p w14:paraId="4A908E7D"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6. </w:t>
      </w:r>
      <w:r w:rsidRPr="004027ED">
        <w:rPr>
          <w:rFonts w:ascii="Times New Roman" w:hAnsi="Times New Roman" w:cs="Times New Roman"/>
          <w:noProof/>
          <w:szCs w:val="24"/>
        </w:rPr>
        <w:tab/>
        <w:t xml:space="preserve">Mailleret L, Lemesle V. A note on semi-discrete modelling in the life sciences. Philos Trans R Soc A Math Phys Eng Sci. 2009;367(1908):4779–99. </w:t>
      </w:r>
    </w:p>
    <w:p w14:paraId="26B73BF6"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lastRenderedPageBreak/>
        <w:t xml:space="preserve">7. </w:t>
      </w:r>
      <w:r w:rsidRPr="004027ED">
        <w:rPr>
          <w:rFonts w:ascii="Times New Roman" w:hAnsi="Times New Roman" w:cs="Times New Roman"/>
          <w:noProof/>
          <w:szCs w:val="24"/>
        </w:rPr>
        <w:tab/>
        <w:t xml:space="preserve">Fauver JR, Pecher L, Schurich JA, Bolling BG, Calhoon M, Grubaugh ND, et al. Temporal and spatial variability of entomological risk indices for West Nile virus infection in Northern Colorado: 2006–2013. J Med Entomol. 2016 Mar;53(2):425–34. </w:t>
      </w:r>
    </w:p>
    <w:p w14:paraId="5E840B15" w14:textId="266AE04C"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8. </w:t>
      </w:r>
      <w:r w:rsidRPr="004027ED">
        <w:rPr>
          <w:rFonts w:ascii="Times New Roman" w:hAnsi="Times New Roman" w:cs="Times New Roman"/>
          <w:noProof/>
          <w:szCs w:val="24"/>
        </w:rPr>
        <w:tab/>
        <w:t xml:space="preserve">R Core Team. R: A language and environment for statistical computing. Vienna, Austria: R Foundation for Statisitcal Computing; 2020. </w:t>
      </w:r>
      <w:r w:rsidR="00AC2D4F" w:rsidRPr="00AC2D4F">
        <w:rPr>
          <w:rFonts w:ascii="Times New Roman" w:hAnsi="Times New Roman" w:cs="Times New Roman"/>
          <w:noProof/>
          <w:szCs w:val="24"/>
        </w:rPr>
        <w:t>https://www.R-project.org/.</w:t>
      </w:r>
    </w:p>
    <w:p w14:paraId="0AA9FFBF" w14:textId="0C42C90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9. </w:t>
      </w:r>
      <w:r w:rsidRPr="004027ED">
        <w:rPr>
          <w:rFonts w:ascii="Times New Roman" w:hAnsi="Times New Roman" w:cs="Times New Roman"/>
          <w:noProof/>
          <w:szCs w:val="24"/>
        </w:rPr>
        <w:tab/>
        <w:t xml:space="preserve">Barker CM, Niu T, Reisen WK, Hartley DM. Data-driven modeling to assess receptivity for Rift Valley Fever virus. PLoS Negl Trop Dis. 2013;7(11):e2515. </w:t>
      </w:r>
    </w:p>
    <w:p w14:paraId="36C4F111" w14:textId="3B4FECF4"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10. </w:t>
      </w:r>
      <w:r w:rsidRPr="004027ED">
        <w:rPr>
          <w:rFonts w:ascii="Times New Roman" w:hAnsi="Times New Roman" w:cs="Times New Roman"/>
          <w:noProof/>
          <w:szCs w:val="24"/>
        </w:rPr>
        <w:tab/>
        <w:t xml:space="preserve">Reisen WK, Milby MM, Reeves WC, Meyer RP, Bock ME. Population ecology of </w:t>
      </w:r>
      <w:r w:rsidRPr="00AC2D4F">
        <w:rPr>
          <w:rFonts w:ascii="Times New Roman" w:hAnsi="Times New Roman" w:cs="Times New Roman"/>
          <w:i/>
          <w:iCs/>
          <w:noProof/>
          <w:szCs w:val="24"/>
        </w:rPr>
        <w:t>Culex tarsalis</w:t>
      </w:r>
      <w:r w:rsidRPr="004027ED">
        <w:rPr>
          <w:rFonts w:ascii="Times New Roman" w:hAnsi="Times New Roman" w:cs="Times New Roman"/>
          <w:noProof/>
          <w:szCs w:val="24"/>
        </w:rPr>
        <w:t xml:space="preserve"> (Diptera: Culicidae) in a foothill environment in Kern County, California: </w:t>
      </w:r>
      <w:r w:rsidR="00AC2D4F">
        <w:rPr>
          <w:rFonts w:ascii="Times New Roman" w:hAnsi="Times New Roman" w:cs="Times New Roman"/>
          <w:noProof/>
          <w:szCs w:val="24"/>
        </w:rPr>
        <w:t>T</w:t>
      </w:r>
      <w:r w:rsidRPr="004027ED">
        <w:rPr>
          <w:rFonts w:ascii="Times New Roman" w:hAnsi="Times New Roman" w:cs="Times New Roman"/>
          <w:noProof/>
          <w:szCs w:val="24"/>
        </w:rPr>
        <w:t xml:space="preserve">emporal changes in female relative abundance, reproductive status, and survivorship. Ann Entomol Soc Am. 1983;76(4):800–8. </w:t>
      </w:r>
    </w:p>
    <w:p w14:paraId="3C60F93C"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11. </w:t>
      </w:r>
      <w:r w:rsidRPr="004027ED">
        <w:rPr>
          <w:rFonts w:ascii="Times New Roman" w:hAnsi="Times New Roman" w:cs="Times New Roman"/>
          <w:noProof/>
          <w:szCs w:val="24"/>
        </w:rPr>
        <w:tab/>
        <w:t xml:space="preserve">Reisen WK, Lothrop HD, Hardy JL. Bionomics of </w:t>
      </w:r>
      <w:r w:rsidRPr="00AC2D4F">
        <w:rPr>
          <w:rFonts w:ascii="Times New Roman" w:hAnsi="Times New Roman" w:cs="Times New Roman"/>
          <w:i/>
          <w:iCs/>
          <w:noProof/>
          <w:szCs w:val="24"/>
        </w:rPr>
        <w:t>Culex tarsalis</w:t>
      </w:r>
      <w:r w:rsidRPr="004027ED">
        <w:rPr>
          <w:rFonts w:ascii="Times New Roman" w:hAnsi="Times New Roman" w:cs="Times New Roman"/>
          <w:noProof/>
          <w:szCs w:val="24"/>
        </w:rPr>
        <w:t xml:space="preserve"> (Diptera: Culicidae) in relation to arbovirus transmission in southeastern California. J Med Entomol. 1995;32(3):316–27. </w:t>
      </w:r>
    </w:p>
    <w:p w14:paraId="6F464763"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12. </w:t>
      </w:r>
      <w:r w:rsidRPr="004027ED">
        <w:rPr>
          <w:rFonts w:ascii="Times New Roman" w:hAnsi="Times New Roman" w:cs="Times New Roman"/>
          <w:noProof/>
          <w:szCs w:val="24"/>
        </w:rPr>
        <w:tab/>
        <w:t xml:space="preserve">Reisen WK, Reeves WC. Epidemiology and control of mosquito-borne arboviruses in California, 1943-1987. In: Reeves WC, editor. Sacramento, California: California Mosquito and Vector Control Association, Inc.; 1990. p. 254–329. </w:t>
      </w:r>
    </w:p>
    <w:p w14:paraId="762DA3F0"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13. </w:t>
      </w:r>
      <w:r w:rsidRPr="004027ED">
        <w:rPr>
          <w:rFonts w:ascii="Times New Roman" w:hAnsi="Times New Roman" w:cs="Times New Roman"/>
          <w:noProof/>
          <w:szCs w:val="24"/>
        </w:rPr>
        <w:tab/>
        <w:t>Cornell Lab of Ornithology. Birds of the World [Internet]. 2021 [cited 2020 Mar 6]. Available from: https://birdsoftheworld.org/</w:t>
      </w:r>
    </w:p>
    <w:p w14:paraId="4FF71B82"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14. </w:t>
      </w:r>
      <w:r w:rsidRPr="004027ED">
        <w:rPr>
          <w:rFonts w:ascii="Times New Roman" w:hAnsi="Times New Roman" w:cs="Times New Roman"/>
          <w:noProof/>
          <w:szCs w:val="24"/>
        </w:rPr>
        <w:tab/>
        <w:t xml:space="preserve">Goddard LB, Roth AE, Reisen WK, Scott TW. Vertical transmission of West Nile virus by three California </w:t>
      </w:r>
      <w:r w:rsidRPr="00AC2D4F">
        <w:rPr>
          <w:rFonts w:ascii="Times New Roman" w:hAnsi="Times New Roman" w:cs="Times New Roman"/>
          <w:i/>
          <w:iCs/>
          <w:noProof/>
          <w:szCs w:val="24"/>
        </w:rPr>
        <w:t>Culex</w:t>
      </w:r>
      <w:r w:rsidRPr="004027ED">
        <w:rPr>
          <w:rFonts w:ascii="Times New Roman" w:hAnsi="Times New Roman" w:cs="Times New Roman"/>
          <w:noProof/>
          <w:szCs w:val="24"/>
        </w:rPr>
        <w:t xml:space="preserve"> (Diptera: Culicidae) species. J Med Entomol. 2003;40(6):743–6. </w:t>
      </w:r>
    </w:p>
    <w:p w14:paraId="55E724AA"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15. </w:t>
      </w:r>
      <w:r w:rsidRPr="004027ED">
        <w:rPr>
          <w:rFonts w:ascii="Times New Roman" w:hAnsi="Times New Roman" w:cs="Times New Roman"/>
          <w:noProof/>
          <w:szCs w:val="24"/>
        </w:rPr>
        <w:tab/>
        <w:t xml:space="preserve">Nelms BM, Macedo PA, Kothera L, Savage HM, Reisen WK. Overwintering biology of </w:t>
      </w:r>
      <w:r w:rsidRPr="00AC2D4F">
        <w:rPr>
          <w:rFonts w:ascii="Times New Roman" w:hAnsi="Times New Roman" w:cs="Times New Roman"/>
          <w:i/>
          <w:iCs/>
          <w:noProof/>
          <w:szCs w:val="24"/>
        </w:rPr>
        <w:t>Culex</w:t>
      </w:r>
      <w:r w:rsidRPr="004027ED">
        <w:rPr>
          <w:rFonts w:ascii="Times New Roman" w:hAnsi="Times New Roman" w:cs="Times New Roman"/>
          <w:noProof/>
          <w:szCs w:val="24"/>
        </w:rPr>
        <w:t xml:space="preserve"> (Diptera: Culicidae) mosquitoes in the Sacramento Valley of California. J Med Entomol. 2013;50(4):773–90. </w:t>
      </w:r>
    </w:p>
    <w:p w14:paraId="1F7670D1" w14:textId="411CE325"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16. </w:t>
      </w:r>
      <w:r w:rsidRPr="004027ED">
        <w:rPr>
          <w:rFonts w:ascii="Times New Roman" w:hAnsi="Times New Roman" w:cs="Times New Roman"/>
          <w:noProof/>
          <w:szCs w:val="24"/>
        </w:rPr>
        <w:tab/>
        <w:t xml:space="preserve">Reisen WK, Fang Y, Lothrop HD, Martinez VM, Wilson J, Oconnor P, et al. Overwintering of West Nile virus in Southern California. J Med Entomol. 2006;43(2):344–55. </w:t>
      </w:r>
    </w:p>
    <w:p w14:paraId="1DD2BA59"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17. </w:t>
      </w:r>
      <w:r w:rsidRPr="004027ED">
        <w:rPr>
          <w:rFonts w:ascii="Times New Roman" w:hAnsi="Times New Roman" w:cs="Times New Roman"/>
          <w:noProof/>
          <w:szCs w:val="24"/>
        </w:rPr>
        <w:tab/>
        <w:t xml:space="preserve">Nguyen C, Gray M, Burton TA, Foy SL, Foster JR, Gendernalik AL, et al. Evaluation of a novel West Nile virus transmission control strategy that targets </w:t>
      </w:r>
      <w:r w:rsidRPr="00AC2D4F">
        <w:rPr>
          <w:rFonts w:ascii="Times New Roman" w:hAnsi="Times New Roman" w:cs="Times New Roman"/>
          <w:i/>
          <w:iCs/>
          <w:noProof/>
          <w:szCs w:val="24"/>
        </w:rPr>
        <w:t>Culex tarsalis</w:t>
      </w:r>
      <w:r w:rsidRPr="004027ED">
        <w:rPr>
          <w:rFonts w:ascii="Times New Roman" w:hAnsi="Times New Roman" w:cs="Times New Roman"/>
          <w:noProof/>
          <w:szCs w:val="24"/>
        </w:rPr>
        <w:t xml:space="preserve"> with endectocide-containing blood meals. PLoS Negl Trop Dis. 2019;13(3):e0007210. </w:t>
      </w:r>
    </w:p>
    <w:p w14:paraId="3843B98E" w14:textId="0DAA1D8D"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18. </w:t>
      </w:r>
      <w:r w:rsidRPr="004027ED">
        <w:rPr>
          <w:rFonts w:ascii="Times New Roman" w:hAnsi="Times New Roman" w:cs="Times New Roman"/>
          <w:noProof/>
          <w:szCs w:val="24"/>
        </w:rPr>
        <w:tab/>
        <w:t xml:space="preserve">Komar N, Langevin S, Hinten S, Nemeth N, Edwards E, Hettler D, et al. Experimental infection of North American birds with the New York 1999 strain of West Nile virus. Emerg Infect Dis. 2003;9(3):311–22. </w:t>
      </w:r>
    </w:p>
    <w:p w14:paraId="19325288"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19. </w:t>
      </w:r>
      <w:r w:rsidRPr="004027ED">
        <w:rPr>
          <w:rFonts w:ascii="Times New Roman" w:hAnsi="Times New Roman" w:cs="Times New Roman"/>
          <w:noProof/>
          <w:szCs w:val="24"/>
        </w:rPr>
        <w:tab/>
        <w:t xml:space="preserve">Kilpatrick AM, LaDeau SL, Marra PP. Ecology of West Nile virus transmission and its impact on birds in the western hemisphere. Auk. 2007;124(4):1121–36. </w:t>
      </w:r>
    </w:p>
    <w:p w14:paraId="3A94EBFF" w14:textId="403E5DAC"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20. </w:t>
      </w:r>
      <w:r w:rsidRPr="004027ED">
        <w:rPr>
          <w:rFonts w:ascii="Times New Roman" w:hAnsi="Times New Roman" w:cs="Times New Roman"/>
          <w:noProof/>
          <w:szCs w:val="24"/>
        </w:rPr>
        <w:tab/>
        <w:t xml:space="preserve">Reisen WK, Fang Y, Martinez VM. Avian host and mosquito (Diptera: Culicidae) vector competence determine the efficiency of West Nile and St. Louis encephalitis virus transmission. J Med Entomol. 2005;42(3):367–75. </w:t>
      </w:r>
    </w:p>
    <w:p w14:paraId="7E2E5F23" w14:textId="339C5A5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21. </w:t>
      </w:r>
      <w:r w:rsidRPr="004027ED">
        <w:rPr>
          <w:rFonts w:ascii="Times New Roman" w:hAnsi="Times New Roman" w:cs="Times New Roman"/>
          <w:noProof/>
          <w:szCs w:val="24"/>
        </w:rPr>
        <w:tab/>
        <w:t xml:space="preserve">Reisen WK, Fang Y, Martinez VM. Effects of temperature on the transmission of West Nile virus by </w:t>
      </w:r>
      <w:r w:rsidRPr="00D57804">
        <w:rPr>
          <w:rFonts w:ascii="Times New Roman" w:hAnsi="Times New Roman" w:cs="Times New Roman"/>
          <w:i/>
          <w:iCs/>
          <w:noProof/>
          <w:szCs w:val="24"/>
        </w:rPr>
        <w:t>Culex tarsalis</w:t>
      </w:r>
      <w:r w:rsidRPr="004027ED">
        <w:rPr>
          <w:rFonts w:ascii="Times New Roman" w:hAnsi="Times New Roman" w:cs="Times New Roman"/>
          <w:noProof/>
          <w:szCs w:val="24"/>
        </w:rPr>
        <w:t xml:space="preserve"> (Diptera: Culicidae). J Med Entomol. 2006;43(2):309–17. </w:t>
      </w:r>
    </w:p>
    <w:p w14:paraId="5404C92F"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22. </w:t>
      </w:r>
      <w:r w:rsidRPr="004027ED">
        <w:rPr>
          <w:rFonts w:ascii="Times New Roman" w:hAnsi="Times New Roman" w:cs="Times New Roman"/>
          <w:noProof/>
          <w:szCs w:val="24"/>
        </w:rPr>
        <w:tab/>
        <w:t xml:space="preserve">Moreno L, Dominguez P, Farias C, Canton L, Virkel G, Mate L, et al. Ivermectin pharmacokinetics, metabolism, and tissue/egg residue profiles in laying hens. J Agric Food Chem. 2015;63:10327–10332. </w:t>
      </w:r>
    </w:p>
    <w:p w14:paraId="56A6F97F"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lastRenderedPageBreak/>
        <w:t xml:space="preserve">23. </w:t>
      </w:r>
      <w:r w:rsidRPr="004027ED">
        <w:rPr>
          <w:rFonts w:ascii="Times New Roman" w:hAnsi="Times New Roman" w:cs="Times New Roman"/>
          <w:noProof/>
          <w:szCs w:val="24"/>
        </w:rPr>
        <w:tab/>
        <w:t xml:space="preserve">Dow RP, Reeves WC, Bellamy RE. Dispersal of female </w:t>
      </w:r>
      <w:r w:rsidRPr="00D57804">
        <w:rPr>
          <w:rFonts w:ascii="Times New Roman" w:hAnsi="Times New Roman" w:cs="Times New Roman"/>
          <w:i/>
          <w:iCs/>
          <w:noProof/>
          <w:szCs w:val="24"/>
        </w:rPr>
        <w:t>Culex tarsalis</w:t>
      </w:r>
      <w:r w:rsidRPr="004027ED">
        <w:rPr>
          <w:rFonts w:ascii="Times New Roman" w:hAnsi="Times New Roman" w:cs="Times New Roman"/>
          <w:noProof/>
          <w:szCs w:val="24"/>
        </w:rPr>
        <w:t xml:space="preserve"> into a larvicided area. Am J Trop Med Hyg. 1965;14(4):656–70. </w:t>
      </w:r>
    </w:p>
    <w:p w14:paraId="5EBE6CC7"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24. </w:t>
      </w:r>
      <w:r w:rsidRPr="004027ED">
        <w:rPr>
          <w:rFonts w:ascii="Times New Roman" w:hAnsi="Times New Roman" w:cs="Times New Roman"/>
          <w:noProof/>
          <w:szCs w:val="24"/>
        </w:rPr>
        <w:tab/>
        <w:t xml:space="preserve">Bailey SF, Eliason DA, Hoffmann BL. Flight and dispersal of mosquito </w:t>
      </w:r>
      <w:r w:rsidRPr="00D57804">
        <w:rPr>
          <w:rFonts w:ascii="Times New Roman" w:hAnsi="Times New Roman" w:cs="Times New Roman"/>
          <w:i/>
          <w:iCs/>
          <w:noProof/>
          <w:szCs w:val="24"/>
        </w:rPr>
        <w:t xml:space="preserve">Culex tarsalis </w:t>
      </w:r>
      <w:r w:rsidRPr="004027ED">
        <w:rPr>
          <w:rFonts w:ascii="Times New Roman" w:hAnsi="Times New Roman" w:cs="Times New Roman"/>
          <w:noProof/>
          <w:szCs w:val="24"/>
        </w:rPr>
        <w:t xml:space="preserve">Coquillett in Sacramento Valley of California. Hilgardia. 1965;37(3):73–113. </w:t>
      </w:r>
    </w:p>
    <w:p w14:paraId="4A6000DC"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szCs w:val="24"/>
        </w:rPr>
      </w:pPr>
      <w:r w:rsidRPr="004027ED">
        <w:rPr>
          <w:rFonts w:ascii="Times New Roman" w:hAnsi="Times New Roman" w:cs="Times New Roman"/>
          <w:noProof/>
          <w:szCs w:val="24"/>
        </w:rPr>
        <w:t xml:space="preserve">25. </w:t>
      </w:r>
      <w:r w:rsidRPr="004027ED">
        <w:rPr>
          <w:rFonts w:ascii="Times New Roman" w:hAnsi="Times New Roman" w:cs="Times New Roman"/>
          <w:noProof/>
          <w:szCs w:val="24"/>
        </w:rPr>
        <w:tab/>
        <w:t xml:space="preserve">Reisen WK, Milby MM, Meyer RP. Population dynamics of adult </w:t>
      </w:r>
      <w:r w:rsidRPr="00D57804">
        <w:rPr>
          <w:rFonts w:ascii="Times New Roman" w:hAnsi="Times New Roman" w:cs="Times New Roman"/>
          <w:i/>
          <w:iCs/>
          <w:noProof/>
          <w:szCs w:val="24"/>
        </w:rPr>
        <w:t>Culex</w:t>
      </w:r>
      <w:r w:rsidRPr="004027ED">
        <w:rPr>
          <w:rFonts w:ascii="Times New Roman" w:hAnsi="Times New Roman" w:cs="Times New Roman"/>
          <w:noProof/>
          <w:szCs w:val="24"/>
        </w:rPr>
        <w:t xml:space="preserve"> mosquitoes (Diptera: Culicidae) along the Kern River, Kern county, California, in 1990. J Med Ent. 1992;29(3):531–43. </w:t>
      </w:r>
    </w:p>
    <w:p w14:paraId="600DC758" w14:textId="77777777" w:rsidR="004027ED" w:rsidRPr="004027ED" w:rsidRDefault="004027ED" w:rsidP="004027ED">
      <w:pPr>
        <w:widowControl w:val="0"/>
        <w:autoSpaceDE w:val="0"/>
        <w:autoSpaceDN w:val="0"/>
        <w:adjustRightInd w:val="0"/>
        <w:spacing w:line="240" w:lineRule="auto"/>
        <w:ind w:left="640" w:hanging="640"/>
        <w:rPr>
          <w:rFonts w:ascii="Times New Roman" w:hAnsi="Times New Roman" w:cs="Times New Roman"/>
          <w:noProof/>
        </w:rPr>
      </w:pPr>
      <w:r w:rsidRPr="004027ED">
        <w:rPr>
          <w:rFonts w:ascii="Times New Roman" w:hAnsi="Times New Roman" w:cs="Times New Roman"/>
          <w:noProof/>
          <w:szCs w:val="24"/>
        </w:rPr>
        <w:t xml:space="preserve">26. </w:t>
      </w:r>
      <w:r w:rsidRPr="004027ED">
        <w:rPr>
          <w:rFonts w:ascii="Times New Roman" w:hAnsi="Times New Roman" w:cs="Times New Roman"/>
          <w:noProof/>
          <w:szCs w:val="24"/>
        </w:rPr>
        <w:tab/>
        <w:t xml:space="preserve">Barker CM, Bolling BG, Moore CG, Eisen L. Relationship between distance from major larval habitats and abundance of adult mosquitoes in semiarid plains landscapes in Colorado. J Med Entomol. 2009;46(6):1290–8. </w:t>
      </w:r>
    </w:p>
    <w:p w14:paraId="1F858707" w14:textId="77777777" w:rsidR="005E355C" w:rsidRDefault="00E13DC2">
      <w:r w:rsidRPr="00DD2A58">
        <w:rPr>
          <w:rFonts w:ascii="Times New Roman" w:hAnsi="Times New Roman" w:cs="Times New Roman"/>
        </w:rPr>
        <w:fldChar w:fldCharType="end"/>
      </w:r>
    </w:p>
    <w:sectPr w:rsidR="005E3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42892"/>
    <w:multiLevelType w:val="hybridMultilevel"/>
    <w:tmpl w:val="FAB44D1E"/>
    <w:lvl w:ilvl="0" w:tplc="8A86A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24462"/>
    <w:multiLevelType w:val="hybridMultilevel"/>
    <w:tmpl w:val="6F603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54E0D"/>
    <w:multiLevelType w:val="hybridMultilevel"/>
    <w:tmpl w:val="D384FF4A"/>
    <w:lvl w:ilvl="0" w:tplc="7F30DD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341830">
    <w:abstractNumId w:val="0"/>
  </w:num>
  <w:num w:numId="2" w16cid:durableId="218591409">
    <w:abstractNumId w:val="1"/>
  </w:num>
  <w:num w:numId="3" w16cid:durableId="84679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C2"/>
    <w:rsid w:val="00006405"/>
    <w:rsid w:val="000453CF"/>
    <w:rsid w:val="00050500"/>
    <w:rsid w:val="000519B4"/>
    <w:rsid w:val="0005678B"/>
    <w:rsid w:val="00063D93"/>
    <w:rsid w:val="00074383"/>
    <w:rsid w:val="00074A15"/>
    <w:rsid w:val="0009200A"/>
    <w:rsid w:val="00093867"/>
    <w:rsid w:val="000A5412"/>
    <w:rsid w:val="000B7728"/>
    <w:rsid w:val="000B7B6A"/>
    <w:rsid w:val="000D76E7"/>
    <w:rsid w:val="000F05A7"/>
    <w:rsid w:val="000F43E0"/>
    <w:rsid w:val="00101184"/>
    <w:rsid w:val="00107CC7"/>
    <w:rsid w:val="00120B00"/>
    <w:rsid w:val="0013409A"/>
    <w:rsid w:val="001469D5"/>
    <w:rsid w:val="00160343"/>
    <w:rsid w:val="00160F21"/>
    <w:rsid w:val="001814C0"/>
    <w:rsid w:val="001A43DA"/>
    <w:rsid w:val="001B0B25"/>
    <w:rsid w:val="001B1CF4"/>
    <w:rsid w:val="001B40B1"/>
    <w:rsid w:val="001C00B5"/>
    <w:rsid w:val="001C279E"/>
    <w:rsid w:val="001C7365"/>
    <w:rsid w:val="001D3203"/>
    <w:rsid w:val="001D3E79"/>
    <w:rsid w:val="001D48BA"/>
    <w:rsid w:val="001E1273"/>
    <w:rsid w:val="001E1A30"/>
    <w:rsid w:val="001F2627"/>
    <w:rsid w:val="00212F89"/>
    <w:rsid w:val="002161CC"/>
    <w:rsid w:val="00216EB6"/>
    <w:rsid w:val="002208DD"/>
    <w:rsid w:val="00220F02"/>
    <w:rsid w:val="00234C9A"/>
    <w:rsid w:val="002362B7"/>
    <w:rsid w:val="00247171"/>
    <w:rsid w:val="0025501C"/>
    <w:rsid w:val="00265D76"/>
    <w:rsid w:val="00266AB9"/>
    <w:rsid w:val="002715FA"/>
    <w:rsid w:val="002A7CA0"/>
    <w:rsid w:val="002B6965"/>
    <w:rsid w:val="002C0A84"/>
    <w:rsid w:val="002C7299"/>
    <w:rsid w:val="003048F5"/>
    <w:rsid w:val="003155DD"/>
    <w:rsid w:val="00322E82"/>
    <w:rsid w:val="003308CA"/>
    <w:rsid w:val="00350136"/>
    <w:rsid w:val="00355D44"/>
    <w:rsid w:val="00357D07"/>
    <w:rsid w:val="003613D6"/>
    <w:rsid w:val="003622E5"/>
    <w:rsid w:val="00363F91"/>
    <w:rsid w:val="00370CC9"/>
    <w:rsid w:val="00372F2C"/>
    <w:rsid w:val="00373926"/>
    <w:rsid w:val="003823AE"/>
    <w:rsid w:val="0038634C"/>
    <w:rsid w:val="003910B9"/>
    <w:rsid w:val="003935EA"/>
    <w:rsid w:val="00396E4F"/>
    <w:rsid w:val="003977FC"/>
    <w:rsid w:val="003A2E30"/>
    <w:rsid w:val="003A4EF3"/>
    <w:rsid w:val="003A59F2"/>
    <w:rsid w:val="003B15AC"/>
    <w:rsid w:val="003B2215"/>
    <w:rsid w:val="003C1408"/>
    <w:rsid w:val="003C7A51"/>
    <w:rsid w:val="003D3056"/>
    <w:rsid w:val="003D751E"/>
    <w:rsid w:val="003E124F"/>
    <w:rsid w:val="003E74BD"/>
    <w:rsid w:val="003E74C5"/>
    <w:rsid w:val="004027ED"/>
    <w:rsid w:val="0040350D"/>
    <w:rsid w:val="00421647"/>
    <w:rsid w:val="00423B7C"/>
    <w:rsid w:val="00441BC2"/>
    <w:rsid w:val="004647AD"/>
    <w:rsid w:val="00464DD5"/>
    <w:rsid w:val="00472B75"/>
    <w:rsid w:val="0047510E"/>
    <w:rsid w:val="00480ECE"/>
    <w:rsid w:val="00481B17"/>
    <w:rsid w:val="004A74D5"/>
    <w:rsid w:val="004B7351"/>
    <w:rsid w:val="004C2B1E"/>
    <w:rsid w:val="004C6E2C"/>
    <w:rsid w:val="004D30DC"/>
    <w:rsid w:val="004D5624"/>
    <w:rsid w:val="004D59FE"/>
    <w:rsid w:val="004D72EC"/>
    <w:rsid w:val="004D7E8C"/>
    <w:rsid w:val="004E4F12"/>
    <w:rsid w:val="004E7457"/>
    <w:rsid w:val="004F0389"/>
    <w:rsid w:val="004F0B93"/>
    <w:rsid w:val="004F4225"/>
    <w:rsid w:val="0050031D"/>
    <w:rsid w:val="0050493E"/>
    <w:rsid w:val="00505CBB"/>
    <w:rsid w:val="0051425E"/>
    <w:rsid w:val="00521EF0"/>
    <w:rsid w:val="005229D0"/>
    <w:rsid w:val="00547744"/>
    <w:rsid w:val="00551523"/>
    <w:rsid w:val="005658D8"/>
    <w:rsid w:val="0056591F"/>
    <w:rsid w:val="005811D8"/>
    <w:rsid w:val="0058177F"/>
    <w:rsid w:val="0058348A"/>
    <w:rsid w:val="005876BD"/>
    <w:rsid w:val="005A5E19"/>
    <w:rsid w:val="005B20B8"/>
    <w:rsid w:val="005C1429"/>
    <w:rsid w:val="005C49E8"/>
    <w:rsid w:val="005CC310"/>
    <w:rsid w:val="005E15DB"/>
    <w:rsid w:val="005E355C"/>
    <w:rsid w:val="005E3650"/>
    <w:rsid w:val="005E6A0E"/>
    <w:rsid w:val="005F66E5"/>
    <w:rsid w:val="00601F24"/>
    <w:rsid w:val="006076E4"/>
    <w:rsid w:val="006258C2"/>
    <w:rsid w:val="006316DF"/>
    <w:rsid w:val="00631869"/>
    <w:rsid w:val="00647E79"/>
    <w:rsid w:val="00655D98"/>
    <w:rsid w:val="0066417F"/>
    <w:rsid w:val="00666CB5"/>
    <w:rsid w:val="006A0B18"/>
    <w:rsid w:val="006C001B"/>
    <w:rsid w:val="006C7B9F"/>
    <w:rsid w:val="006D33BC"/>
    <w:rsid w:val="006F5C85"/>
    <w:rsid w:val="00723F7C"/>
    <w:rsid w:val="00741035"/>
    <w:rsid w:val="00741123"/>
    <w:rsid w:val="007600E2"/>
    <w:rsid w:val="00767879"/>
    <w:rsid w:val="00770F3F"/>
    <w:rsid w:val="00777F73"/>
    <w:rsid w:val="00786971"/>
    <w:rsid w:val="00790D4C"/>
    <w:rsid w:val="007D097B"/>
    <w:rsid w:val="007D7010"/>
    <w:rsid w:val="007E0373"/>
    <w:rsid w:val="007E1A26"/>
    <w:rsid w:val="007E4E8C"/>
    <w:rsid w:val="007E7FA9"/>
    <w:rsid w:val="007F4117"/>
    <w:rsid w:val="00803483"/>
    <w:rsid w:val="00813FCE"/>
    <w:rsid w:val="00816163"/>
    <w:rsid w:val="00817F5D"/>
    <w:rsid w:val="00820BBC"/>
    <w:rsid w:val="008255D9"/>
    <w:rsid w:val="00837957"/>
    <w:rsid w:val="00850CB6"/>
    <w:rsid w:val="008528E2"/>
    <w:rsid w:val="00853C1E"/>
    <w:rsid w:val="00864B31"/>
    <w:rsid w:val="00865B59"/>
    <w:rsid w:val="008779FC"/>
    <w:rsid w:val="00881002"/>
    <w:rsid w:val="008918CF"/>
    <w:rsid w:val="008A0B7A"/>
    <w:rsid w:val="008B57F3"/>
    <w:rsid w:val="008C07A5"/>
    <w:rsid w:val="008D0536"/>
    <w:rsid w:val="008D7814"/>
    <w:rsid w:val="00901B0D"/>
    <w:rsid w:val="00904086"/>
    <w:rsid w:val="009074D5"/>
    <w:rsid w:val="009336D6"/>
    <w:rsid w:val="00947A9F"/>
    <w:rsid w:val="00955943"/>
    <w:rsid w:val="009628ED"/>
    <w:rsid w:val="0096574E"/>
    <w:rsid w:val="00972EF6"/>
    <w:rsid w:val="00973791"/>
    <w:rsid w:val="00994B1E"/>
    <w:rsid w:val="009A61A6"/>
    <w:rsid w:val="009B6621"/>
    <w:rsid w:val="009D3E57"/>
    <w:rsid w:val="009D781E"/>
    <w:rsid w:val="009E5CA4"/>
    <w:rsid w:val="009E5E6D"/>
    <w:rsid w:val="009F04CA"/>
    <w:rsid w:val="009F366D"/>
    <w:rsid w:val="00A028BC"/>
    <w:rsid w:val="00A16BA8"/>
    <w:rsid w:val="00A2160A"/>
    <w:rsid w:val="00A32210"/>
    <w:rsid w:val="00A5317B"/>
    <w:rsid w:val="00A546F5"/>
    <w:rsid w:val="00A54D77"/>
    <w:rsid w:val="00A54F5F"/>
    <w:rsid w:val="00A607BA"/>
    <w:rsid w:val="00A85CCA"/>
    <w:rsid w:val="00AA7637"/>
    <w:rsid w:val="00AB1C05"/>
    <w:rsid w:val="00AB30B8"/>
    <w:rsid w:val="00AB34A8"/>
    <w:rsid w:val="00AB4DA3"/>
    <w:rsid w:val="00AC2D4F"/>
    <w:rsid w:val="00AE1A03"/>
    <w:rsid w:val="00AF5E25"/>
    <w:rsid w:val="00AF5E7D"/>
    <w:rsid w:val="00B15596"/>
    <w:rsid w:val="00B21FCA"/>
    <w:rsid w:val="00B36599"/>
    <w:rsid w:val="00B446C9"/>
    <w:rsid w:val="00B45735"/>
    <w:rsid w:val="00B45DA5"/>
    <w:rsid w:val="00B46F32"/>
    <w:rsid w:val="00B603BA"/>
    <w:rsid w:val="00B60CF0"/>
    <w:rsid w:val="00B662BD"/>
    <w:rsid w:val="00B67F01"/>
    <w:rsid w:val="00B80029"/>
    <w:rsid w:val="00B84BEB"/>
    <w:rsid w:val="00BA2D14"/>
    <w:rsid w:val="00BA2EEB"/>
    <w:rsid w:val="00BA47DB"/>
    <w:rsid w:val="00BB1B1F"/>
    <w:rsid w:val="00BD33D3"/>
    <w:rsid w:val="00BD4336"/>
    <w:rsid w:val="00BE5A67"/>
    <w:rsid w:val="00C03727"/>
    <w:rsid w:val="00C06606"/>
    <w:rsid w:val="00C12DD6"/>
    <w:rsid w:val="00C23945"/>
    <w:rsid w:val="00C27ABA"/>
    <w:rsid w:val="00C27FE4"/>
    <w:rsid w:val="00C35C6E"/>
    <w:rsid w:val="00C62530"/>
    <w:rsid w:val="00C70669"/>
    <w:rsid w:val="00C802AB"/>
    <w:rsid w:val="00C844AF"/>
    <w:rsid w:val="00C8766C"/>
    <w:rsid w:val="00C950C4"/>
    <w:rsid w:val="00CA1D3C"/>
    <w:rsid w:val="00CA2763"/>
    <w:rsid w:val="00CC311C"/>
    <w:rsid w:val="00CD1567"/>
    <w:rsid w:val="00CD1AB7"/>
    <w:rsid w:val="00CD5474"/>
    <w:rsid w:val="00CE1442"/>
    <w:rsid w:val="00CE2546"/>
    <w:rsid w:val="00CE7AF9"/>
    <w:rsid w:val="00CE7F7D"/>
    <w:rsid w:val="00CF75D5"/>
    <w:rsid w:val="00D04BB0"/>
    <w:rsid w:val="00D12821"/>
    <w:rsid w:val="00D17AA6"/>
    <w:rsid w:val="00D2110C"/>
    <w:rsid w:val="00D27E76"/>
    <w:rsid w:val="00D31820"/>
    <w:rsid w:val="00D36838"/>
    <w:rsid w:val="00D460C7"/>
    <w:rsid w:val="00D468DB"/>
    <w:rsid w:val="00D47C0D"/>
    <w:rsid w:val="00D54656"/>
    <w:rsid w:val="00D57804"/>
    <w:rsid w:val="00D67D69"/>
    <w:rsid w:val="00D74043"/>
    <w:rsid w:val="00D765C7"/>
    <w:rsid w:val="00D86E56"/>
    <w:rsid w:val="00D87829"/>
    <w:rsid w:val="00D90512"/>
    <w:rsid w:val="00D948B3"/>
    <w:rsid w:val="00DA104C"/>
    <w:rsid w:val="00DA4575"/>
    <w:rsid w:val="00DA4C4F"/>
    <w:rsid w:val="00DA5EA5"/>
    <w:rsid w:val="00DB2984"/>
    <w:rsid w:val="00DC0E62"/>
    <w:rsid w:val="00DC14A1"/>
    <w:rsid w:val="00DC5673"/>
    <w:rsid w:val="00DD2A58"/>
    <w:rsid w:val="00DD2E98"/>
    <w:rsid w:val="00DE0436"/>
    <w:rsid w:val="00DE3ED3"/>
    <w:rsid w:val="00DE4BB4"/>
    <w:rsid w:val="00DE5564"/>
    <w:rsid w:val="00DE775A"/>
    <w:rsid w:val="00DF17E1"/>
    <w:rsid w:val="00DF1AEF"/>
    <w:rsid w:val="00E02A95"/>
    <w:rsid w:val="00E04E3F"/>
    <w:rsid w:val="00E069F9"/>
    <w:rsid w:val="00E0F532"/>
    <w:rsid w:val="00E12CD7"/>
    <w:rsid w:val="00E13DC2"/>
    <w:rsid w:val="00E15F4C"/>
    <w:rsid w:val="00E17DF5"/>
    <w:rsid w:val="00E2401C"/>
    <w:rsid w:val="00E30173"/>
    <w:rsid w:val="00E323F7"/>
    <w:rsid w:val="00E3714F"/>
    <w:rsid w:val="00E47DFF"/>
    <w:rsid w:val="00E54DAA"/>
    <w:rsid w:val="00E568AF"/>
    <w:rsid w:val="00E6281D"/>
    <w:rsid w:val="00E72421"/>
    <w:rsid w:val="00E73A50"/>
    <w:rsid w:val="00E80CCB"/>
    <w:rsid w:val="00E81D03"/>
    <w:rsid w:val="00E8559F"/>
    <w:rsid w:val="00E875BC"/>
    <w:rsid w:val="00E90FC7"/>
    <w:rsid w:val="00E91247"/>
    <w:rsid w:val="00E977E2"/>
    <w:rsid w:val="00EA1883"/>
    <w:rsid w:val="00EB27FE"/>
    <w:rsid w:val="00EB7B3C"/>
    <w:rsid w:val="00EE709A"/>
    <w:rsid w:val="00F106C1"/>
    <w:rsid w:val="00F167A8"/>
    <w:rsid w:val="00F258BB"/>
    <w:rsid w:val="00F325D1"/>
    <w:rsid w:val="00F555E0"/>
    <w:rsid w:val="00F6450A"/>
    <w:rsid w:val="00F77F18"/>
    <w:rsid w:val="00FA1272"/>
    <w:rsid w:val="00FA3EA8"/>
    <w:rsid w:val="00FB0CCF"/>
    <w:rsid w:val="00FD52AB"/>
    <w:rsid w:val="00FD5543"/>
    <w:rsid w:val="00FE1145"/>
    <w:rsid w:val="00FE2240"/>
    <w:rsid w:val="00FF1783"/>
    <w:rsid w:val="00FF4C0F"/>
    <w:rsid w:val="03A88690"/>
    <w:rsid w:val="03BA2BDD"/>
    <w:rsid w:val="03BEF46A"/>
    <w:rsid w:val="05A3B408"/>
    <w:rsid w:val="05E8DADC"/>
    <w:rsid w:val="06C66258"/>
    <w:rsid w:val="06E7E6DB"/>
    <w:rsid w:val="07724BEC"/>
    <w:rsid w:val="0881D928"/>
    <w:rsid w:val="09C24E55"/>
    <w:rsid w:val="0A9C3668"/>
    <w:rsid w:val="0AB0FD5F"/>
    <w:rsid w:val="0AB54921"/>
    <w:rsid w:val="0B2B76E7"/>
    <w:rsid w:val="0B5B663F"/>
    <w:rsid w:val="0B7C9424"/>
    <w:rsid w:val="0B960F4C"/>
    <w:rsid w:val="0CCA2F93"/>
    <w:rsid w:val="0D8DF73D"/>
    <w:rsid w:val="0DB9C02E"/>
    <w:rsid w:val="0EA71C71"/>
    <w:rsid w:val="0F2D5477"/>
    <w:rsid w:val="107F8688"/>
    <w:rsid w:val="10EF1F81"/>
    <w:rsid w:val="11AC2508"/>
    <w:rsid w:val="124BD3C9"/>
    <w:rsid w:val="12EBCEF1"/>
    <w:rsid w:val="13769037"/>
    <w:rsid w:val="13A0D4B4"/>
    <w:rsid w:val="14629920"/>
    <w:rsid w:val="1468DC8E"/>
    <w:rsid w:val="147F29F0"/>
    <w:rsid w:val="14C4BB62"/>
    <w:rsid w:val="15065F28"/>
    <w:rsid w:val="165841DE"/>
    <w:rsid w:val="17A5D944"/>
    <w:rsid w:val="17DB3643"/>
    <w:rsid w:val="183BE75E"/>
    <w:rsid w:val="18A068E9"/>
    <w:rsid w:val="18A48F17"/>
    <w:rsid w:val="19FBC8D0"/>
    <w:rsid w:val="1AEFB612"/>
    <w:rsid w:val="1BBF2B3A"/>
    <w:rsid w:val="1BD7900B"/>
    <w:rsid w:val="1C45EBA6"/>
    <w:rsid w:val="1DA149DC"/>
    <w:rsid w:val="1FD47487"/>
    <w:rsid w:val="20EADFB3"/>
    <w:rsid w:val="210A5077"/>
    <w:rsid w:val="218E8299"/>
    <w:rsid w:val="22AC6ACF"/>
    <w:rsid w:val="22EFED62"/>
    <w:rsid w:val="2401D640"/>
    <w:rsid w:val="24282376"/>
    <w:rsid w:val="248C1262"/>
    <w:rsid w:val="2636BE8B"/>
    <w:rsid w:val="2657FABD"/>
    <w:rsid w:val="2929A2AF"/>
    <w:rsid w:val="29939098"/>
    <w:rsid w:val="2C2E223D"/>
    <w:rsid w:val="2D79212E"/>
    <w:rsid w:val="2DBFF7E5"/>
    <w:rsid w:val="2EADBD87"/>
    <w:rsid w:val="2F7A29DD"/>
    <w:rsid w:val="30B87332"/>
    <w:rsid w:val="30DE5B44"/>
    <w:rsid w:val="31453ACA"/>
    <w:rsid w:val="314C6783"/>
    <w:rsid w:val="3154D85E"/>
    <w:rsid w:val="327CC6AB"/>
    <w:rsid w:val="348C7920"/>
    <w:rsid w:val="34D74C40"/>
    <w:rsid w:val="35BB4DBA"/>
    <w:rsid w:val="35C4767E"/>
    <w:rsid w:val="360ED1C9"/>
    <w:rsid w:val="36C5A0A5"/>
    <w:rsid w:val="377FDD75"/>
    <w:rsid w:val="3A6F0768"/>
    <w:rsid w:val="3B2EC51D"/>
    <w:rsid w:val="3C008FF4"/>
    <w:rsid w:val="3E537F40"/>
    <w:rsid w:val="3ED30965"/>
    <w:rsid w:val="3FEBB6C7"/>
    <w:rsid w:val="4003EDE9"/>
    <w:rsid w:val="4151A92E"/>
    <w:rsid w:val="41AC87AC"/>
    <w:rsid w:val="41CC64B2"/>
    <w:rsid w:val="41DD31E9"/>
    <w:rsid w:val="434B9FF4"/>
    <w:rsid w:val="43918C22"/>
    <w:rsid w:val="43CC2A4B"/>
    <w:rsid w:val="45563E98"/>
    <w:rsid w:val="45D7074F"/>
    <w:rsid w:val="461BA086"/>
    <w:rsid w:val="47202B08"/>
    <w:rsid w:val="4799A7B9"/>
    <w:rsid w:val="47E41B04"/>
    <w:rsid w:val="47EFD566"/>
    <w:rsid w:val="496634A7"/>
    <w:rsid w:val="4A90EB95"/>
    <w:rsid w:val="4B98798D"/>
    <w:rsid w:val="4C435D3A"/>
    <w:rsid w:val="4C6090A4"/>
    <w:rsid w:val="4D6EBCA7"/>
    <w:rsid w:val="4E6A8A38"/>
    <w:rsid w:val="4F1872B5"/>
    <w:rsid w:val="4F37FA81"/>
    <w:rsid w:val="50B00565"/>
    <w:rsid w:val="516EFF9A"/>
    <w:rsid w:val="51DFB828"/>
    <w:rsid w:val="5241DA6A"/>
    <w:rsid w:val="52597E0D"/>
    <w:rsid w:val="52AEC520"/>
    <w:rsid w:val="539A2A42"/>
    <w:rsid w:val="542A05CF"/>
    <w:rsid w:val="55301DD9"/>
    <w:rsid w:val="5579E392"/>
    <w:rsid w:val="56FA74A4"/>
    <w:rsid w:val="593D816A"/>
    <w:rsid w:val="5B1A88F5"/>
    <w:rsid w:val="5CD2ED3F"/>
    <w:rsid w:val="5D78C5A5"/>
    <w:rsid w:val="5DBEC2AC"/>
    <w:rsid w:val="5DC23B6C"/>
    <w:rsid w:val="5DF73A28"/>
    <w:rsid w:val="5E60AD67"/>
    <w:rsid w:val="5F468DEF"/>
    <w:rsid w:val="6023A0F7"/>
    <w:rsid w:val="6231485F"/>
    <w:rsid w:val="62858526"/>
    <w:rsid w:val="641DBCAD"/>
    <w:rsid w:val="64BD7C7B"/>
    <w:rsid w:val="656239CB"/>
    <w:rsid w:val="658DFA18"/>
    <w:rsid w:val="65ACB120"/>
    <w:rsid w:val="65C9D491"/>
    <w:rsid w:val="676DB29C"/>
    <w:rsid w:val="67BA611D"/>
    <w:rsid w:val="67CE87E0"/>
    <w:rsid w:val="68CFE4FF"/>
    <w:rsid w:val="69A242B4"/>
    <w:rsid w:val="6B994D1B"/>
    <w:rsid w:val="6CCDB3A4"/>
    <w:rsid w:val="6CD9E376"/>
    <w:rsid w:val="6D326F24"/>
    <w:rsid w:val="6D8CCC43"/>
    <w:rsid w:val="6E698405"/>
    <w:rsid w:val="6F14BBD4"/>
    <w:rsid w:val="6F4313EB"/>
    <w:rsid w:val="6FA69EC2"/>
    <w:rsid w:val="709EED90"/>
    <w:rsid w:val="709EEF6B"/>
    <w:rsid w:val="72258D09"/>
    <w:rsid w:val="725D4F8D"/>
    <w:rsid w:val="72CD8F5C"/>
    <w:rsid w:val="734C3A7D"/>
    <w:rsid w:val="7445587A"/>
    <w:rsid w:val="75FAB4B8"/>
    <w:rsid w:val="76B38F9E"/>
    <w:rsid w:val="787D5691"/>
    <w:rsid w:val="78CB49F8"/>
    <w:rsid w:val="79075C94"/>
    <w:rsid w:val="79AFE2D8"/>
    <w:rsid w:val="7A48733F"/>
    <w:rsid w:val="7B2EDEB0"/>
    <w:rsid w:val="7B6B4C6C"/>
    <w:rsid w:val="7B8BCF0C"/>
    <w:rsid w:val="7BAC3D31"/>
    <w:rsid w:val="7CCAAF11"/>
    <w:rsid w:val="7D3D787C"/>
    <w:rsid w:val="7D6C2A2D"/>
    <w:rsid w:val="7DE4198E"/>
    <w:rsid w:val="7F759FCA"/>
    <w:rsid w:val="7FF78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1780"/>
  <w15:chartTrackingRefBased/>
  <w15:docId w15:val="{C8DA2E2B-CCFD-4A77-B441-6B0DB0CB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DC2"/>
    <w:pPr>
      <w:ind w:left="720"/>
      <w:contextualSpacing/>
    </w:pPr>
  </w:style>
  <w:style w:type="character" w:styleId="CommentReference">
    <w:name w:val="annotation reference"/>
    <w:basedOn w:val="DefaultParagraphFont"/>
    <w:uiPriority w:val="99"/>
    <w:semiHidden/>
    <w:unhideWhenUsed/>
    <w:rsid w:val="00E13DC2"/>
    <w:rPr>
      <w:sz w:val="16"/>
      <w:szCs w:val="16"/>
    </w:rPr>
  </w:style>
  <w:style w:type="paragraph" w:styleId="CommentText">
    <w:name w:val="annotation text"/>
    <w:basedOn w:val="Normal"/>
    <w:link w:val="CommentTextChar"/>
    <w:uiPriority w:val="99"/>
    <w:unhideWhenUsed/>
    <w:rsid w:val="00E13DC2"/>
    <w:pPr>
      <w:spacing w:line="240" w:lineRule="auto"/>
    </w:pPr>
    <w:rPr>
      <w:sz w:val="20"/>
      <w:szCs w:val="20"/>
    </w:rPr>
  </w:style>
  <w:style w:type="character" w:customStyle="1" w:styleId="CommentTextChar">
    <w:name w:val="Comment Text Char"/>
    <w:basedOn w:val="DefaultParagraphFont"/>
    <w:link w:val="CommentText"/>
    <w:uiPriority w:val="99"/>
    <w:rsid w:val="00E13DC2"/>
    <w:rPr>
      <w:sz w:val="20"/>
      <w:szCs w:val="20"/>
    </w:rPr>
  </w:style>
  <w:style w:type="paragraph" w:styleId="CommentSubject">
    <w:name w:val="annotation subject"/>
    <w:basedOn w:val="CommentText"/>
    <w:next w:val="CommentText"/>
    <w:link w:val="CommentSubjectChar"/>
    <w:uiPriority w:val="99"/>
    <w:semiHidden/>
    <w:unhideWhenUsed/>
    <w:rsid w:val="00E13DC2"/>
    <w:rPr>
      <w:b/>
      <w:bCs/>
    </w:rPr>
  </w:style>
  <w:style w:type="character" w:customStyle="1" w:styleId="CommentSubjectChar">
    <w:name w:val="Comment Subject Char"/>
    <w:basedOn w:val="CommentTextChar"/>
    <w:link w:val="CommentSubject"/>
    <w:uiPriority w:val="99"/>
    <w:semiHidden/>
    <w:rsid w:val="00E13DC2"/>
    <w:rPr>
      <w:b/>
      <w:bCs/>
      <w:sz w:val="20"/>
      <w:szCs w:val="20"/>
    </w:rPr>
  </w:style>
  <w:style w:type="paragraph" w:styleId="BalloonText">
    <w:name w:val="Balloon Text"/>
    <w:basedOn w:val="Normal"/>
    <w:link w:val="BalloonTextChar"/>
    <w:uiPriority w:val="99"/>
    <w:semiHidden/>
    <w:unhideWhenUsed/>
    <w:rsid w:val="00E13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C2"/>
    <w:rPr>
      <w:rFonts w:ascii="Segoe UI" w:hAnsi="Segoe UI" w:cs="Segoe UI"/>
      <w:sz w:val="18"/>
      <w:szCs w:val="18"/>
    </w:rPr>
  </w:style>
  <w:style w:type="character" w:styleId="PlaceholderText">
    <w:name w:val="Placeholder Text"/>
    <w:basedOn w:val="DefaultParagraphFont"/>
    <w:uiPriority w:val="99"/>
    <w:semiHidden/>
    <w:rsid w:val="00E13DC2"/>
    <w:rPr>
      <w:color w:val="808080"/>
    </w:rPr>
  </w:style>
  <w:style w:type="paragraph" w:styleId="HTMLPreformatted">
    <w:name w:val="HTML Preformatted"/>
    <w:basedOn w:val="Normal"/>
    <w:link w:val="HTMLPreformattedChar"/>
    <w:uiPriority w:val="99"/>
    <w:unhideWhenUsed/>
    <w:rsid w:val="00E1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3DC2"/>
    <w:rPr>
      <w:rFonts w:ascii="Courier New" w:eastAsia="Times New Roman" w:hAnsi="Courier New" w:cs="Courier New"/>
      <w:sz w:val="20"/>
      <w:szCs w:val="20"/>
    </w:rPr>
  </w:style>
  <w:style w:type="character" w:customStyle="1" w:styleId="gnkrckgcgsb">
    <w:name w:val="gnkrckgcgsb"/>
    <w:basedOn w:val="DefaultParagraphFont"/>
    <w:rsid w:val="00E13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3468C5C31F9439C58D27FEC256D25" ma:contentTypeVersion="9" ma:contentTypeDescription="Create a new document." ma:contentTypeScope="" ma:versionID="b73234e69cbd021eff4330ab6ceb160b">
  <xsd:schema xmlns:xsd="http://www.w3.org/2001/XMLSchema" xmlns:xs="http://www.w3.org/2001/XMLSchema" xmlns:p="http://schemas.microsoft.com/office/2006/metadata/properties" xmlns:ns2="25a5a250-82e3-4474-8a9a-cc3b323144cc" targetNamespace="http://schemas.microsoft.com/office/2006/metadata/properties" ma:root="true" ma:fieldsID="da86fc51dfd4dfadc3863508e161f16d" ns2:_="">
    <xsd:import namespace="25a5a250-82e3-4474-8a9a-cc3b32314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a250-82e3-4474-8a9a-cc3b32314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DB719-3DE9-46A0-B701-B257428332BF}">
  <ds:schemaRefs>
    <ds:schemaRef ds:uri="http://schemas.microsoft.com/sharepoint/v3/contenttype/forms"/>
  </ds:schemaRefs>
</ds:datastoreItem>
</file>

<file path=customXml/itemProps2.xml><?xml version="1.0" encoding="utf-8"?>
<ds:datastoreItem xmlns:ds="http://schemas.openxmlformats.org/officeDocument/2006/customXml" ds:itemID="{D5CD5306-94CE-4591-BA69-339EBD7D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a250-82e3-4474-8a9a-cc3b32314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1E01-65CF-4849-B9E3-3B17CC671173}">
  <ds:schemaRefs>
    <ds:schemaRef ds:uri="http://schemas.openxmlformats.org/officeDocument/2006/bibliography"/>
  </ds:schemaRefs>
</ds:datastoreItem>
</file>

<file path=customXml/itemProps4.xml><?xml version="1.0" encoding="utf-8"?>
<ds:datastoreItem xmlns:ds="http://schemas.openxmlformats.org/officeDocument/2006/customXml" ds:itemID="{4F7FC8EB-C8CD-45FF-AD4F-34A239A50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15526</Words>
  <Characters>88502</Characters>
  <Application>Microsoft Office Word</Application>
  <DocSecurity>0</DocSecurity>
  <Lines>737</Lines>
  <Paragraphs>207</Paragraphs>
  <ScaleCrop>false</ScaleCrop>
  <Company/>
  <LinksUpToDate>false</LinksUpToDate>
  <CharactersWithSpaces>103821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Holcomb, Karen (CDC/DDID/NCEZID/DVBD)</cp:lastModifiedBy>
  <cp:revision>3</cp:revision>
  <dcterms:created xsi:type="dcterms:W3CDTF">2022-04-22T04:07:00Z</dcterms:created>
  <dcterms:modified xsi:type="dcterms:W3CDTF">2023-04-14T00:27:00Z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8aa710fd-1129-3741-b364-e0e878bf81c9</vt:lpwstr>
  </property>
  <property fmtid="{D5CDD505-2E9C-101B-9397-08002B2CF9AE}" pid="4" name="Mendeley Citation Style_1">
    <vt:lpwstr>http://csl.mendeley.com/styles/534302561/vancouver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http://www.zotero.org/styles/council-of-science-editors-author-date</vt:lpwstr>
  </property>
  <property fmtid="{D5CDD505-2E9C-101B-9397-08002B2CF9AE}" pid="16" name="Mendeley Recent Style Name 5_1">
    <vt:lpwstr>Council of Science Editors, Name-Year (author-date)</vt:lpwstr>
  </property>
  <property fmtid="{D5CDD505-2E9C-101B-9397-08002B2CF9AE}" pid="17" name="Mendeley Recent Style Id 6_1">
    <vt:lpwstr>http://csl.mendeley.com/styles/534302561/council-of-science-editors-author-date</vt:lpwstr>
  </property>
  <property fmtid="{D5CDD505-2E9C-101B-9397-08002B2CF9AE}" pid="18" name="Mendeley Recent Style Name 6_1">
    <vt:lpwstr>Council of Science Editors, Name-Year (author-date) - JAMCA</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http://www.zotero.org/styles/journal-of-medical-entomology</vt:lpwstr>
  </property>
  <property fmtid="{D5CDD505-2E9C-101B-9397-08002B2CF9AE}" pid="22" name="Mendeley Recent Style Name 8_1">
    <vt:lpwstr>Journal of Medical Entomology</vt:lpwstr>
  </property>
  <property fmtid="{D5CDD505-2E9C-101B-9397-08002B2CF9AE}" pid="23" name="Mendeley Recent Style Id 9_1">
    <vt:lpwstr>http://csl.mendeley.com/styles/534302561/vancouver</vt:lpwstr>
  </property>
  <property fmtid="{D5CDD505-2E9C-101B-9397-08002B2CF9AE}" pid="24" name="Mendeley Recent Style Name 9_1">
    <vt:lpwstr>Vancouver - Karen Holcomb</vt:lpwstr>
  </property>
  <property fmtid="{D5CDD505-2E9C-101B-9397-08002B2CF9AE}" pid="25" name="ContentTypeId">
    <vt:lpwstr>0x0101004AD3468C5C31F9439C58D27FEC256D25</vt:lpwstr>
  </property>
  <property fmtid="{D5CDD505-2E9C-101B-9397-08002B2CF9AE}" pid="26" name="MSIP_Label_7b94a7b8-f06c-4dfe-bdcc-9b548fd58c31_Enabled">
    <vt:lpwstr>true</vt:lpwstr>
  </property>
  <property fmtid="{D5CDD505-2E9C-101B-9397-08002B2CF9AE}" pid="27" name="MSIP_Label_7b94a7b8-f06c-4dfe-bdcc-9b548fd58c31_SetDate">
    <vt:lpwstr>2023-04-14T00:26:52Z</vt:lpwstr>
  </property>
  <property fmtid="{D5CDD505-2E9C-101B-9397-08002B2CF9AE}" pid="28" name="MSIP_Label_7b94a7b8-f06c-4dfe-bdcc-9b548fd58c31_Method">
    <vt:lpwstr>Privileged</vt:lpwstr>
  </property>
  <property fmtid="{D5CDD505-2E9C-101B-9397-08002B2CF9AE}" pid="29" name="MSIP_Label_7b94a7b8-f06c-4dfe-bdcc-9b548fd58c31_Name">
    <vt:lpwstr>7b94a7b8-f06c-4dfe-bdcc-9b548fd58c31</vt:lpwstr>
  </property>
  <property fmtid="{D5CDD505-2E9C-101B-9397-08002B2CF9AE}" pid="30" name="MSIP_Label_7b94a7b8-f06c-4dfe-bdcc-9b548fd58c31_SiteId">
    <vt:lpwstr>9ce70869-60db-44fd-abe8-d2767077fc8f</vt:lpwstr>
  </property>
  <property fmtid="{D5CDD505-2E9C-101B-9397-08002B2CF9AE}" pid="31" name="MSIP_Label_7b94a7b8-f06c-4dfe-bdcc-9b548fd58c31_ActionId">
    <vt:lpwstr>2f4b6550-fae7-4702-ae72-bde910ec8cb9</vt:lpwstr>
  </property>
  <property fmtid="{D5CDD505-2E9C-101B-9397-08002B2CF9AE}" pid="32" name="MSIP_Label_7b94a7b8-f06c-4dfe-bdcc-9b548fd58c31_ContentBits">
    <vt:lpwstr>0</vt:lpwstr>
  </property>
</Properties>
</file>