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3BCA5" w14:textId="77777777" w:rsidR="00BF6F8B" w:rsidRPr="00F35727" w:rsidRDefault="00BF6F8B" w:rsidP="00BF6F8B">
      <w:pPr>
        <w:rPr>
          <w:rFonts w:eastAsia="Times New Roman"/>
          <w:b/>
          <w:bCs/>
        </w:rPr>
      </w:pPr>
      <w:r w:rsidRPr="00F35727">
        <w:rPr>
          <w:rFonts w:eastAsia="Times New Roman"/>
          <w:b/>
          <w:bCs/>
        </w:rPr>
        <w:t>Supplementary Table 1</w:t>
      </w:r>
    </w:p>
    <w:p w14:paraId="0558D8F7" w14:textId="77777777" w:rsidR="00BF6F8B" w:rsidRPr="00F35727" w:rsidRDefault="00BF6F8B" w:rsidP="00BF6F8B">
      <w:pPr>
        <w:rPr>
          <w:rFonts w:eastAsia="Times New Roman"/>
          <w:b/>
          <w:bCs/>
        </w:rPr>
      </w:pPr>
      <w:r w:rsidRPr="00F35727">
        <w:rPr>
          <w:rFonts w:eastAsia="Times New Roman"/>
          <w:b/>
          <w:bCs/>
        </w:rPr>
        <w:t xml:space="preserve">Patterns of student participation across time points </w:t>
      </w:r>
    </w:p>
    <w:p w14:paraId="3C883919" w14:textId="77777777" w:rsidR="00BF6F8B" w:rsidRPr="00F35727" w:rsidRDefault="00BF6F8B" w:rsidP="00BF6F8B">
      <w:pPr>
        <w:rPr>
          <w:rFonts w:eastAsia="Times New Roman"/>
        </w:rPr>
      </w:pPr>
    </w:p>
    <w:tbl>
      <w:tblPr>
        <w:tblW w:w="83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68"/>
        <w:gridCol w:w="2769"/>
        <w:gridCol w:w="2769"/>
      </w:tblGrid>
      <w:tr w:rsidR="00BF6F8B" w:rsidRPr="00F35727" w14:paraId="3A9038AD" w14:textId="77777777" w:rsidTr="003E3173">
        <w:tc>
          <w:tcPr>
            <w:tcW w:w="2768" w:type="dxa"/>
            <w:tcBorders>
              <w:top w:val="nil"/>
              <w:left w:val="nil"/>
              <w:bottom w:val="single" w:sz="8" w:space="0" w:color="000000"/>
              <w:right w:val="nil"/>
            </w:tcBorders>
            <w:shd w:val="clear" w:color="auto" w:fill="auto"/>
            <w:tcMar>
              <w:top w:w="100" w:type="dxa"/>
              <w:left w:w="100" w:type="dxa"/>
              <w:bottom w:w="100" w:type="dxa"/>
              <w:right w:w="100" w:type="dxa"/>
            </w:tcMar>
          </w:tcPr>
          <w:p w14:paraId="510344DB" w14:textId="77777777" w:rsidR="00BF6F8B" w:rsidRPr="00F35727" w:rsidRDefault="00BF6F8B" w:rsidP="003E3173">
            <w:pPr>
              <w:widowControl w:val="0"/>
              <w:pBdr>
                <w:top w:val="nil"/>
                <w:left w:val="nil"/>
                <w:bottom w:val="nil"/>
                <w:right w:val="nil"/>
                <w:between w:val="nil"/>
              </w:pBdr>
              <w:rPr>
                <w:rFonts w:eastAsia="Times New Roman"/>
                <w:b/>
              </w:rPr>
            </w:pPr>
            <w:r w:rsidRPr="00F35727">
              <w:rPr>
                <w:rFonts w:eastAsia="Times New Roman"/>
                <w:b/>
              </w:rPr>
              <w:t>Surveys Completed</w:t>
            </w:r>
          </w:p>
        </w:tc>
        <w:tc>
          <w:tcPr>
            <w:tcW w:w="2768" w:type="dxa"/>
            <w:tcBorders>
              <w:top w:val="nil"/>
              <w:left w:val="nil"/>
              <w:bottom w:val="single" w:sz="8" w:space="0" w:color="000000"/>
              <w:right w:val="nil"/>
            </w:tcBorders>
            <w:shd w:val="clear" w:color="auto" w:fill="auto"/>
            <w:tcMar>
              <w:top w:w="100" w:type="dxa"/>
              <w:left w:w="100" w:type="dxa"/>
              <w:bottom w:w="100" w:type="dxa"/>
              <w:right w:w="100" w:type="dxa"/>
            </w:tcMar>
          </w:tcPr>
          <w:p w14:paraId="0575580F" w14:textId="77777777" w:rsidR="00BF6F8B" w:rsidRPr="00F35727" w:rsidRDefault="00BF6F8B" w:rsidP="003E3173">
            <w:pPr>
              <w:widowControl w:val="0"/>
              <w:pBdr>
                <w:top w:val="nil"/>
                <w:left w:val="nil"/>
                <w:bottom w:val="nil"/>
                <w:right w:val="nil"/>
                <w:between w:val="nil"/>
              </w:pBdr>
              <w:jc w:val="center"/>
              <w:rPr>
                <w:rFonts w:eastAsia="Times New Roman"/>
                <w:b/>
              </w:rPr>
            </w:pPr>
            <w:r w:rsidRPr="00F35727">
              <w:rPr>
                <w:rFonts w:eastAsia="Times New Roman"/>
                <w:b/>
              </w:rPr>
              <w:t>n</w:t>
            </w:r>
          </w:p>
        </w:tc>
        <w:tc>
          <w:tcPr>
            <w:tcW w:w="2768" w:type="dxa"/>
            <w:tcBorders>
              <w:top w:val="nil"/>
              <w:left w:val="nil"/>
              <w:bottom w:val="single" w:sz="8" w:space="0" w:color="000000"/>
              <w:right w:val="nil"/>
            </w:tcBorders>
            <w:shd w:val="clear" w:color="auto" w:fill="auto"/>
            <w:tcMar>
              <w:top w:w="100" w:type="dxa"/>
              <w:left w:w="100" w:type="dxa"/>
              <w:bottom w:w="100" w:type="dxa"/>
              <w:right w:w="100" w:type="dxa"/>
            </w:tcMar>
          </w:tcPr>
          <w:p w14:paraId="01BFEA68" w14:textId="77777777" w:rsidR="00BF6F8B" w:rsidRPr="00F35727" w:rsidRDefault="00BF6F8B" w:rsidP="003E3173">
            <w:pPr>
              <w:widowControl w:val="0"/>
              <w:pBdr>
                <w:top w:val="nil"/>
                <w:left w:val="nil"/>
                <w:bottom w:val="nil"/>
                <w:right w:val="nil"/>
                <w:between w:val="nil"/>
              </w:pBdr>
              <w:jc w:val="center"/>
              <w:rPr>
                <w:rFonts w:eastAsia="Times New Roman"/>
                <w:b/>
              </w:rPr>
            </w:pPr>
            <w:r w:rsidRPr="00F35727">
              <w:rPr>
                <w:rFonts w:eastAsia="Times New Roman"/>
                <w:b/>
              </w:rPr>
              <w:t xml:space="preserve">% of collected responses </w:t>
            </w:r>
          </w:p>
        </w:tc>
      </w:tr>
      <w:tr w:rsidR="00BF6F8B" w:rsidRPr="00F35727" w14:paraId="0A49A695" w14:textId="77777777" w:rsidTr="003E3173">
        <w:tc>
          <w:tcPr>
            <w:tcW w:w="2768" w:type="dxa"/>
            <w:tcBorders>
              <w:left w:val="nil"/>
              <w:bottom w:val="nil"/>
              <w:right w:val="nil"/>
            </w:tcBorders>
            <w:shd w:val="clear" w:color="auto" w:fill="auto"/>
            <w:tcMar>
              <w:top w:w="100" w:type="dxa"/>
              <w:left w:w="100" w:type="dxa"/>
              <w:bottom w:w="100" w:type="dxa"/>
              <w:right w:w="100" w:type="dxa"/>
            </w:tcMar>
          </w:tcPr>
          <w:p w14:paraId="49DB14B9"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BL Only</w:t>
            </w:r>
          </w:p>
        </w:tc>
        <w:tc>
          <w:tcPr>
            <w:tcW w:w="2768" w:type="dxa"/>
            <w:tcBorders>
              <w:left w:val="nil"/>
              <w:bottom w:val="nil"/>
              <w:right w:val="nil"/>
            </w:tcBorders>
            <w:shd w:val="clear" w:color="auto" w:fill="auto"/>
            <w:tcMar>
              <w:top w:w="100" w:type="dxa"/>
              <w:left w:w="100" w:type="dxa"/>
              <w:bottom w:w="100" w:type="dxa"/>
              <w:right w:w="100" w:type="dxa"/>
            </w:tcMar>
          </w:tcPr>
          <w:p w14:paraId="74B6DFCF"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1,294</w:t>
            </w:r>
          </w:p>
        </w:tc>
        <w:tc>
          <w:tcPr>
            <w:tcW w:w="2768" w:type="dxa"/>
            <w:tcBorders>
              <w:left w:val="nil"/>
              <w:bottom w:val="nil"/>
              <w:right w:val="nil"/>
            </w:tcBorders>
            <w:shd w:val="clear" w:color="auto" w:fill="auto"/>
            <w:tcMar>
              <w:top w:w="100" w:type="dxa"/>
              <w:left w:w="100" w:type="dxa"/>
              <w:bottom w:w="100" w:type="dxa"/>
              <w:right w:w="100" w:type="dxa"/>
            </w:tcMar>
          </w:tcPr>
          <w:p w14:paraId="26B509E7"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28.9</w:t>
            </w:r>
          </w:p>
        </w:tc>
      </w:tr>
      <w:tr w:rsidR="00BF6F8B" w:rsidRPr="00F35727" w14:paraId="30C071DC" w14:textId="77777777" w:rsidTr="003E3173">
        <w:tc>
          <w:tcPr>
            <w:tcW w:w="2768" w:type="dxa"/>
            <w:tcBorders>
              <w:top w:val="nil"/>
              <w:left w:val="nil"/>
              <w:bottom w:val="nil"/>
              <w:right w:val="nil"/>
            </w:tcBorders>
            <w:shd w:val="clear" w:color="auto" w:fill="auto"/>
            <w:tcMar>
              <w:top w:w="100" w:type="dxa"/>
              <w:left w:w="100" w:type="dxa"/>
              <w:bottom w:w="100" w:type="dxa"/>
              <w:right w:w="100" w:type="dxa"/>
            </w:tcMar>
          </w:tcPr>
          <w:p w14:paraId="4688566E"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2M Only</w:t>
            </w:r>
          </w:p>
        </w:tc>
        <w:tc>
          <w:tcPr>
            <w:tcW w:w="2768" w:type="dxa"/>
            <w:tcBorders>
              <w:top w:val="nil"/>
              <w:left w:val="nil"/>
              <w:bottom w:val="nil"/>
              <w:right w:val="nil"/>
            </w:tcBorders>
            <w:shd w:val="clear" w:color="auto" w:fill="auto"/>
            <w:tcMar>
              <w:top w:w="100" w:type="dxa"/>
              <w:left w:w="100" w:type="dxa"/>
              <w:bottom w:w="100" w:type="dxa"/>
              <w:right w:w="100" w:type="dxa"/>
            </w:tcMar>
          </w:tcPr>
          <w:p w14:paraId="77688B8E"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714</w:t>
            </w:r>
          </w:p>
        </w:tc>
        <w:tc>
          <w:tcPr>
            <w:tcW w:w="2768" w:type="dxa"/>
            <w:tcBorders>
              <w:top w:val="nil"/>
              <w:left w:val="nil"/>
              <w:bottom w:val="nil"/>
              <w:right w:val="nil"/>
            </w:tcBorders>
            <w:shd w:val="clear" w:color="auto" w:fill="auto"/>
            <w:tcMar>
              <w:top w:w="100" w:type="dxa"/>
              <w:left w:w="100" w:type="dxa"/>
              <w:bottom w:w="100" w:type="dxa"/>
              <w:right w:w="100" w:type="dxa"/>
            </w:tcMar>
          </w:tcPr>
          <w:p w14:paraId="00BEBF6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15.9</w:t>
            </w:r>
          </w:p>
        </w:tc>
      </w:tr>
      <w:tr w:rsidR="00BF6F8B" w:rsidRPr="00F35727" w14:paraId="2EF0646E" w14:textId="77777777" w:rsidTr="003E3173">
        <w:tc>
          <w:tcPr>
            <w:tcW w:w="2768" w:type="dxa"/>
            <w:tcBorders>
              <w:top w:val="nil"/>
              <w:left w:val="nil"/>
              <w:bottom w:val="nil"/>
              <w:right w:val="nil"/>
            </w:tcBorders>
            <w:shd w:val="clear" w:color="auto" w:fill="auto"/>
            <w:tcMar>
              <w:top w:w="100" w:type="dxa"/>
              <w:left w:w="100" w:type="dxa"/>
              <w:bottom w:w="100" w:type="dxa"/>
              <w:right w:w="100" w:type="dxa"/>
            </w:tcMar>
          </w:tcPr>
          <w:p w14:paraId="61DCD04D"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6M Only</w:t>
            </w:r>
          </w:p>
        </w:tc>
        <w:tc>
          <w:tcPr>
            <w:tcW w:w="2768" w:type="dxa"/>
            <w:tcBorders>
              <w:top w:val="nil"/>
              <w:left w:val="nil"/>
              <w:bottom w:val="nil"/>
              <w:right w:val="nil"/>
            </w:tcBorders>
            <w:shd w:val="clear" w:color="auto" w:fill="auto"/>
            <w:tcMar>
              <w:top w:w="100" w:type="dxa"/>
              <w:left w:w="100" w:type="dxa"/>
              <w:bottom w:w="100" w:type="dxa"/>
              <w:right w:w="100" w:type="dxa"/>
            </w:tcMar>
          </w:tcPr>
          <w:p w14:paraId="6F2FF4F8"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802</w:t>
            </w:r>
          </w:p>
        </w:tc>
        <w:tc>
          <w:tcPr>
            <w:tcW w:w="2768" w:type="dxa"/>
            <w:tcBorders>
              <w:top w:val="nil"/>
              <w:left w:val="nil"/>
              <w:bottom w:val="nil"/>
              <w:right w:val="nil"/>
            </w:tcBorders>
            <w:shd w:val="clear" w:color="auto" w:fill="auto"/>
            <w:tcMar>
              <w:top w:w="100" w:type="dxa"/>
              <w:left w:w="100" w:type="dxa"/>
              <w:bottom w:w="100" w:type="dxa"/>
              <w:right w:w="100" w:type="dxa"/>
            </w:tcMar>
          </w:tcPr>
          <w:p w14:paraId="1DD5D24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17.9</w:t>
            </w:r>
          </w:p>
        </w:tc>
      </w:tr>
      <w:tr w:rsidR="00BF6F8B" w:rsidRPr="00F35727" w14:paraId="009F9B69" w14:textId="77777777" w:rsidTr="003E3173">
        <w:tc>
          <w:tcPr>
            <w:tcW w:w="2768" w:type="dxa"/>
            <w:tcBorders>
              <w:top w:val="nil"/>
              <w:left w:val="nil"/>
              <w:bottom w:val="nil"/>
              <w:right w:val="nil"/>
            </w:tcBorders>
            <w:shd w:val="clear" w:color="auto" w:fill="auto"/>
            <w:tcMar>
              <w:top w:w="100" w:type="dxa"/>
              <w:left w:w="100" w:type="dxa"/>
              <w:bottom w:w="100" w:type="dxa"/>
              <w:right w:w="100" w:type="dxa"/>
            </w:tcMar>
          </w:tcPr>
          <w:p w14:paraId="57498EC0"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BL and 2M</w:t>
            </w:r>
          </w:p>
        </w:tc>
        <w:tc>
          <w:tcPr>
            <w:tcW w:w="2768" w:type="dxa"/>
            <w:tcBorders>
              <w:top w:val="nil"/>
              <w:left w:val="nil"/>
              <w:bottom w:val="nil"/>
              <w:right w:val="nil"/>
            </w:tcBorders>
            <w:shd w:val="clear" w:color="auto" w:fill="auto"/>
            <w:tcMar>
              <w:top w:w="100" w:type="dxa"/>
              <w:left w:w="100" w:type="dxa"/>
              <w:bottom w:w="100" w:type="dxa"/>
              <w:right w:w="100" w:type="dxa"/>
            </w:tcMar>
          </w:tcPr>
          <w:p w14:paraId="3BF63DD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332</w:t>
            </w:r>
          </w:p>
        </w:tc>
        <w:tc>
          <w:tcPr>
            <w:tcW w:w="2768" w:type="dxa"/>
            <w:tcBorders>
              <w:top w:val="nil"/>
              <w:left w:val="nil"/>
              <w:bottom w:val="nil"/>
              <w:right w:val="nil"/>
            </w:tcBorders>
            <w:shd w:val="clear" w:color="auto" w:fill="auto"/>
            <w:tcMar>
              <w:top w:w="100" w:type="dxa"/>
              <w:left w:w="100" w:type="dxa"/>
              <w:bottom w:w="100" w:type="dxa"/>
              <w:right w:w="100" w:type="dxa"/>
            </w:tcMar>
          </w:tcPr>
          <w:p w14:paraId="70AEE54C"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7.4</w:t>
            </w:r>
          </w:p>
        </w:tc>
      </w:tr>
      <w:tr w:rsidR="00BF6F8B" w:rsidRPr="00F35727" w14:paraId="25CBE354" w14:textId="77777777" w:rsidTr="003E3173">
        <w:tc>
          <w:tcPr>
            <w:tcW w:w="2768" w:type="dxa"/>
            <w:tcBorders>
              <w:top w:val="nil"/>
              <w:left w:val="nil"/>
              <w:bottom w:val="nil"/>
              <w:right w:val="nil"/>
            </w:tcBorders>
            <w:shd w:val="clear" w:color="auto" w:fill="auto"/>
            <w:tcMar>
              <w:top w:w="100" w:type="dxa"/>
              <w:left w:w="100" w:type="dxa"/>
              <w:bottom w:w="100" w:type="dxa"/>
              <w:right w:w="100" w:type="dxa"/>
            </w:tcMar>
          </w:tcPr>
          <w:p w14:paraId="0619B5EF"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BL and 6M</w:t>
            </w:r>
          </w:p>
        </w:tc>
        <w:tc>
          <w:tcPr>
            <w:tcW w:w="2768" w:type="dxa"/>
            <w:tcBorders>
              <w:top w:val="nil"/>
              <w:left w:val="nil"/>
              <w:bottom w:val="nil"/>
              <w:right w:val="nil"/>
            </w:tcBorders>
            <w:shd w:val="clear" w:color="auto" w:fill="auto"/>
            <w:tcMar>
              <w:top w:w="100" w:type="dxa"/>
              <w:left w:w="100" w:type="dxa"/>
              <w:bottom w:w="100" w:type="dxa"/>
              <w:right w:w="100" w:type="dxa"/>
            </w:tcMar>
          </w:tcPr>
          <w:p w14:paraId="23653A7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387</w:t>
            </w:r>
          </w:p>
        </w:tc>
        <w:tc>
          <w:tcPr>
            <w:tcW w:w="2768" w:type="dxa"/>
            <w:tcBorders>
              <w:top w:val="nil"/>
              <w:left w:val="nil"/>
              <w:bottom w:val="nil"/>
              <w:right w:val="nil"/>
            </w:tcBorders>
            <w:shd w:val="clear" w:color="auto" w:fill="auto"/>
            <w:tcMar>
              <w:top w:w="100" w:type="dxa"/>
              <w:left w:w="100" w:type="dxa"/>
              <w:bottom w:w="100" w:type="dxa"/>
              <w:right w:w="100" w:type="dxa"/>
            </w:tcMar>
          </w:tcPr>
          <w:p w14:paraId="7D7FAAE4"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8.6</w:t>
            </w:r>
          </w:p>
        </w:tc>
      </w:tr>
      <w:tr w:rsidR="00BF6F8B" w:rsidRPr="00F35727" w14:paraId="5478400B" w14:textId="77777777" w:rsidTr="003E3173">
        <w:tc>
          <w:tcPr>
            <w:tcW w:w="2768" w:type="dxa"/>
            <w:tcBorders>
              <w:top w:val="nil"/>
              <w:left w:val="nil"/>
              <w:bottom w:val="nil"/>
              <w:right w:val="nil"/>
            </w:tcBorders>
            <w:shd w:val="clear" w:color="auto" w:fill="auto"/>
            <w:tcMar>
              <w:top w:w="100" w:type="dxa"/>
              <w:left w:w="100" w:type="dxa"/>
              <w:bottom w:w="100" w:type="dxa"/>
              <w:right w:w="100" w:type="dxa"/>
            </w:tcMar>
          </w:tcPr>
          <w:p w14:paraId="19DCDE5E"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2M and 6M</w:t>
            </w:r>
          </w:p>
        </w:tc>
        <w:tc>
          <w:tcPr>
            <w:tcW w:w="2768" w:type="dxa"/>
            <w:tcBorders>
              <w:top w:val="nil"/>
              <w:left w:val="nil"/>
              <w:bottom w:val="nil"/>
              <w:right w:val="nil"/>
            </w:tcBorders>
            <w:shd w:val="clear" w:color="auto" w:fill="auto"/>
            <w:tcMar>
              <w:top w:w="100" w:type="dxa"/>
              <w:left w:w="100" w:type="dxa"/>
              <w:bottom w:w="100" w:type="dxa"/>
              <w:right w:w="100" w:type="dxa"/>
            </w:tcMar>
          </w:tcPr>
          <w:p w14:paraId="494B6F4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282</w:t>
            </w:r>
          </w:p>
        </w:tc>
        <w:tc>
          <w:tcPr>
            <w:tcW w:w="2768" w:type="dxa"/>
            <w:tcBorders>
              <w:top w:val="nil"/>
              <w:left w:val="nil"/>
              <w:bottom w:val="nil"/>
              <w:right w:val="nil"/>
            </w:tcBorders>
            <w:shd w:val="clear" w:color="auto" w:fill="auto"/>
            <w:tcMar>
              <w:top w:w="100" w:type="dxa"/>
              <w:left w:w="100" w:type="dxa"/>
              <w:bottom w:w="100" w:type="dxa"/>
              <w:right w:w="100" w:type="dxa"/>
            </w:tcMar>
          </w:tcPr>
          <w:p w14:paraId="6DF7BF71"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6.3</w:t>
            </w:r>
          </w:p>
        </w:tc>
      </w:tr>
      <w:tr w:rsidR="00BF6F8B" w:rsidRPr="00F35727" w14:paraId="359B2E2D" w14:textId="77777777" w:rsidTr="003E3173">
        <w:tc>
          <w:tcPr>
            <w:tcW w:w="2768" w:type="dxa"/>
            <w:tcBorders>
              <w:top w:val="nil"/>
              <w:left w:val="nil"/>
              <w:right w:val="nil"/>
            </w:tcBorders>
            <w:shd w:val="clear" w:color="auto" w:fill="auto"/>
            <w:tcMar>
              <w:top w:w="100" w:type="dxa"/>
              <w:left w:w="100" w:type="dxa"/>
              <w:bottom w:w="100" w:type="dxa"/>
              <w:right w:w="100" w:type="dxa"/>
            </w:tcMar>
          </w:tcPr>
          <w:p w14:paraId="243DD8B7"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All Surveys</w:t>
            </w:r>
          </w:p>
        </w:tc>
        <w:tc>
          <w:tcPr>
            <w:tcW w:w="2768" w:type="dxa"/>
            <w:tcBorders>
              <w:top w:val="nil"/>
              <w:left w:val="nil"/>
              <w:right w:val="nil"/>
            </w:tcBorders>
            <w:shd w:val="clear" w:color="auto" w:fill="auto"/>
            <w:tcMar>
              <w:top w:w="100" w:type="dxa"/>
              <w:left w:w="100" w:type="dxa"/>
              <w:bottom w:w="100" w:type="dxa"/>
              <w:right w:w="100" w:type="dxa"/>
            </w:tcMar>
          </w:tcPr>
          <w:p w14:paraId="73AF9B7A"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672</w:t>
            </w:r>
          </w:p>
        </w:tc>
        <w:tc>
          <w:tcPr>
            <w:tcW w:w="2768" w:type="dxa"/>
            <w:tcBorders>
              <w:top w:val="nil"/>
              <w:left w:val="nil"/>
              <w:right w:val="nil"/>
            </w:tcBorders>
            <w:shd w:val="clear" w:color="auto" w:fill="auto"/>
            <w:tcMar>
              <w:top w:w="100" w:type="dxa"/>
              <w:left w:w="100" w:type="dxa"/>
              <w:bottom w:w="100" w:type="dxa"/>
              <w:right w:w="100" w:type="dxa"/>
            </w:tcMar>
          </w:tcPr>
          <w:p w14:paraId="32EC7D99"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15.0</w:t>
            </w:r>
          </w:p>
        </w:tc>
      </w:tr>
    </w:tbl>
    <w:p w14:paraId="1D4734CA" w14:textId="77777777" w:rsidR="00BF6F8B" w:rsidRPr="00F35727" w:rsidRDefault="00BF6F8B" w:rsidP="00BF6F8B">
      <w:pPr>
        <w:rPr>
          <w:i/>
          <w:iCs/>
        </w:rPr>
      </w:pPr>
      <w:r w:rsidRPr="00F35727">
        <w:rPr>
          <w:rFonts w:eastAsia="Times New Roman"/>
          <w:i/>
          <w:iCs/>
        </w:rPr>
        <w:t xml:space="preserve">Note: </w:t>
      </w:r>
      <w:r w:rsidRPr="00F35727">
        <w:rPr>
          <w:i/>
          <w:iCs/>
        </w:rPr>
        <w:t>The generation of study-specific identifiers to link student records over time impeded the ability to evaluate student-level patterns of participation and contributed to the decision to aggregate results to the level of school. This supplementary table provides information on known patterns of participation, but it is possible that individual records that appear as unique respondents in a given time point are linked to records in other time points that were unable to be connected.</w:t>
      </w:r>
    </w:p>
    <w:p w14:paraId="4FC0E4F3" w14:textId="77777777" w:rsidR="00BF6F8B" w:rsidRPr="00F35727" w:rsidRDefault="00BF6F8B" w:rsidP="00BF6F8B">
      <w:pPr>
        <w:rPr>
          <w:rFonts w:eastAsia="Times New Roman"/>
          <w:b/>
          <w:bCs/>
        </w:rPr>
      </w:pPr>
      <w:r w:rsidRPr="00F35727">
        <w:rPr>
          <w:rFonts w:eastAsia="Times New Roman"/>
          <w:b/>
          <w:bCs/>
        </w:rPr>
        <w:t>Supplementary Table 2</w:t>
      </w:r>
    </w:p>
    <w:p w14:paraId="361C27A1" w14:textId="77777777" w:rsidR="00BF6F8B" w:rsidRPr="00F35727" w:rsidRDefault="00BF6F8B" w:rsidP="00BF6F8B">
      <w:pPr>
        <w:rPr>
          <w:rFonts w:eastAsia="Times New Roman"/>
          <w:b/>
          <w:bCs/>
        </w:rPr>
      </w:pPr>
      <w:r w:rsidRPr="00F35727">
        <w:rPr>
          <w:rFonts w:eastAsia="Times New Roman"/>
          <w:b/>
          <w:bCs/>
        </w:rPr>
        <w:t>Baseline student-level reports of sexual violence victimization and perpetration across condition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17"/>
        <w:gridCol w:w="779"/>
        <w:gridCol w:w="778"/>
        <w:gridCol w:w="780"/>
        <w:gridCol w:w="778"/>
        <w:gridCol w:w="778"/>
        <w:gridCol w:w="780"/>
        <w:gridCol w:w="778"/>
        <w:gridCol w:w="778"/>
        <w:gridCol w:w="780"/>
      </w:tblGrid>
      <w:tr w:rsidR="00BF6F8B" w:rsidRPr="00F35727" w14:paraId="24286A6A" w14:textId="77777777" w:rsidTr="003E3173">
        <w:trPr>
          <w:trHeight w:val="440"/>
        </w:trPr>
        <w:tc>
          <w:tcPr>
            <w:tcW w:w="1117" w:type="pct"/>
            <w:tcBorders>
              <w:top w:val="nil"/>
              <w:left w:val="nil"/>
              <w:bottom w:val="nil"/>
              <w:right w:val="nil"/>
            </w:tcBorders>
            <w:shd w:val="clear" w:color="auto" w:fill="auto"/>
            <w:tcMar>
              <w:top w:w="100" w:type="dxa"/>
              <w:left w:w="100" w:type="dxa"/>
              <w:bottom w:w="100" w:type="dxa"/>
              <w:right w:w="100" w:type="dxa"/>
            </w:tcMar>
            <w:vAlign w:val="center"/>
          </w:tcPr>
          <w:p w14:paraId="71290DCC" w14:textId="77777777" w:rsidR="00BF6F8B" w:rsidRPr="00F35727" w:rsidRDefault="00BF6F8B" w:rsidP="003E3173">
            <w:pPr>
              <w:widowControl w:val="0"/>
              <w:rPr>
                <w:rFonts w:eastAsia="Times New Roman"/>
              </w:rPr>
            </w:pPr>
          </w:p>
        </w:tc>
        <w:tc>
          <w:tcPr>
            <w:tcW w:w="1294" w:type="pct"/>
            <w:gridSpan w:val="3"/>
            <w:tcBorders>
              <w:top w:val="nil"/>
              <w:left w:val="nil"/>
              <w:bottom w:val="nil"/>
              <w:right w:val="nil"/>
            </w:tcBorders>
            <w:shd w:val="clear" w:color="auto" w:fill="auto"/>
            <w:tcMar>
              <w:top w:w="100" w:type="dxa"/>
              <w:left w:w="100" w:type="dxa"/>
              <w:bottom w:w="100" w:type="dxa"/>
              <w:right w:w="100" w:type="dxa"/>
            </w:tcMar>
            <w:vAlign w:val="center"/>
          </w:tcPr>
          <w:p w14:paraId="4F0341CC" w14:textId="77777777" w:rsidR="00BF6F8B" w:rsidRPr="00F35727" w:rsidRDefault="00BF6F8B" w:rsidP="003E3173">
            <w:pPr>
              <w:widowControl w:val="0"/>
              <w:jc w:val="center"/>
              <w:rPr>
                <w:rFonts w:eastAsia="Times New Roman"/>
                <w:u w:val="single"/>
              </w:rPr>
            </w:pPr>
            <w:r w:rsidRPr="00F35727">
              <w:rPr>
                <w:rFonts w:eastAsia="Times New Roman"/>
                <w:u w:val="single"/>
              </w:rPr>
              <w:t>All Schools</w:t>
            </w:r>
          </w:p>
        </w:tc>
        <w:tc>
          <w:tcPr>
            <w:tcW w:w="1294" w:type="pct"/>
            <w:gridSpan w:val="3"/>
            <w:tcBorders>
              <w:top w:val="nil"/>
              <w:left w:val="nil"/>
              <w:bottom w:val="nil"/>
              <w:right w:val="nil"/>
            </w:tcBorders>
            <w:shd w:val="clear" w:color="auto" w:fill="auto"/>
            <w:tcMar>
              <w:top w:w="100" w:type="dxa"/>
              <w:left w:w="100" w:type="dxa"/>
              <w:bottom w:w="100" w:type="dxa"/>
              <w:right w:w="100" w:type="dxa"/>
            </w:tcMar>
            <w:vAlign w:val="center"/>
          </w:tcPr>
          <w:p w14:paraId="4AFFFE29" w14:textId="77777777" w:rsidR="00BF6F8B" w:rsidRPr="00F35727" w:rsidRDefault="00BF6F8B" w:rsidP="003E3173">
            <w:pPr>
              <w:widowControl w:val="0"/>
              <w:jc w:val="center"/>
              <w:rPr>
                <w:rFonts w:eastAsia="Times New Roman"/>
                <w:u w:val="single"/>
              </w:rPr>
            </w:pPr>
            <w:r w:rsidRPr="00F35727">
              <w:rPr>
                <w:rFonts w:eastAsia="Times New Roman"/>
                <w:u w:val="single"/>
              </w:rPr>
              <w:t>Control Schools</w:t>
            </w:r>
          </w:p>
        </w:tc>
        <w:tc>
          <w:tcPr>
            <w:tcW w:w="1294" w:type="pct"/>
            <w:gridSpan w:val="3"/>
            <w:tcBorders>
              <w:top w:val="nil"/>
              <w:left w:val="nil"/>
              <w:bottom w:val="nil"/>
              <w:right w:val="nil"/>
            </w:tcBorders>
            <w:shd w:val="clear" w:color="auto" w:fill="auto"/>
            <w:tcMar>
              <w:top w:w="100" w:type="dxa"/>
              <w:left w:w="100" w:type="dxa"/>
              <w:bottom w:w="100" w:type="dxa"/>
              <w:right w:w="100" w:type="dxa"/>
            </w:tcMar>
            <w:vAlign w:val="center"/>
          </w:tcPr>
          <w:p w14:paraId="59C63692" w14:textId="77777777" w:rsidR="00BF6F8B" w:rsidRPr="00F35727" w:rsidRDefault="00BF6F8B" w:rsidP="003E3173">
            <w:pPr>
              <w:widowControl w:val="0"/>
              <w:jc w:val="center"/>
              <w:rPr>
                <w:rFonts w:eastAsia="Times New Roman"/>
                <w:u w:val="single"/>
              </w:rPr>
            </w:pPr>
            <w:r w:rsidRPr="00F35727">
              <w:rPr>
                <w:rFonts w:eastAsia="Times New Roman"/>
                <w:u w:val="single"/>
              </w:rPr>
              <w:t>Intervention Schools</w:t>
            </w:r>
          </w:p>
        </w:tc>
      </w:tr>
      <w:tr w:rsidR="00BF6F8B" w:rsidRPr="00F35727" w14:paraId="0DEBC385" w14:textId="77777777" w:rsidTr="003E3173">
        <w:trPr>
          <w:trHeight w:val="440"/>
        </w:trPr>
        <w:tc>
          <w:tcPr>
            <w:tcW w:w="1117"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3D872326" w14:textId="77777777" w:rsidR="00BF6F8B" w:rsidRPr="00F35727" w:rsidRDefault="00BF6F8B" w:rsidP="003E3173">
            <w:pPr>
              <w:widowControl w:val="0"/>
              <w:rPr>
                <w:rFonts w:eastAsia="Times New Roman"/>
              </w:rPr>
            </w:pPr>
            <w:r w:rsidRPr="00F35727">
              <w:rPr>
                <w:rFonts w:eastAsia="Times New Roman"/>
              </w:rPr>
              <w:t>Time point (exposure)</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045C3CF4" w14:textId="77777777" w:rsidR="00BF6F8B" w:rsidRPr="00F35727" w:rsidRDefault="00BF6F8B" w:rsidP="003E3173">
            <w:pPr>
              <w:widowControl w:val="0"/>
              <w:jc w:val="center"/>
              <w:rPr>
                <w:rFonts w:eastAsia="Times New Roman"/>
                <w:vertAlign w:val="superscript"/>
              </w:rPr>
            </w:pPr>
            <w:r w:rsidRPr="00F35727">
              <w:rPr>
                <w:rFonts w:eastAsia="Times New Roman"/>
              </w:rPr>
              <w:t>Mean</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19B0F71" w14:textId="77777777" w:rsidR="00BF6F8B" w:rsidRPr="00F35727" w:rsidRDefault="00BF6F8B" w:rsidP="003E3173">
            <w:pPr>
              <w:widowControl w:val="0"/>
              <w:jc w:val="center"/>
              <w:rPr>
                <w:rFonts w:eastAsia="Times New Roman"/>
                <w:vertAlign w:val="superscript"/>
              </w:rPr>
            </w:pPr>
            <w:r w:rsidRPr="00F35727">
              <w:rPr>
                <w:rFonts w:eastAsia="Times New Roman"/>
              </w:rPr>
              <w:t>SD</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4AC41BD" w14:textId="77777777" w:rsidR="00BF6F8B" w:rsidRPr="00F35727" w:rsidRDefault="00BF6F8B" w:rsidP="003E3173">
            <w:pPr>
              <w:widowControl w:val="0"/>
              <w:jc w:val="center"/>
              <w:rPr>
                <w:rFonts w:eastAsia="Times New Roman"/>
              </w:rPr>
            </w:pPr>
            <w:r w:rsidRPr="00F35727">
              <w:rPr>
                <w:rFonts w:eastAsia="Times New Roman"/>
              </w:rPr>
              <w:t>Skew</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F62A16A" w14:textId="77777777" w:rsidR="00BF6F8B" w:rsidRPr="00F35727" w:rsidRDefault="00BF6F8B" w:rsidP="003E3173">
            <w:pPr>
              <w:widowControl w:val="0"/>
              <w:jc w:val="center"/>
              <w:rPr>
                <w:rFonts w:eastAsia="Times New Roman"/>
              </w:rPr>
            </w:pPr>
            <w:r w:rsidRPr="00F35727">
              <w:rPr>
                <w:rFonts w:eastAsia="Times New Roman"/>
              </w:rPr>
              <w:t>Mean</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5D72A5C" w14:textId="77777777" w:rsidR="00BF6F8B" w:rsidRPr="00F35727" w:rsidRDefault="00BF6F8B" w:rsidP="003E3173">
            <w:pPr>
              <w:widowControl w:val="0"/>
              <w:jc w:val="center"/>
              <w:rPr>
                <w:rFonts w:eastAsia="Times New Roman"/>
              </w:rPr>
            </w:pPr>
            <w:r w:rsidRPr="00F35727">
              <w:rPr>
                <w:rFonts w:eastAsia="Times New Roman"/>
              </w:rPr>
              <w:t>SD</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5A80F6DE" w14:textId="77777777" w:rsidR="00BF6F8B" w:rsidRPr="00F35727" w:rsidRDefault="00BF6F8B" w:rsidP="003E3173">
            <w:pPr>
              <w:widowControl w:val="0"/>
              <w:jc w:val="center"/>
              <w:rPr>
                <w:rFonts w:eastAsia="Times New Roman"/>
              </w:rPr>
            </w:pPr>
            <w:r>
              <w:rPr>
                <w:rFonts w:eastAsia="Times New Roman"/>
              </w:rPr>
              <w:t>‘</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08B8EC6" w14:textId="77777777" w:rsidR="00BF6F8B" w:rsidRPr="00F35727" w:rsidRDefault="00BF6F8B" w:rsidP="003E3173">
            <w:pPr>
              <w:widowControl w:val="0"/>
              <w:jc w:val="center"/>
              <w:rPr>
                <w:rFonts w:eastAsia="Times New Roman"/>
              </w:rPr>
            </w:pPr>
            <w:r w:rsidRPr="00F35727">
              <w:rPr>
                <w:rFonts w:eastAsia="Times New Roman"/>
              </w:rPr>
              <w:t>Mean</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4F0F987" w14:textId="77777777" w:rsidR="00BF6F8B" w:rsidRPr="00F35727" w:rsidRDefault="00BF6F8B" w:rsidP="003E3173">
            <w:pPr>
              <w:widowControl w:val="0"/>
              <w:jc w:val="center"/>
              <w:rPr>
                <w:rFonts w:eastAsia="Times New Roman"/>
              </w:rPr>
            </w:pPr>
            <w:r w:rsidRPr="00F35727">
              <w:rPr>
                <w:rFonts w:eastAsia="Times New Roman"/>
              </w:rPr>
              <w:t>SD</w:t>
            </w:r>
          </w:p>
        </w:tc>
        <w:tc>
          <w:tcPr>
            <w:tcW w:w="431"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4BA18157" w14:textId="77777777" w:rsidR="00BF6F8B" w:rsidRPr="00F35727" w:rsidRDefault="00BF6F8B" w:rsidP="003E3173">
            <w:pPr>
              <w:widowControl w:val="0"/>
              <w:jc w:val="center"/>
              <w:rPr>
                <w:rFonts w:eastAsia="Times New Roman"/>
              </w:rPr>
            </w:pPr>
            <w:r w:rsidRPr="00F35727">
              <w:rPr>
                <w:rFonts w:eastAsia="Times New Roman"/>
              </w:rPr>
              <w:t>Skew</w:t>
            </w:r>
          </w:p>
        </w:tc>
      </w:tr>
      <w:tr w:rsidR="00BF6F8B" w:rsidRPr="00F35727" w14:paraId="608F3FD5" w14:textId="77777777" w:rsidTr="003E3173">
        <w:tc>
          <w:tcPr>
            <w:tcW w:w="1117" w:type="pct"/>
            <w:tcBorders>
              <w:left w:val="nil"/>
              <w:bottom w:val="nil"/>
              <w:right w:val="nil"/>
            </w:tcBorders>
            <w:shd w:val="clear" w:color="auto" w:fill="auto"/>
            <w:tcMar>
              <w:top w:w="100" w:type="dxa"/>
              <w:left w:w="100" w:type="dxa"/>
              <w:bottom w:w="100" w:type="dxa"/>
              <w:right w:w="100" w:type="dxa"/>
            </w:tcMar>
          </w:tcPr>
          <w:p w14:paraId="28B881C9" w14:textId="77777777" w:rsidR="00BF6F8B" w:rsidRPr="00F35727" w:rsidRDefault="00BF6F8B" w:rsidP="003E3173">
            <w:pPr>
              <w:widowControl w:val="0"/>
              <w:rPr>
                <w:rFonts w:eastAsia="Times New Roman"/>
                <w:b/>
              </w:rPr>
            </w:pPr>
            <w:r w:rsidRPr="00F35727">
              <w:rPr>
                <w:rFonts w:eastAsia="Times New Roman"/>
                <w:b/>
              </w:rPr>
              <w:t>Victimization</w:t>
            </w:r>
          </w:p>
        </w:tc>
        <w:tc>
          <w:tcPr>
            <w:tcW w:w="431" w:type="pct"/>
            <w:tcBorders>
              <w:left w:val="nil"/>
              <w:bottom w:val="nil"/>
              <w:right w:val="nil"/>
            </w:tcBorders>
            <w:shd w:val="clear" w:color="auto" w:fill="auto"/>
            <w:tcMar>
              <w:top w:w="100" w:type="dxa"/>
              <w:left w:w="100" w:type="dxa"/>
              <w:bottom w:w="100" w:type="dxa"/>
              <w:right w:w="100" w:type="dxa"/>
            </w:tcMar>
            <w:vAlign w:val="center"/>
          </w:tcPr>
          <w:p w14:paraId="4957C5E6"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474FE624"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5F3CC7E5"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39CD8DB5"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1DC239B7"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3F2CD69B"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3631C9D5"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2F18BBD5" w14:textId="77777777" w:rsidR="00BF6F8B" w:rsidRPr="00F35727" w:rsidRDefault="00BF6F8B" w:rsidP="003E3173">
            <w:pPr>
              <w:widowControl w:val="0"/>
              <w:jc w:val="center"/>
              <w:rPr>
                <w:rFonts w:eastAsia="Times New Roman"/>
              </w:rPr>
            </w:pPr>
          </w:p>
        </w:tc>
        <w:tc>
          <w:tcPr>
            <w:tcW w:w="431" w:type="pct"/>
            <w:tcBorders>
              <w:left w:val="nil"/>
              <w:bottom w:val="nil"/>
              <w:right w:val="nil"/>
            </w:tcBorders>
            <w:shd w:val="clear" w:color="auto" w:fill="auto"/>
            <w:tcMar>
              <w:top w:w="100" w:type="dxa"/>
              <w:left w:w="100" w:type="dxa"/>
              <w:bottom w:w="100" w:type="dxa"/>
              <w:right w:w="100" w:type="dxa"/>
            </w:tcMar>
            <w:vAlign w:val="center"/>
          </w:tcPr>
          <w:p w14:paraId="62EAB0D8" w14:textId="77777777" w:rsidR="00BF6F8B" w:rsidRPr="00F35727" w:rsidRDefault="00BF6F8B" w:rsidP="003E3173">
            <w:pPr>
              <w:widowControl w:val="0"/>
              <w:jc w:val="center"/>
              <w:rPr>
                <w:rFonts w:eastAsia="Times New Roman"/>
              </w:rPr>
            </w:pPr>
          </w:p>
        </w:tc>
      </w:tr>
      <w:tr w:rsidR="00BF6F8B" w:rsidRPr="00F35727" w14:paraId="22B3B731" w14:textId="77777777" w:rsidTr="003E3173">
        <w:tc>
          <w:tcPr>
            <w:tcW w:w="1117" w:type="pct"/>
            <w:tcBorders>
              <w:top w:val="nil"/>
              <w:left w:val="nil"/>
              <w:bottom w:val="nil"/>
              <w:right w:val="nil"/>
            </w:tcBorders>
            <w:shd w:val="clear" w:color="auto" w:fill="auto"/>
            <w:tcMar>
              <w:top w:w="100" w:type="dxa"/>
              <w:left w:w="100" w:type="dxa"/>
              <w:bottom w:w="100" w:type="dxa"/>
              <w:right w:w="100" w:type="dxa"/>
            </w:tcMar>
          </w:tcPr>
          <w:p w14:paraId="7290C7C3"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Baseline (12 months)</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374C6792" w14:textId="77777777" w:rsidR="00BF6F8B" w:rsidRPr="00F35727" w:rsidRDefault="00BF6F8B" w:rsidP="003E3173">
            <w:pPr>
              <w:widowControl w:val="0"/>
              <w:jc w:val="center"/>
              <w:rPr>
                <w:rFonts w:eastAsia="Times New Roman"/>
              </w:rPr>
            </w:pPr>
            <w:r w:rsidRPr="00F35727">
              <w:rPr>
                <w:rFonts w:eastAsia="Times New Roman"/>
              </w:rPr>
              <w:t>0.47</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092E1CE4" w14:textId="77777777" w:rsidR="00BF6F8B" w:rsidRPr="00F35727" w:rsidRDefault="00BF6F8B" w:rsidP="003E3173">
            <w:pPr>
              <w:widowControl w:val="0"/>
              <w:jc w:val="center"/>
              <w:rPr>
                <w:rFonts w:eastAsia="Times New Roman"/>
              </w:rPr>
            </w:pPr>
            <w:r w:rsidRPr="00F35727">
              <w:rPr>
                <w:rFonts w:eastAsia="Times New Roman"/>
              </w:rPr>
              <w:t>(3.11)</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91709EE" w14:textId="77777777" w:rsidR="00BF6F8B" w:rsidRPr="00F35727" w:rsidRDefault="00BF6F8B" w:rsidP="003E3173">
            <w:pPr>
              <w:widowControl w:val="0"/>
              <w:jc w:val="center"/>
              <w:rPr>
                <w:rFonts w:eastAsia="Times New Roman"/>
              </w:rPr>
            </w:pPr>
            <w:r w:rsidRPr="00F35727">
              <w:rPr>
                <w:rFonts w:eastAsia="Times New Roman"/>
              </w:rPr>
              <w:t>13.03</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13E4C4A8" w14:textId="77777777" w:rsidR="00BF6F8B" w:rsidRPr="00F35727" w:rsidRDefault="00BF6F8B" w:rsidP="003E3173">
            <w:pPr>
              <w:widowControl w:val="0"/>
              <w:jc w:val="center"/>
              <w:rPr>
                <w:rFonts w:eastAsia="Times New Roman"/>
              </w:rPr>
            </w:pPr>
            <w:r w:rsidRPr="00F35727">
              <w:rPr>
                <w:rFonts w:eastAsia="Times New Roman"/>
              </w:rPr>
              <w:t>0.60</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A5928AA" w14:textId="77777777" w:rsidR="00BF6F8B" w:rsidRPr="00F35727" w:rsidRDefault="00BF6F8B" w:rsidP="003E3173">
            <w:pPr>
              <w:widowControl w:val="0"/>
              <w:jc w:val="center"/>
              <w:rPr>
                <w:rFonts w:eastAsia="Times New Roman"/>
              </w:rPr>
            </w:pPr>
            <w:r w:rsidRPr="00F35727">
              <w:rPr>
                <w:rFonts w:eastAsia="Times New Roman"/>
              </w:rPr>
              <w:t>(3.88)</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979CE1C" w14:textId="77777777" w:rsidR="00BF6F8B" w:rsidRPr="00F35727" w:rsidRDefault="00BF6F8B" w:rsidP="003E3173">
            <w:pPr>
              <w:widowControl w:val="0"/>
              <w:jc w:val="center"/>
              <w:rPr>
                <w:rFonts w:eastAsia="Times New Roman"/>
              </w:rPr>
            </w:pPr>
            <w:r w:rsidRPr="00F35727">
              <w:rPr>
                <w:rFonts w:eastAsia="Times New Roman"/>
              </w:rPr>
              <w:t>11.24</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30E4E589" w14:textId="77777777" w:rsidR="00BF6F8B" w:rsidRPr="00F35727" w:rsidRDefault="00BF6F8B" w:rsidP="003E3173">
            <w:pPr>
              <w:widowControl w:val="0"/>
              <w:jc w:val="center"/>
              <w:rPr>
                <w:rFonts w:eastAsia="Times New Roman"/>
              </w:rPr>
            </w:pPr>
            <w:r w:rsidRPr="00F35727">
              <w:rPr>
                <w:rFonts w:eastAsia="Times New Roman"/>
              </w:rPr>
              <w:t>0.30</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84678AF" w14:textId="77777777" w:rsidR="00BF6F8B" w:rsidRPr="00F35727" w:rsidRDefault="00BF6F8B" w:rsidP="003E3173">
            <w:pPr>
              <w:widowControl w:val="0"/>
              <w:jc w:val="center"/>
              <w:rPr>
                <w:rFonts w:eastAsia="Times New Roman"/>
              </w:rPr>
            </w:pPr>
            <w:r w:rsidRPr="00F35727">
              <w:rPr>
                <w:rFonts w:eastAsia="Times New Roman"/>
              </w:rPr>
              <w:t>(1.53)</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290A918" w14:textId="77777777" w:rsidR="00BF6F8B" w:rsidRPr="00F35727" w:rsidRDefault="00BF6F8B" w:rsidP="003E3173">
            <w:pPr>
              <w:widowControl w:val="0"/>
              <w:jc w:val="center"/>
              <w:rPr>
                <w:rFonts w:eastAsia="Times New Roman"/>
              </w:rPr>
            </w:pPr>
            <w:r w:rsidRPr="00F35727">
              <w:rPr>
                <w:rFonts w:eastAsia="Times New Roman"/>
              </w:rPr>
              <w:t>7.35</w:t>
            </w:r>
          </w:p>
        </w:tc>
      </w:tr>
      <w:tr w:rsidR="00BF6F8B" w:rsidRPr="00F35727" w14:paraId="44886EF5" w14:textId="77777777" w:rsidTr="003E3173">
        <w:tc>
          <w:tcPr>
            <w:tcW w:w="1117" w:type="pct"/>
            <w:tcBorders>
              <w:top w:val="nil"/>
              <w:left w:val="nil"/>
              <w:bottom w:val="nil"/>
              <w:right w:val="nil"/>
            </w:tcBorders>
            <w:shd w:val="clear" w:color="auto" w:fill="auto"/>
            <w:tcMar>
              <w:top w:w="100" w:type="dxa"/>
              <w:left w:w="100" w:type="dxa"/>
              <w:bottom w:w="100" w:type="dxa"/>
              <w:right w:w="100" w:type="dxa"/>
            </w:tcMar>
          </w:tcPr>
          <w:p w14:paraId="6387927D" w14:textId="77777777" w:rsidR="00BF6F8B" w:rsidRPr="00F35727" w:rsidRDefault="00BF6F8B" w:rsidP="003E3173">
            <w:pPr>
              <w:widowControl w:val="0"/>
              <w:rPr>
                <w:rFonts w:eastAsia="Times New Roman"/>
              </w:rPr>
            </w:pPr>
            <w:r>
              <w:rPr>
                <w:rFonts w:eastAsia="Times New Roman"/>
              </w:rPr>
              <w:lastRenderedPageBreak/>
              <w:t xml:space="preserve"> </w:t>
            </w:r>
            <w:r w:rsidRPr="00F35727">
              <w:rPr>
                <w:rFonts w:eastAsia="Times New Roman"/>
              </w:rPr>
              <w:t>2 Month (2 months)</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30BAE62" w14:textId="77777777" w:rsidR="00BF6F8B" w:rsidRPr="00F35727" w:rsidRDefault="00BF6F8B" w:rsidP="003E3173">
            <w:pPr>
              <w:widowControl w:val="0"/>
              <w:jc w:val="center"/>
              <w:rPr>
                <w:rFonts w:eastAsia="Times New Roman"/>
              </w:rPr>
            </w:pPr>
            <w:r w:rsidRPr="00F35727">
              <w:rPr>
                <w:rFonts w:eastAsia="Times New Roman"/>
              </w:rPr>
              <w:t>0.48</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22DD1CC" w14:textId="77777777" w:rsidR="00BF6F8B" w:rsidRPr="00F35727" w:rsidRDefault="00BF6F8B" w:rsidP="003E3173">
            <w:pPr>
              <w:widowControl w:val="0"/>
              <w:jc w:val="center"/>
              <w:rPr>
                <w:rFonts w:eastAsia="Times New Roman"/>
              </w:rPr>
            </w:pPr>
            <w:r w:rsidRPr="00F35727">
              <w:rPr>
                <w:rFonts w:eastAsia="Times New Roman"/>
              </w:rPr>
              <w:t>(3.20)</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2D6640A" w14:textId="77777777" w:rsidR="00BF6F8B" w:rsidRPr="00F35727" w:rsidRDefault="00BF6F8B" w:rsidP="003E3173">
            <w:pPr>
              <w:widowControl w:val="0"/>
              <w:jc w:val="center"/>
              <w:rPr>
                <w:rFonts w:eastAsia="Times New Roman"/>
              </w:rPr>
            </w:pPr>
            <w:r w:rsidRPr="00F35727">
              <w:rPr>
                <w:rFonts w:eastAsia="Times New Roman"/>
              </w:rPr>
              <w:t>11.25</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35C8A0CF" w14:textId="77777777" w:rsidR="00BF6F8B" w:rsidRPr="00F35727" w:rsidRDefault="00BF6F8B" w:rsidP="003E3173">
            <w:pPr>
              <w:widowControl w:val="0"/>
              <w:jc w:val="center"/>
              <w:rPr>
                <w:rFonts w:eastAsia="Times New Roman"/>
              </w:rPr>
            </w:pPr>
            <w:r w:rsidRPr="00F35727">
              <w:rPr>
                <w:rFonts w:eastAsia="Times New Roman"/>
              </w:rPr>
              <w:t>0.54</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CCE027C" w14:textId="77777777" w:rsidR="00BF6F8B" w:rsidRPr="00F35727" w:rsidRDefault="00BF6F8B" w:rsidP="003E3173">
            <w:pPr>
              <w:widowControl w:val="0"/>
              <w:jc w:val="center"/>
              <w:rPr>
                <w:rFonts w:eastAsia="Times New Roman"/>
              </w:rPr>
            </w:pPr>
            <w:r w:rsidRPr="00F35727">
              <w:rPr>
                <w:rFonts w:eastAsia="Times New Roman"/>
              </w:rPr>
              <w:t>(3.57)</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36422E5B" w14:textId="77777777" w:rsidR="00BF6F8B" w:rsidRPr="00F35727" w:rsidRDefault="00BF6F8B" w:rsidP="003E3173">
            <w:pPr>
              <w:widowControl w:val="0"/>
              <w:jc w:val="center"/>
              <w:rPr>
                <w:rFonts w:eastAsia="Times New Roman"/>
              </w:rPr>
            </w:pPr>
            <w:r w:rsidRPr="00F35727">
              <w:rPr>
                <w:rFonts w:eastAsia="Times New Roman"/>
              </w:rPr>
              <w:t>10.89</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3F934B3" w14:textId="77777777" w:rsidR="00BF6F8B" w:rsidRPr="00F35727" w:rsidRDefault="00BF6F8B" w:rsidP="003E3173">
            <w:pPr>
              <w:widowControl w:val="0"/>
              <w:jc w:val="center"/>
              <w:rPr>
                <w:rFonts w:eastAsia="Times New Roman"/>
              </w:rPr>
            </w:pPr>
            <w:r w:rsidRPr="00F35727">
              <w:rPr>
                <w:rFonts w:eastAsia="Times New Roman"/>
              </w:rPr>
              <w:t>0.37</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A677020" w14:textId="77777777" w:rsidR="00BF6F8B" w:rsidRPr="00F35727" w:rsidRDefault="00BF6F8B" w:rsidP="003E3173">
            <w:pPr>
              <w:widowControl w:val="0"/>
              <w:jc w:val="center"/>
              <w:rPr>
                <w:rFonts w:eastAsia="Times New Roman"/>
              </w:rPr>
            </w:pPr>
            <w:r w:rsidRPr="00F35727">
              <w:rPr>
                <w:rFonts w:eastAsia="Times New Roman"/>
              </w:rPr>
              <w:t>(2.35)</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D453ED6" w14:textId="77777777" w:rsidR="00BF6F8B" w:rsidRPr="00F35727" w:rsidRDefault="00BF6F8B" w:rsidP="003E3173">
            <w:pPr>
              <w:widowControl w:val="0"/>
              <w:jc w:val="center"/>
              <w:rPr>
                <w:rFonts w:eastAsia="Times New Roman"/>
              </w:rPr>
            </w:pPr>
            <w:r w:rsidRPr="00F35727">
              <w:rPr>
                <w:rFonts w:eastAsia="Times New Roman"/>
              </w:rPr>
              <w:t>9.88</w:t>
            </w:r>
          </w:p>
        </w:tc>
      </w:tr>
      <w:tr w:rsidR="00BF6F8B" w:rsidRPr="00F35727" w14:paraId="6BFB8BDB" w14:textId="77777777" w:rsidTr="003E3173">
        <w:tc>
          <w:tcPr>
            <w:tcW w:w="1117" w:type="pct"/>
            <w:tcBorders>
              <w:top w:val="nil"/>
              <w:left w:val="nil"/>
              <w:bottom w:val="nil"/>
              <w:right w:val="nil"/>
            </w:tcBorders>
            <w:shd w:val="clear" w:color="auto" w:fill="auto"/>
            <w:tcMar>
              <w:top w:w="100" w:type="dxa"/>
              <w:left w:w="100" w:type="dxa"/>
              <w:bottom w:w="100" w:type="dxa"/>
              <w:right w:w="100" w:type="dxa"/>
            </w:tcMar>
          </w:tcPr>
          <w:p w14:paraId="41159754"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6 Month (4 months)</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745B41B0" w14:textId="77777777" w:rsidR="00BF6F8B" w:rsidRPr="00F35727" w:rsidRDefault="00BF6F8B" w:rsidP="003E3173">
            <w:pPr>
              <w:widowControl w:val="0"/>
              <w:jc w:val="center"/>
              <w:rPr>
                <w:rFonts w:eastAsia="Times New Roman"/>
              </w:rPr>
            </w:pPr>
            <w:r w:rsidRPr="00F35727">
              <w:rPr>
                <w:rFonts w:eastAsia="Times New Roman"/>
              </w:rPr>
              <w:t>0.59</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BF3E469" w14:textId="77777777" w:rsidR="00BF6F8B" w:rsidRPr="00F35727" w:rsidRDefault="00BF6F8B" w:rsidP="003E3173">
            <w:pPr>
              <w:widowControl w:val="0"/>
              <w:jc w:val="center"/>
              <w:rPr>
                <w:rFonts w:eastAsia="Times New Roman"/>
              </w:rPr>
            </w:pPr>
            <w:r w:rsidRPr="00F35727">
              <w:rPr>
                <w:rFonts w:eastAsia="Times New Roman"/>
              </w:rPr>
              <w:t>(3.46)</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068E8A82" w14:textId="77777777" w:rsidR="00BF6F8B" w:rsidRPr="00F35727" w:rsidRDefault="00BF6F8B" w:rsidP="003E3173">
            <w:pPr>
              <w:widowControl w:val="0"/>
              <w:jc w:val="center"/>
              <w:rPr>
                <w:rFonts w:eastAsia="Times New Roman"/>
              </w:rPr>
            </w:pPr>
            <w:r w:rsidRPr="00F35727">
              <w:rPr>
                <w:rFonts w:eastAsia="Times New Roman"/>
              </w:rPr>
              <w:t>8.99</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564422B" w14:textId="77777777" w:rsidR="00BF6F8B" w:rsidRPr="00F35727" w:rsidRDefault="00BF6F8B" w:rsidP="003E3173">
            <w:pPr>
              <w:widowControl w:val="0"/>
              <w:jc w:val="center"/>
              <w:rPr>
                <w:rFonts w:eastAsia="Times New Roman"/>
              </w:rPr>
            </w:pPr>
            <w:r w:rsidRPr="00F35727">
              <w:rPr>
                <w:rFonts w:eastAsia="Times New Roman"/>
              </w:rPr>
              <w:t>0.68</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124B3428" w14:textId="77777777" w:rsidR="00BF6F8B" w:rsidRPr="00F35727" w:rsidRDefault="00BF6F8B" w:rsidP="003E3173">
            <w:pPr>
              <w:widowControl w:val="0"/>
              <w:jc w:val="center"/>
              <w:rPr>
                <w:rFonts w:eastAsia="Times New Roman"/>
              </w:rPr>
            </w:pPr>
            <w:r w:rsidRPr="00F35727">
              <w:rPr>
                <w:rFonts w:eastAsia="Times New Roman"/>
              </w:rPr>
              <w:t>(3.69)</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A1C8F69" w14:textId="77777777" w:rsidR="00BF6F8B" w:rsidRPr="00F35727" w:rsidRDefault="00BF6F8B" w:rsidP="003E3173">
            <w:pPr>
              <w:widowControl w:val="0"/>
              <w:jc w:val="center"/>
              <w:rPr>
                <w:rFonts w:eastAsia="Times New Roman"/>
              </w:rPr>
            </w:pPr>
            <w:r w:rsidRPr="00F35727">
              <w:rPr>
                <w:rFonts w:eastAsia="Times New Roman"/>
              </w:rPr>
              <w:t>8.24</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4B6A7C7" w14:textId="77777777" w:rsidR="00BF6F8B" w:rsidRPr="00F35727" w:rsidRDefault="00BF6F8B" w:rsidP="003E3173">
            <w:pPr>
              <w:widowControl w:val="0"/>
              <w:jc w:val="center"/>
              <w:rPr>
                <w:rFonts w:eastAsia="Times New Roman"/>
              </w:rPr>
            </w:pPr>
            <w:r w:rsidRPr="00F35727">
              <w:rPr>
                <w:rFonts w:eastAsia="Times New Roman"/>
              </w:rPr>
              <w:t>0.48</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E4F6811" w14:textId="77777777" w:rsidR="00BF6F8B" w:rsidRPr="00F35727" w:rsidRDefault="00BF6F8B" w:rsidP="003E3173">
            <w:pPr>
              <w:widowControl w:val="0"/>
              <w:jc w:val="center"/>
              <w:rPr>
                <w:rFonts w:eastAsia="Times New Roman"/>
              </w:rPr>
            </w:pPr>
            <w:r w:rsidRPr="00F35727">
              <w:rPr>
                <w:rFonts w:eastAsia="Times New Roman"/>
              </w:rPr>
              <w:t>(3.14)</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75827CB" w14:textId="77777777" w:rsidR="00BF6F8B" w:rsidRPr="00F35727" w:rsidRDefault="00BF6F8B" w:rsidP="003E3173">
            <w:pPr>
              <w:widowControl w:val="0"/>
              <w:jc w:val="center"/>
              <w:rPr>
                <w:rFonts w:eastAsia="Times New Roman"/>
              </w:rPr>
            </w:pPr>
            <w:r w:rsidRPr="00F35727">
              <w:rPr>
                <w:rFonts w:eastAsia="Times New Roman"/>
              </w:rPr>
              <w:t>10.30</w:t>
            </w:r>
          </w:p>
        </w:tc>
      </w:tr>
      <w:tr w:rsidR="00BF6F8B" w:rsidRPr="00F35727" w14:paraId="709AB713" w14:textId="77777777" w:rsidTr="003E3173">
        <w:tc>
          <w:tcPr>
            <w:tcW w:w="1117" w:type="pct"/>
            <w:tcBorders>
              <w:top w:val="nil"/>
              <w:left w:val="nil"/>
              <w:bottom w:val="nil"/>
              <w:right w:val="nil"/>
            </w:tcBorders>
            <w:shd w:val="clear" w:color="auto" w:fill="auto"/>
            <w:tcMar>
              <w:top w:w="100" w:type="dxa"/>
              <w:left w:w="100" w:type="dxa"/>
              <w:bottom w:w="100" w:type="dxa"/>
              <w:right w:w="100" w:type="dxa"/>
            </w:tcMar>
          </w:tcPr>
          <w:p w14:paraId="2C314D17" w14:textId="77777777" w:rsidR="00BF6F8B" w:rsidRPr="00F35727" w:rsidRDefault="00BF6F8B" w:rsidP="003E3173">
            <w:pPr>
              <w:widowControl w:val="0"/>
              <w:rPr>
                <w:rFonts w:eastAsia="Times New Roman"/>
                <w:b/>
              </w:rPr>
            </w:pPr>
            <w:r w:rsidRPr="00F35727">
              <w:rPr>
                <w:rFonts w:eastAsia="Times New Roman"/>
                <w:b/>
              </w:rPr>
              <w:t>Perpetration</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7A6740FF"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6356813"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9E6A168"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0FCAD9F7"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7418A1A2"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6FFDB9F0"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73D31037"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0321FAB5" w14:textId="77777777" w:rsidR="00BF6F8B" w:rsidRPr="00F35727" w:rsidRDefault="00BF6F8B" w:rsidP="003E3173">
            <w:pPr>
              <w:widowControl w:val="0"/>
              <w:jc w:val="center"/>
              <w:rPr>
                <w:rFonts w:eastAsia="Times New Roman"/>
              </w:rPr>
            </w:pP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99B9472" w14:textId="77777777" w:rsidR="00BF6F8B" w:rsidRPr="00F35727" w:rsidRDefault="00BF6F8B" w:rsidP="003E3173">
            <w:pPr>
              <w:widowControl w:val="0"/>
              <w:jc w:val="center"/>
              <w:rPr>
                <w:rFonts w:eastAsia="Times New Roman"/>
              </w:rPr>
            </w:pPr>
          </w:p>
        </w:tc>
      </w:tr>
      <w:tr w:rsidR="00BF6F8B" w:rsidRPr="00F35727" w14:paraId="738D2B6C" w14:textId="77777777" w:rsidTr="003E3173">
        <w:tc>
          <w:tcPr>
            <w:tcW w:w="1117" w:type="pct"/>
            <w:tcBorders>
              <w:top w:val="nil"/>
              <w:left w:val="nil"/>
              <w:bottom w:val="nil"/>
              <w:right w:val="nil"/>
            </w:tcBorders>
            <w:shd w:val="clear" w:color="auto" w:fill="auto"/>
            <w:tcMar>
              <w:top w:w="100" w:type="dxa"/>
              <w:left w:w="100" w:type="dxa"/>
              <w:bottom w:w="100" w:type="dxa"/>
              <w:right w:w="100" w:type="dxa"/>
            </w:tcMar>
          </w:tcPr>
          <w:p w14:paraId="7A6E46B0"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Baseline (12 months)</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739AD8A0" w14:textId="77777777" w:rsidR="00BF6F8B" w:rsidRPr="00F35727" w:rsidRDefault="00BF6F8B" w:rsidP="003E3173">
            <w:pPr>
              <w:widowControl w:val="0"/>
              <w:jc w:val="center"/>
              <w:rPr>
                <w:rFonts w:eastAsia="Times New Roman"/>
              </w:rPr>
            </w:pPr>
            <w:r w:rsidRPr="00F35727">
              <w:rPr>
                <w:rFonts w:eastAsia="Times New Roman"/>
              </w:rPr>
              <w:t>0.22</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16757AB9" w14:textId="77777777" w:rsidR="00BF6F8B" w:rsidRPr="00F35727" w:rsidRDefault="00BF6F8B" w:rsidP="003E3173">
            <w:pPr>
              <w:widowControl w:val="0"/>
              <w:jc w:val="center"/>
              <w:rPr>
                <w:rFonts w:eastAsia="Times New Roman"/>
              </w:rPr>
            </w:pPr>
            <w:r w:rsidRPr="00F35727">
              <w:rPr>
                <w:rFonts w:eastAsia="Times New Roman"/>
              </w:rPr>
              <w:t>(2.60)</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33F1C3C7" w14:textId="77777777" w:rsidR="00BF6F8B" w:rsidRPr="00F35727" w:rsidRDefault="00BF6F8B" w:rsidP="003E3173">
            <w:pPr>
              <w:widowControl w:val="0"/>
              <w:jc w:val="center"/>
              <w:rPr>
                <w:rFonts w:eastAsia="Times New Roman"/>
              </w:rPr>
            </w:pPr>
            <w:r w:rsidRPr="00F35727">
              <w:rPr>
                <w:rFonts w:eastAsia="Times New Roman"/>
              </w:rPr>
              <w:t>18.51</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CF08873" w14:textId="77777777" w:rsidR="00BF6F8B" w:rsidRPr="00F35727" w:rsidRDefault="00BF6F8B" w:rsidP="003E3173">
            <w:pPr>
              <w:widowControl w:val="0"/>
              <w:jc w:val="center"/>
              <w:rPr>
                <w:rFonts w:eastAsia="Times New Roman"/>
              </w:rPr>
            </w:pPr>
            <w:r w:rsidRPr="00F35727">
              <w:rPr>
                <w:rFonts w:eastAsia="Times New Roman"/>
              </w:rPr>
              <w:t>0.31</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12AF97D8" w14:textId="77777777" w:rsidR="00BF6F8B" w:rsidRPr="00F35727" w:rsidRDefault="00BF6F8B" w:rsidP="003E3173">
            <w:pPr>
              <w:widowControl w:val="0"/>
              <w:jc w:val="center"/>
              <w:rPr>
                <w:rFonts w:eastAsia="Times New Roman"/>
              </w:rPr>
            </w:pPr>
            <w:r w:rsidRPr="00F35727">
              <w:rPr>
                <w:rFonts w:eastAsia="Times New Roman"/>
              </w:rPr>
              <w:t>(3.35)</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7560FACE" w14:textId="77777777" w:rsidR="00BF6F8B" w:rsidRPr="00F35727" w:rsidRDefault="00BF6F8B" w:rsidP="003E3173">
            <w:pPr>
              <w:widowControl w:val="0"/>
              <w:jc w:val="center"/>
              <w:rPr>
                <w:rFonts w:eastAsia="Times New Roman"/>
              </w:rPr>
            </w:pPr>
            <w:r w:rsidRPr="00F35727">
              <w:rPr>
                <w:rFonts w:eastAsia="Times New Roman"/>
              </w:rPr>
              <w:t>14.87</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48299AA" w14:textId="77777777" w:rsidR="00BF6F8B" w:rsidRPr="00F35727" w:rsidRDefault="00BF6F8B" w:rsidP="003E3173">
            <w:pPr>
              <w:widowControl w:val="0"/>
              <w:jc w:val="center"/>
              <w:rPr>
                <w:rFonts w:eastAsia="Times New Roman"/>
              </w:rPr>
            </w:pPr>
            <w:r w:rsidRPr="00F35727">
              <w:rPr>
                <w:rFonts w:eastAsia="Times New Roman"/>
              </w:rPr>
              <w:t>0.09</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14DC6BB" w14:textId="77777777" w:rsidR="00BF6F8B" w:rsidRPr="00F35727" w:rsidRDefault="00BF6F8B" w:rsidP="003E3173">
            <w:pPr>
              <w:widowControl w:val="0"/>
              <w:jc w:val="center"/>
              <w:rPr>
                <w:rFonts w:eastAsia="Times New Roman"/>
              </w:rPr>
            </w:pPr>
            <w:r w:rsidRPr="00F35727">
              <w:rPr>
                <w:rFonts w:eastAsia="Times New Roman"/>
              </w:rPr>
              <w:t>(0.91)</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FCDC1B5" w14:textId="77777777" w:rsidR="00BF6F8B" w:rsidRPr="00F35727" w:rsidRDefault="00BF6F8B" w:rsidP="003E3173">
            <w:pPr>
              <w:widowControl w:val="0"/>
              <w:jc w:val="center"/>
              <w:rPr>
                <w:rFonts w:eastAsia="Times New Roman"/>
              </w:rPr>
            </w:pPr>
            <w:r w:rsidRPr="00F35727">
              <w:rPr>
                <w:rFonts w:eastAsia="Times New Roman"/>
              </w:rPr>
              <w:t>14.60</w:t>
            </w:r>
          </w:p>
        </w:tc>
      </w:tr>
      <w:tr w:rsidR="00BF6F8B" w:rsidRPr="00F35727" w14:paraId="786EAD84" w14:textId="77777777" w:rsidTr="003E3173">
        <w:tc>
          <w:tcPr>
            <w:tcW w:w="1117" w:type="pct"/>
            <w:tcBorders>
              <w:top w:val="nil"/>
              <w:left w:val="nil"/>
              <w:bottom w:val="nil"/>
              <w:right w:val="nil"/>
            </w:tcBorders>
            <w:shd w:val="clear" w:color="auto" w:fill="auto"/>
            <w:tcMar>
              <w:top w:w="100" w:type="dxa"/>
              <w:left w:w="100" w:type="dxa"/>
              <w:bottom w:w="100" w:type="dxa"/>
              <w:right w:w="100" w:type="dxa"/>
            </w:tcMar>
          </w:tcPr>
          <w:p w14:paraId="09C7B2F1"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2 Month (2 months)</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D287FD2" w14:textId="77777777" w:rsidR="00BF6F8B" w:rsidRPr="00F35727" w:rsidRDefault="00BF6F8B" w:rsidP="003E3173">
            <w:pPr>
              <w:widowControl w:val="0"/>
              <w:jc w:val="center"/>
              <w:rPr>
                <w:rFonts w:eastAsia="Times New Roman"/>
              </w:rPr>
            </w:pPr>
            <w:r w:rsidRPr="00F35727">
              <w:rPr>
                <w:rFonts w:eastAsia="Times New Roman"/>
              </w:rPr>
              <w:t>0.33</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25BC84F1" w14:textId="77777777" w:rsidR="00BF6F8B" w:rsidRPr="00F35727" w:rsidRDefault="00BF6F8B" w:rsidP="003E3173">
            <w:pPr>
              <w:widowControl w:val="0"/>
              <w:jc w:val="center"/>
              <w:rPr>
                <w:rFonts w:eastAsia="Times New Roman"/>
              </w:rPr>
            </w:pPr>
            <w:r w:rsidRPr="00F35727">
              <w:rPr>
                <w:rFonts w:eastAsia="Times New Roman"/>
              </w:rPr>
              <w:t>(3.07)</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4C44C95F" w14:textId="77777777" w:rsidR="00BF6F8B" w:rsidRPr="00F35727" w:rsidRDefault="00BF6F8B" w:rsidP="003E3173">
            <w:pPr>
              <w:widowControl w:val="0"/>
              <w:jc w:val="center"/>
              <w:rPr>
                <w:rFonts w:eastAsia="Times New Roman"/>
              </w:rPr>
            </w:pPr>
            <w:r w:rsidRPr="00F35727">
              <w:rPr>
                <w:rFonts w:eastAsia="Times New Roman"/>
              </w:rPr>
              <w:t>14.42</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05EE27B8" w14:textId="77777777" w:rsidR="00BF6F8B" w:rsidRPr="00F35727" w:rsidRDefault="00BF6F8B" w:rsidP="003E3173">
            <w:pPr>
              <w:widowControl w:val="0"/>
              <w:jc w:val="center"/>
              <w:rPr>
                <w:rFonts w:eastAsia="Times New Roman"/>
              </w:rPr>
            </w:pPr>
            <w:r w:rsidRPr="00F35727">
              <w:rPr>
                <w:rFonts w:eastAsia="Times New Roman"/>
              </w:rPr>
              <w:t>0.40</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1C766808" w14:textId="77777777" w:rsidR="00BF6F8B" w:rsidRPr="00F35727" w:rsidRDefault="00BF6F8B" w:rsidP="003E3173">
            <w:pPr>
              <w:widowControl w:val="0"/>
              <w:jc w:val="center"/>
              <w:rPr>
                <w:rFonts w:eastAsia="Times New Roman"/>
              </w:rPr>
            </w:pPr>
            <w:r w:rsidRPr="00F35727">
              <w:rPr>
                <w:rFonts w:eastAsia="Times New Roman"/>
              </w:rPr>
              <w:t>(3.62)</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0581B880" w14:textId="77777777" w:rsidR="00BF6F8B" w:rsidRPr="00F35727" w:rsidRDefault="00BF6F8B" w:rsidP="003E3173">
            <w:pPr>
              <w:widowControl w:val="0"/>
              <w:jc w:val="center"/>
              <w:rPr>
                <w:rFonts w:eastAsia="Times New Roman"/>
              </w:rPr>
            </w:pPr>
            <w:r w:rsidRPr="00F35727">
              <w:rPr>
                <w:rFonts w:eastAsia="Times New Roman"/>
              </w:rPr>
              <w:t>12.95</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C8FC5D0" w14:textId="77777777" w:rsidR="00BF6F8B" w:rsidRPr="00F35727" w:rsidRDefault="00BF6F8B" w:rsidP="003E3173">
            <w:pPr>
              <w:widowControl w:val="0"/>
              <w:jc w:val="center"/>
              <w:rPr>
                <w:rFonts w:eastAsia="Times New Roman"/>
              </w:rPr>
            </w:pPr>
            <w:r w:rsidRPr="00F35727">
              <w:rPr>
                <w:rFonts w:eastAsia="Times New Roman"/>
              </w:rPr>
              <w:t>0.20</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12A4A910" w14:textId="77777777" w:rsidR="00BF6F8B" w:rsidRPr="00F35727" w:rsidRDefault="00BF6F8B" w:rsidP="003E3173">
            <w:pPr>
              <w:widowControl w:val="0"/>
              <w:jc w:val="center"/>
              <w:rPr>
                <w:rFonts w:eastAsia="Times New Roman"/>
              </w:rPr>
            </w:pPr>
            <w:r w:rsidRPr="00F35727">
              <w:rPr>
                <w:rFonts w:eastAsia="Times New Roman"/>
              </w:rPr>
              <w:t>(1.58)</w:t>
            </w:r>
          </w:p>
        </w:tc>
        <w:tc>
          <w:tcPr>
            <w:tcW w:w="431" w:type="pct"/>
            <w:tcBorders>
              <w:top w:val="nil"/>
              <w:left w:val="nil"/>
              <w:bottom w:val="nil"/>
              <w:right w:val="nil"/>
            </w:tcBorders>
            <w:shd w:val="clear" w:color="auto" w:fill="auto"/>
            <w:tcMar>
              <w:top w:w="100" w:type="dxa"/>
              <w:left w:w="100" w:type="dxa"/>
              <w:bottom w:w="100" w:type="dxa"/>
              <w:right w:w="100" w:type="dxa"/>
            </w:tcMar>
            <w:vAlign w:val="center"/>
          </w:tcPr>
          <w:p w14:paraId="51F67EE3" w14:textId="77777777" w:rsidR="00BF6F8B" w:rsidRPr="00F35727" w:rsidRDefault="00BF6F8B" w:rsidP="003E3173">
            <w:pPr>
              <w:widowControl w:val="0"/>
              <w:jc w:val="center"/>
              <w:rPr>
                <w:rFonts w:eastAsia="Times New Roman"/>
              </w:rPr>
            </w:pPr>
            <w:r w:rsidRPr="00F35727">
              <w:rPr>
                <w:rFonts w:eastAsia="Times New Roman"/>
              </w:rPr>
              <w:t>11.26</w:t>
            </w:r>
          </w:p>
        </w:tc>
      </w:tr>
      <w:tr w:rsidR="00BF6F8B" w:rsidRPr="00F35727" w14:paraId="06631790" w14:textId="77777777" w:rsidTr="003E3173">
        <w:tc>
          <w:tcPr>
            <w:tcW w:w="1117" w:type="pct"/>
            <w:tcBorders>
              <w:top w:val="nil"/>
              <w:left w:val="nil"/>
              <w:right w:val="nil"/>
            </w:tcBorders>
            <w:shd w:val="clear" w:color="auto" w:fill="auto"/>
            <w:tcMar>
              <w:top w:w="100" w:type="dxa"/>
              <w:left w:w="100" w:type="dxa"/>
              <w:bottom w:w="100" w:type="dxa"/>
              <w:right w:w="100" w:type="dxa"/>
            </w:tcMar>
          </w:tcPr>
          <w:p w14:paraId="4903A61A"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6 Month (4 months)</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2C0804BE" w14:textId="77777777" w:rsidR="00BF6F8B" w:rsidRPr="00F35727" w:rsidRDefault="00BF6F8B" w:rsidP="003E3173">
            <w:pPr>
              <w:widowControl w:val="0"/>
              <w:jc w:val="center"/>
              <w:rPr>
                <w:rFonts w:eastAsia="Times New Roman"/>
              </w:rPr>
            </w:pPr>
            <w:r w:rsidRPr="00F35727">
              <w:rPr>
                <w:rFonts w:eastAsia="Times New Roman"/>
              </w:rPr>
              <w:t>0.41</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4AAAC9EF" w14:textId="77777777" w:rsidR="00BF6F8B" w:rsidRPr="00F35727" w:rsidRDefault="00BF6F8B" w:rsidP="003E3173">
            <w:pPr>
              <w:widowControl w:val="0"/>
              <w:jc w:val="center"/>
              <w:rPr>
                <w:rFonts w:eastAsia="Times New Roman"/>
              </w:rPr>
            </w:pPr>
            <w:r w:rsidRPr="00F35727">
              <w:rPr>
                <w:rFonts w:eastAsia="Times New Roman"/>
              </w:rPr>
              <w:t>(3.23)</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1511B8A8" w14:textId="77777777" w:rsidR="00BF6F8B" w:rsidRPr="00F35727" w:rsidRDefault="00BF6F8B" w:rsidP="003E3173">
            <w:pPr>
              <w:widowControl w:val="0"/>
              <w:jc w:val="center"/>
              <w:rPr>
                <w:rFonts w:eastAsia="Times New Roman"/>
              </w:rPr>
            </w:pPr>
            <w:r w:rsidRPr="00F35727">
              <w:rPr>
                <w:rFonts w:eastAsia="Times New Roman"/>
              </w:rPr>
              <w:t>11.67</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63E5CEE9" w14:textId="77777777" w:rsidR="00BF6F8B" w:rsidRPr="00F35727" w:rsidRDefault="00BF6F8B" w:rsidP="003E3173">
            <w:pPr>
              <w:widowControl w:val="0"/>
              <w:jc w:val="center"/>
              <w:rPr>
                <w:rFonts w:eastAsia="Times New Roman"/>
              </w:rPr>
            </w:pPr>
            <w:r w:rsidRPr="00F35727">
              <w:rPr>
                <w:rFonts w:eastAsia="Times New Roman"/>
              </w:rPr>
              <w:t>0.48</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023F9E3C" w14:textId="77777777" w:rsidR="00BF6F8B" w:rsidRPr="00F35727" w:rsidRDefault="00BF6F8B" w:rsidP="003E3173">
            <w:pPr>
              <w:widowControl w:val="0"/>
              <w:jc w:val="center"/>
              <w:rPr>
                <w:rFonts w:eastAsia="Times New Roman"/>
              </w:rPr>
            </w:pPr>
            <w:r w:rsidRPr="00F35727">
              <w:rPr>
                <w:rFonts w:eastAsia="Times New Roman"/>
              </w:rPr>
              <w:t>(3.52)</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5DA61240" w14:textId="77777777" w:rsidR="00BF6F8B" w:rsidRPr="00F35727" w:rsidRDefault="00BF6F8B" w:rsidP="003E3173">
            <w:pPr>
              <w:widowControl w:val="0"/>
              <w:jc w:val="center"/>
              <w:rPr>
                <w:rFonts w:eastAsia="Times New Roman"/>
              </w:rPr>
            </w:pPr>
            <w:r w:rsidRPr="00F35727">
              <w:rPr>
                <w:rFonts w:eastAsia="Times New Roman"/>
              </w:rPr>
              <w:t>11.36</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471712C5" w14:textId="77777777" w:rsidR="00BF6F8B" w:rsidRPr="00F35727" w:rsidRDefault="00BF6F8B" w:rsidP="003E3173">
            <w:pPr>
              <w:widowControl w:val="0"/>
              <w:jc w:val="center"/>
              <w:rPr>
                <w:rFonts w:eastAsia="Times New Roman"/>
              </w:rPr>
            </w:pPr>
            <w:r w:rsidRPr="00F35727">
              <w:rPr>
                <w:rFonts w:eastAsia="Times New Roman"/>
              </w:rPr>
              <w:t>0.33</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5B37E129" w14:textId="77777777" w:rsidR="00BF6F8B" w:rsidRPr="00F35727" w:rsidRDefault="00BF6F8B" w:rsidP="003E3173">
            <w:pPr>
              <w:widowControl w:val="0"/>
              <w:jc w:val="center"/>
              <w:rPr>
                <w:rFonts w:eastAsia="Times New Roman"/>
              </w:rPr>
            </w:pPr>
            <w:r w:rsidRPr="00F35727">
              <w:rPr>
                <w:rFonts w:eastAsia="Times New Roman"/>
              </w:rPr>
              <w:t>(2.79)</w:t>
            </w:r>
          </w:p>
        </w:tc>
        <w:tc>
          <w:tcPr>
            <w:tcW w:w="431" w:type="pct"/>
            <w:tcBorders>
              <w:top w:val="nil"/>
              <w:left w:val="nil"/>
              <w:right w:val="nil"/>
            </w:tcBorders>
            <w:shd w:val="clear" w:color="auto" w:fill="auto"/>
            <w:tcMar>
              <w:top w:w="100" w:type="dxa"/>
              <w:left w:w="100" w:type="dxa"/>
              <w:bottom w:w="100" w:type="dxa"/>
              <w:right w:w="100" w:type="dxa"/>
            </w:tcMar>
            <w:vAlign w:val="center"/>
          </w:tcPr>
          <w:p w14:paraId="09C5DAAF" w14:textId="77777777" w:rsidR="00BF6F8B" w:rsidRPr="00F35727" w:rsidRDefault="00BF6F8B" w:rsidP="003E3173">
            <w:pPr>
              <w:widowControl w:val="0"/>
              <w:jc w:val="center"/>
              <w:rPr>
                <w:rFonts w:eastAsia="Times New Roman"/>
              </w:rPr>
            </w:pPr>
            <w:r w:rsidRPr="00F35727">
              <w:rPr>
                <w:rFonts w:eastAsia="Times New Roman"/>
              </w:rPr>
              <w:t>11.68</w:t>
            </w:r>
          </w:p>
        </w:tc>
      </w:tr>
    </w:tbl>
    <w:p w14:paraId="228B9454" w14:textId="77777777" w:rsidR="00BF6F8B" w:rsidRPr="00F35727" w:rsidRDefault="00BF6F8B" w:rsidP="00BF6F8B"/>
    <w:p w14:paraId="5FC62A03" w14:textId="77777777" w:rsidR="00BF6F8B" w:rsidRPr="00F35727" w:rsidRDefault="00BF6F8B" w:rsidP="00BF6F8B">
      <w:pPr>
        <w:rPr>
          <w:rFonts w:eastAsia="Times New Roman"/>
          <w:b/>
          <w:bCs/>
        </w:rPr>
      </w:pPr>
      <w:r w:rsidRPr="00F35727">
        <w:rPr>
          <w:rFonts w:eastAsia="Times New Roman"/>
          <w:b/>
          <w:bCs/>
        </w:rPr>
        <w:t xml:space="preserve">Supplementary Table 3. </w:t>
      </w:r>
    </w:p>
    <w:p w14:paraId="5046AA94" w14:textId="77777777" w:rsidR="00BF6F8B" w:rsidRPr="00F35727" w:rsidRDefault="00BF6F8B" w:rsidP="00BF6F8B">
      <w:pPr>
        <w:spacing w:line="480" w:lineRule="auto"/>
        <w:rPr>
          <w:rFonts w:eastAsia="Times New Roman"/>
          <w:b/>
          <w:bCs/>
        </w:rPr>
      </w:pPr>
      <w:r w:rsidRPr="00F35727">
        <w:rPr>
          <w:rFonts w:eastAsia="Times New Roman"/>
          <w:b/>
          <w:bCs/>
        </w:rPr>
        <w:t>Unadjusted longitudinal sexual violence victimization and perpetration event counts, number of reporters, and count per person year by condition</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394"/>
        <w:gridCol w:w="858"/>
        <w:gridCol w:w="1148"/>
        <w:gridCol w:w="1222"/>
        <w:gridCol w:w="858"/>
        <w:gridCol w:w="1148"/>
        <w:gridCol w:w="1222"/>
        <w:gridCol w:w="588"/>
        <w:gridCol w:w="588"/>
      </w:tblGrid>
      <w:tr w:rsidR="00BF6F8B" w:rsidRPr="00F35727" w14:paraId="2967567C" w14:textId="77777777" w:rsidTr="003E3173">
        <w:trPr>
          <w:trHeight w:val="143"/>
        </w:trPr>
        <w:tc>
          <w:tcPr>
            <w:tcW w:w="970" w:type="pct"/>
            <w:tcBorders>
              <w:top w:val="nil"/>
              <w:left w:val="nil"/>
              <w:bottom w:val="nil"/>
              <w:right w:val="nil"/>
            </w:tcBorders>
            <w:shd w:val="clear" w:color="auto" w:fill="auto"/>
            <w:tcMar>
              <w:top w:w="100" w:type="dxa"/>
              <w:left w:w="100" w:type="dxa"/>
              <w:bottom w:w="100" w:type="dxa"/>
              <w:right w:w="100" w:type="dxa"/>
            </w:tcMar>
          </w:tcPr>
          <w:p w14:paraId="420AC269" w14:textId="77777777" w:rsidR="00BF6F8B" w:rsidRPr="00F35727" w:rsidRDefault="00BF6F8B" w:rsidP="003E3173">
            <w:pPr>
              <w:widowControl w:val="0"/>
              <w:pBdr>
                <w:top w:val="nil"/>
                <w:left w:val="nil"/>
                <w:bottom w:val="nil"/>
                <w:right w:val="nil"/>
                <w:between w:val="nil"/>
              </w:pBdr>
              <w:rPr>
                <w:rFonts w:eastAsia="Times New Roman"/>
              </w:rPr>
            </w:pPr>
          </w:p>
        </w:tc>
        <w:tc>
          <w:tcPr>
            <w:tcW w:w="1672" w:type="pct"/>
            <w:gridSpan w:val="3"/>
            <w:tcBorders>
              <w:top w:val="nil"/>
              <w:left w:val="nil"/>
              <w:bottom w:val="nil"/>
              <w:right w:val="nil"/>
            </w:tcBorders>
            <w:shd w:val="clear" w:color="auto" w:fill="auto"/>
            <w:tcMar>
              <w:top w:w="100" w:type="dxa"/>
              <w:left w:w="100" w:type="dxa"/>
              <w:bottom w:w="100" w:type="dxa"/>
              <w:right w:w="100" w:type="dxa"/>
            </w:tcMar>
            <w:vAlign w:val="center"/>
          </w:tcPr>
          <w:p w14:paraId="31D11D66" w14:textId="77777777" w:rsidR="00BF6F8B" w:rsidRPr="00F35727" w:rsidRDefault="00BF6F8B" w:rsidP="003E3173">
            <w:pPr>
              <w:widowControl w:val="0"/>
              <w:pBdr>
                <w:top w:val="nil"/>
                <w:left w:val="nil"/>
                <w:bottom w:val="nil"/>
                <w:right w:val="nil"/>
                <w:between w:val="nil"/>
              </w:pBdr>
              <w:jc w:val="center"/>
              <w:rPr>
                <w:rFonts w:eastAsia="Times New Roman"/>
                <w:u w:val="single"/>
              </w:rPr>
            </w:pPr>
            <w:r w:rsidRPr="00F35727">
              <w:rPr>
                <w:rFonts w:eastAsia="Times New Roman"/>
                <w:u w:val="single"/>
              </w:rPr>
              <w:t>Control</w:t>
            </w:r>
          </w:p>
        </w:tc>
        <w:tc>
          <w:tcPr>
            <w:tcW w:w="1731" w:type="pct"/>
            <w:gridSpan w:val="3"/>
            <w:tcBorders>
              <w:top w:val="nil"/>
              <w:left w:val="nil"/>
              <w:bottom w:val="nil"/>
              <w:right w:val="nil"/>
            </w:tcBorders>
            <w:shd w:val="clear" w:color="auto" w:fill="auto"/>
            <w:tcMar>
              <w:top w:w="100" w:type="dxa"/>
              <w:left w:w="100" w:type="dxa"/>
              <w:bottom w:w="100" w:type="dxa"/>
              <w:right w:w="100" w:type="dxa"/>
            </w:tcMar>
            <w:vAlign w:val="center"/>
          </w:tcPr>
          <w:p w14:paraId="3E619112" w14:textId="77777777" w:rsidR="00BF6F8B" w:rsidRPr="00F35727" w:rsidRDefault="00BF6F8B" w:rsidP="003E3173">
            <w:pPr>
              <w:widowControl w:val="0"/>
              <w:pBdr>
                <w:top w:val="nil"/>
                <w:left w:val="nil"/>
                <w:bottom w:val="nil"/>
                <w:right w:val="nil"/>
                <w:between w:val="nil"/>
              </w:pBdr>
              <w:jc w:val="center"/>
              <w:rPr>
                <w:rFonts w:eastAsia="Times New Roman"/>
                <w:u w:val="single"/>
              </w:rPr>
            </w:pPr>
            <w:r w:rsidRPr="00F35727">
              <w:rPr>
                <w:rFonts w:eastAsia="Times New Roman"/>
                <w:u w:val="single"/>
              </w:rPr>
              <w:t>Intervention</w:t>
            </w:r>
          </w:p>
        </w:tc>
        <w:tc>
          <w:tcPr>
            <w:tcW w:w="314" w:type="pct"/>
            <w:vMerge w:val="restart"/>
            <w:tcBorders>
              <w:top w:val="nil"/>
              <w:left w:val="nil"/>
              <w:bottom w:val="nil"/>
              <w:right w:val="nil"/>
            </w:tcBorders>
            <w:shd w:val="clear" w:color="auto" w:fill="auto"/>
            <w:tcMar>
              <w:top w:w="100" w:type="dxa"/>
              <w:left w:w="100" w:type="dxa"/>
              <w:bottom w:w="100" w:type="dxa"/>
              <w:right w:w="100" w:type="dxa"/>
            </w:tcMar>
            <w:vAlign w:val="center"/>
          </w:tcPr>
          <w:p w14:paraId="4007302A" w14:textId="77777777" w:rsidR="00BF6F8B" w:rsidRPr="00F35727" w:rsidRDefault="00BF6F8B" w:rsidP="003E3173">
            <w:pPr>
              <w:widowControl w:val="0"/>
              <w:pBdr>
                <w:top w:val="nil"/>
                <w:left w:val="nil"/>
                <w:bottom w:val="nil"/>
                <w:right w:val="nil"/>
                <w:between w:val="nil"/>
              </w:pBdr>
              <w:jc w:val="center"/>
              <w:rPr>
                <w:rFonts w:eastAsia="Times New Roman"/>
                <w:vertAlign w:val="superscript"/>
              </w:rPr>
            </w:pPr>
            <w:r w:rsidRPr="00F35727">
              <w:rPr>
                <w:rFonts w:eastAsia="Times New Roman"/>
                <w:i/>
              </w:rPr>
              <w:t>t</w:t>
            </w:r>
            <w:r w:rsidRPr="00F35727">
              <w:rPr>
                <w:rFonts w:eastAsia="Times New Roman"/>
                <w:vertAlign w:val="superscript"/>
              </w:rPr>
              <w:t>3</w:t>
            </w:r>
          </w:p>
        </w:tc>
        <w:tc>
          <w:tcPr>
            <w:tcW w:w="314" w:type="pct"/>
            <w:vMerge w:val="restart"/>
            <w:tcBorders>
              <w:top w:val="nil"/>
              <w:left w:val="nil"/>
              <w:bottom w:val="nil"/>
              <w:right w:val="nil"/>
            </w:tcBorders>
            <w:shd w:val="clear" w:color="auto" w:fill="auto"/>
            <w:tcMar>
              <w:top w:w="100" w:type="dxa"/>
              <w:left w:w="100" w:type="dxa"/>
              <w:bottom w:w="100" w:type="dxa"/>
              <w:right w:w="100" w:type="dxa"/>
            </w:tcMar>
            <w:vAlign w:val="center"/>
          </w:tcPr>
          <w:p w14:paraId="6ECF7FD1" w14:textId="77777777" w:rsidR="00BF6F8B" w:rsidRPr="00F35727" w:rsidRDefault="00BF6F8B" w:rsidP="003E3173">
            <w:pPr>
              <w:widowControl w:val="0"/>
              <w:pBdr>
                <w:top w:val="nil"/>
                <w:left w:val="nil"/>
                <w:bottom w:val="nil"/>
                <w:right w:val="nil"/>
                <w:between w:val="nil"/>
              </w:pBdr>
              <w:jc w:val="center"/>
              <w:rPr>
                <w:rFonts w:eastAsia="Times New Roman"/>
                <w:i/>
              </w:rPr>
            </w:pPr>
            <w:r w:rsidRPr="00F35727">
              <w:rPr>
                <w:rFonts w:eastAsia="Times New Roman"/>
                <w:i/>
              </w:rPr>
              <w:t>p</w:t>
            </w:r>
          </w:p>
        </w:tc>
      </w:tr>
      <w:tr w:rsidR="00BF6F8B" w:rsidRPr="00F35727" w14:paraId="6BA667A8" w14:textId="77777777" w:rsidTr="003E3173">
        <w:trPr>
          <w:trHeight w:val="440"/>
        </w:trPr>
        <w:tc>
          <w:tcPr>
            <w:tcW w:w="970"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7C6D99B3" w14:textId="77777777" w:rsidR="00BF6F8B" w:rsidRPr="00F35727" w:rsidRDefault="00BF6F8B" w:rsidP="003E3173">
            <w:pPr>
              <w:widowControl w:val="0"/>
              <w:pBdr>
                <w:top w:val="nil"/>
                <w:left w:val="nil"/>
                <w:bottom w:val="nil"/>
                <w:right w:val="nil"/>
                <w:between w:val="nil"/>
              </w:pBdr>
              <w:rPr>
                <w:rFonts w:eastAsia="Times New Roman"/>
              </w:rPr>
            </w:pPr>
            <w:r w:rsidRPr="00F35727">
              <w:rPr>
                <w:rFonts w:eastAsia="Times New Roman"/>
              </w:rPr>
              <w:t>Time point (exposure)</w:t>
            </w:r>
          </w:p>
        </w:tc>
        <w:tc>
          <w:tcPr>
            <w:tcW w:w="366"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3AE733F" w14:textId="77777777" w:rsidR="00BF6F8B" w:rsidRPr="00F35727" w:rsidRDefault="00BF6F8B" w:rsidP="003E3173">
            <w:pPr>
              <w:widowControl w:val="0"/>
              <w:pBdr>
                <w:top w:val="nil"/>
                <w:left w:val="nil"/>
                <w:bottom w:val="nil"/>
                <w:right w:val="nil"/>
                <w:between w:val="nil"/>
              </w:pBdr>
              <w:jc w:val="center"/>
              <w:rPr>
                <w:rFonts w:eastAsia="Times New Roman"/>
                <w:vertAlign w:val="superscript"/>
              </w:rPr>
            </w:pPr>
            <w:r w:rsidRPr="00F35727">
              <w:rPr>
                <w:rFonts w:eastAsia="Times New Roman"/>
              </w:rPr>
              <w:t>Events</w:t>
            </w:r>
            <w:r w:rsidRPr="00F35727">
              <w:rPr>
                <w:rFonts w:eastAsia="Times New Roman"/>
                <w:vertAlign w:val="superscript"/>
              </w:rPr>
              <w:t>1</w:t>
            </w:r>
          </w:p>
        </w:tc>
        <w:tc>
          <w:tcPr>
            <w:tcW w:w="488"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2687FE3F" w14:textId="77777777" w:rsidR="00BF6F8B" w:rsidRPr="00F35727" w:rsidRDefault="00BF6F8B" w:rsidP="003E3173">
            <w:pPr>
              <w:widowControl w:val="0"/>
              <w:pBdr>
                <w:top w:val="nil"/>
                <w:left w:val="nil"/>
                <w:bottom w:val="nil"/>
                <w:right w:val="nil"/>
                <w:between w:val="nil"/>
              </w:pBdr>
              <w:jc w:val="center"/>
              <w:rPr>
                <w:rFonts w:eastAsia="Times New Roman"/>
                <w:vertAlign w:val="superscript"/>
              </w:rPr>
            </w:pPr>
            <w:r w:rsidRPr="00F35727">
              <w:rPr>
                <w:rFonts w:eastAsia="Times New Roman"/>
              </w:rPr>
              <w:t>Reporters</w:t>
            </w:r>
            <w:r w:rsidRPr="00F35727">
              <w:rPr>
                <w:rFonts w:eastAsia="Times New Roman"/>
                <w:vertAlign w:val="superscript"/>
              </w:rPr>
              <w:t>1</w:t>
            </w:r>
          </w:p>
        </w:tc>
        <w:tc>
          <w:tcPr>
            <w:tcW w:w="819"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4A317FDE"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Mean School-Aggregated Events Per Person-Year</w:t>
            </w:r>
            <w:r w:rsidRPr="00F35727">
              <w:rPr>
                <w:rFonts w:eastAsia="Times New Roman"/>
                <w:vertAlign w:val="superscript"/>
              </w:rPr>
              <w:t>2</w:t>
            </w:r>
            <w:r w:rsidRPr="00F35727">
              <w:rPr>
                <w:rFonts w:eastAsia="Times New Roman"/>
              </w:rPr>
              <w:t xml:space="preserve"> (SD)</w:t>
            </w:r>
          </w:p>
        </w:tc>
        <w:tc>
          <w:tcPr>
            <w:tcW w:w="377"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8033E57" w14:textId="77777777" w:rsidR="00BF6F8B" w:rsidRPr="00F35727" w:rsidRDefault="00BF6F8B" w:rsidP="003E3173">
            <w:pPr>
              <w:widowControl w:val="0"/>
              <w:jc w:val="center"/>
              <w:rPr>
                <w:rFonts w:eastAsia="Times New Roman"/>
                <w:vertAlign w:val="superscript"/>
              </w:rPr>
            </w:pPr>
            <w:r w:rsidRPr="00F35727">
              <w:rPr>
                <w:rFonts w:eastAsia="Times New Roman"/>
              </w:rPr>
              <w:t>Events</w:t>
            </w:r>
            <w:r w:rsidRPr="00F35727">
              <w:rPr>
                <w:rFonts w:eastAsia="Times New Roman"/>
                <w:vertAlign w:val="superscript"/>
              </w:rPr>
              <w:t>1</w:t>
            </w:r>
          </w:p>
        </w:tc>
        <w:tc>
          <w:tcPr>
            <w:tcW w:w="499"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5F7B6F83" w14:textId="77777777" w:rsidR="00BF6F8B" w:rsidRPr="00F35727" w:rsidRDefault="00BF6F8B" w:rsidP="003E3173">
            <w:pPr>
              <w:widowControl w:val="0"/>
              <w:jc w:val="center"/>
              <w:rPr>
                <w:rFonts w:eastAsia="Times New Roman"/>
                <w:vertAlign w:val="superscript"/>
              </w:rPr>
            </w:pPr>
            <w:r w:rsidRPr="00F35727">
              <w:rPr>
                <w:rFonts w:eastAsia="Times New Roman"/>
              </w:rPr>
              <w:t>Reporters</w:t>
            </w:r>
            <w:r w:rsidRPr="00F35727">
              <w:rPr>
                <w:rFonts w:eastAsia="Times New Roman"/>
                <w:vertAlign w:val="superscript"/>
              </w:rPr>
              <w:t>1</w:t>
            </w:r>
          </w:p>
        </w:tc>
        <w:tc>
          <w:tcPr>
            <w:tcW w:w="854" w:type="pct"/>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1D71E19D" w14:textId="77777777" w:rsidR="00BF6F8B" w:rsidRPr="00F35727" w:rsidRDefault="00BF6F8B" w:rsidP="003E3173">
            <w:pPr>
              <w:widowControl w:val="0"/>
              <w:jc w:val="center"/>
              <w:rPr>
                <w:rFonts w:eastAsia="Times New Roman"/>
              </w:rPr>
            </w:pPr>
            <w:r w:rsidRPr="00F35727">
              <w:rPr>
                <w:rFonts w:eastAsia="Times New Roman"/>
              </w:rPr>
              <w:t>Mean School-Aggregated Events Per Person-Year</w:t>
            </w:r>
            <w:r w:rsidRPr="00F35727">
              <w:rPr>
                <w:rFonts w:eastAsia="Times New Roman"/>
                <w:vertAlign w:val="superscript"/>
              </w:rPr>
              <w:t>2</w:t>
            </w:r>
            <w:r w:rsidRPr="00F35727">
              <w:rPr>
                <w:rFonts w:eastAsia="Times New Roman"/>
              </w:rPr>
              <w:t xml:space="preserve"> (SD)</w:t>
            </w:r>
          </w:p>
        </w:tc>
        <w:tc>
          <w:tcPr>
            <w:tcW w:w="314" w:type="pct"/>
            <w:vMerge/>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34E90287"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14" w:type="pct"/>
            <w:vMerge/>
            <w:tcBorders>
              <w:top w:val="nil"/>
              <w:left w:val="nil"/>
              <w:bottom w:val="single" w:sz="8" w:space="0" w:color="000000"/>
              <w:right w:val="nil"/>
            </w:tcBorders>
            <w:shd w:val="clear" w:color="auto" w:fill="auto"/>
            <w:tcMar>
              <w:top w:w="100" w:type="dxa"/>
              <w:left w:w="100" w:type="dxa"/>
              <w:bottom w:w="100" w:type="dxa"/>
              <w:right w:w="100" w:type="dxa"/>
            </w:tcMar>
            <w:vAlign w:val="center"/>
          </w:tcPr>
          <w:p w14:paraId="6A12BB40" w14:textId="77777777" w:rsidR="00BF6F8B" w:rsidRPr="00F35727" w:rsidRDefault="00BF6F8B" w:rsidP="003E3173">
            <w:pPr>
              <w:widowControl w:val="0"/>
              <w:pBdr>
                <w:top w:val="nil"/>
                <w:left w:val="nil"/>
                <w:bottom w:val="nil"/>
                <w:right w:val="nil"/>
                <w:between w:val="nil"/>
              </w:pBdr>
              <w:jc w:val="center"/>
              <w:rPr>
                <w:rFonts w:eastAsia="Times New Roman"/>
              </w:rPr>
            </w:pPr>
          </w:p>
        </w:tc>
      </w:tr>
      <w:tr w:rsidR="00BF6F8B" w:rsidRPr="00F35727" w14:paraId="47C3CF98" w14:textId="77777777" w:rsidTr="003E3173">
        <w:tc>
          <w:tcPr>
            <w:tcW w:w="970" w:type="pct"/>
            <w:tcBorders>
              <w:left w:val="nil"/>
              <w:bottom w:val="nil"/>
              <w:right w:val="nil"/>
            </w:tcBorders>
            <w:shd w:val="clear" w:color="auto" w:fill="auto"/>
            <w:tcMar>
              <w:top w:w="100" w:type="dxa"/>
              <w:left w:w="100" w:type="dxa"/>
              <w:bottom w:w="100" w:type="dxa"/>
              <w:right w:w="100" w:type="dxa"/>
            </w:tcMar>
          </w:tcPr>
          <w:p w14:paraId="69E376F7" w14:textId="77777777" w:rsidR="00BF6F8B" w:rsidRPr="00F35727" w:rsidRDefault="00BF6F8B" w:rsidP="003E3173">
            <w:pPr>
              <w:widowControl w:val="0"/>
              <w:pBdr>
                <w:top w:val="nil"/>
                <w:left w:val="nil"/>
                <w:bottom w:val="nil"/>
                <w:right w:val="nil"/>
                <w:between w:val="nil"/>
              </w:pBdr>
              <w:rPr>
                <w:rFonts w:eastAsia="Times New Roman"/>
                <w:b/>
              </w:rPr>
            </w:pPr>
            <w:r w:rsidRPr="00F35727">
              <w:rPr>
                <w:rFonts w:eastAsia="Times New Roman"/>
                <w:b/>
              </w:rPr>
              <w:t>Victimization</w:t>
            </w:r>
          </w:p>
        </w:tc>
        <w:tc>
          <w:tcPr>
            <w:tcW w:w="366" w:type="pct"/>
            <w:tcBorders>
              <w:left w:val="nil"/>
              <w:bottom w:val="nil"/>
              <w:right w:val="nil"/>
            </w:tcBorders>
            <w:shd w:val="clear" w:color="auto" w:fill="auto"/>
            <w:tcMar>
              <w:top w:w="100" w:type="dxa"/>
              <w:left w:w="100" w:type="dxa"/>
              <w:bottom w:w="100" w:type="dxa"/>
              <w:right w:w="100" w:type="dxa"/>
            </w:tcMar>
            <w:vAlign w:val="center"/>
          </w:tcPr>
          <w:p w14:paraId="5657C0F7"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488" w:type="pct"/>
            <w:tcBorders>
              <w:left w:val="nil"/>
              <w:bottom w:val="nil"/>
              <w:right w:val="nil"/>
            </w:tcBorders>
            <w:shd w:val="clear" w:color="auto" w:fill="auto"/>
            <w:tcMar>
              <w:top w:w="100" w:type="dxa"/>
              <w:left w:w="100" w:type="dxa"/>
              <w:bottom w:w="100" w:type="dxa"/>
              <w:right w:w="100" w:type="dxa"/>
            </w:tcMar>
            <w:vAlign w:val="center"/>
          </w:tcPr>
          <w:p w14:paraId="7F929865"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819" w:type="pct"/>
            <w:tcBorders>
              <w:left w:val="nil"/>
              <w:bottom w:val="nil"/>
              <w:right w:val="nil"/>
            </w:tcBorders>
            <w:shd w:val="clear" w:color="auto" w:fill="auto"/>
            <w:tcMar>
              <w:top w:w="100" w:type="dxa"/>
              <w:left w:w="100" w:type="dxa"/>
              <w:bottom w:w="100" w:type="dxa"/>
              <w:right w:w="100" w:type="dxa"/>
            </w:tcMar>
            <w:vAlign w:val="center"/>
          </w:tcPr>
          <w:p w14:paraId="35ED64A3"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77" w:type="pct"/>
            <w:tcBorders>
              <w:left w:val="nil"/>
              <w:bottom w:val="nil"/>
              <w:right w:val="nil"/>
            </w:tcBorders>
            <w:shd w:val="clear" w:color="auto" w:fill="auto"/>
            <w:tcMar>
              <w:top w:w="100" w:type="dxa"/>
              <w:left w:w="100" w:type="dxa"/>
              <w:bottom w:w="100" w:type="dxa"/>
              <w:right w:w="100" w:type="dxa"/>
            </w:tcMar>
            <w:vAlign w:val="center"/>
          </w:tcPr>
          <w:p w14:paraId="6F3A8420"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499" w:type="pct"/>
            <w:tcBorders>
              <w:left w:val="nil"/>
              <w:bottom w:val="nil"/>
              <w:right w:val="nil"/>
            </w:tcBorders>
            <w:shd w:val="clear" w:color="auto" w:fill="auto"/>
            <w:tcMar>
              <w:top w:w="100" w:type="dxa"/>
              <w:left w:w="100" w:type="dxa"/>
              <w:bottom w:w="100" w:type="dxa"/>
              <w:right w:w="100" w:type="dxa"/>
            </w:tcMar>
            <w:vAlign w:val="center"/>
          </w:tcPr>
          <w:p w14:paraId="32EBA155"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854" w:type="pct"/>
            <w:tcBorders>
              <w:left w:val="nil"/>
              <w:bottom w:val="nil"/>
              <w:right w:val="nil"/>
            </w:tcBorders>
            <w:shd w:val="clear" w:color="auto" w:fill="auto"/>
            <w:tcMar>
              <w:top w:w="100" w:type="dxa"/>
              <w:left w:w="100" w:type="dxa"/>
              <w:bottom w:w="100" w:type="dxa"/>
              <w:right w:w="100" w:type="dxa"/>
            </w:tcMar>
            <w:vAlign w:val="center"/>
          </w:tcPr>
          <w:p w14:paraId="14990E53"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14" w:type="pct"/>
            <w:tcBorders>
              <w:left w:val="nil"/>
              <w:bottom w:val="nil"/>
              <w:right w:val="nil"/>
            </w:tcBorders>
            <w:shd w:val="clear" w:color="auto" w:fill="auto"/>
            <w:tcMar>
              <w:top w:w="100" w:type="dxa"/>
              <w:left w:w="100" w:type="dxa"/>
              <w:bottom w:w="100" w:type="dxa"/>
              <w:right w:w="100" w:type="dxa"/>
            </w:tcMar>
            <w:vAlign w:val="center"/>
          </w:tcPr>
          <w:p w14:paraId="4EC754D4"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14" w:type="pct"/>
            <w:tcBorders>
              <w:left w:val="nil"/>
              <w:bottom w:val="nil"/>
              <w:right w:val="nil"/>
            </w:tcBorders>
            <w:shd w:val="clear" w:color="auto" w:fill="auto"/>
            <w:tcMar>
              <w:top w:w="100" w:type="dxa"/>
              <w:left w:w="100" w:type="dxa"/>
              <w:bottom w:w="100" w:type="dxa"/>
              <w:right w:w="100" w:type="dxa"/>
            </w:tcMar>
            <w:vAlign w:val="center"/>
          </w:tcPr>
          <w:p w14:paraId="500E1837" w14:textId="77777777" w:rsidR="00BF6F8B" w:rsidRPr="00F35727" w:rsidRDefault="00BF6F8B" w:rsidP="003E3173">
            <w:pPr>
              <w:widowControl w:val="0"/>
              <w:pBdr>
                <w:top w:val="nil"/>
                <w:left w:val="nil"/>
                <w:bottom w:val="nil"/>
                <w:right w:val="nil"/>
                <w:between w:val="nil"/>
              </w:pBdr>
              <w:jc w:val="center"/>
              <w:rPr>
                <w:rFonts w:eastAsia="Times New Roman"/>
              </w:rPr>
            </w:pPr>
          </w:p>
        </w:tc>
      </w:tr>
      <w:tr w:rsidR="00BF6F8B" w:rsidRPr="00F35727" w14:paraId="3DEEAA52" w14:textId="77777777" w:rsidTr="003E3173">
        <w:tc>
          <w:tcPr>
            <w:tcW w:w="970" w:type="pct"/>
            <w:tcBorders>
              <w:top w:val="nil"/>
              <w:left w:val="nil"/>
              <w:bottom w:val="nil"/>
              <w:right w:val="nil"/>
            </w:tcBorders>
            <w:shd w:val="clear" w:color="auto" w:fill="auto"/>
            <w:tcMar>
              <w:top w:w="100" w:type="dxa"/>
              <w:left w:w="100" w:type="dxa"/>
              <w:bottom w:w="100" w:type="dxa"/>
              <w:right w:w="100" w:type="dxa"/>
            </w:tcMar>
          </w:tcPr>
          <w:p w14:paraId="3DFFDD59" w14:textId="77777777" w:rsidR="00BF6F8B" w:rsidRPr="00F35727" w:rsidRDefault="00BF6F8B" w:rsidP="003E3173">
            <w:pPr>
              <w:widowControl w:val="0"/>
              <w:pBdr>
                <w:top w:val="nil"/>
                <w:left w:val="nil"/>
                <w:bottom w:val="nil"/>
                <w:right w:val="nil"/>
                <w:between w:val="nil"/>
              </w:pBdr>
              <w:rPr>
                <w:rFonts w:eastAsia="Times New Roman"/>
              </w:rPr>
            </w:pPr>
            <w:r>
              <w:rPr>
                <w:rFonts w:eastAsia="Times New Roman"/>
              </w:rPr>
              <w:t xml:space="preserve"> </w:t>
            </w:r>
            <w:r w:rsidRPr="00F35727">
              <w:rPr>
                <w:rFonts w:eastAsia="Times New Roman"/>
              </w:rPr>
              <w:t>Baseline (12 months)</w:t>
            </w:r>
          </w:p>
        </w:tc>
        <w:tc>
          <w:tcPr>
            <w:tcW w:w="366" w:type="pct"/>
            <w:tcBorders>
              <w:top w:val="nil"/>
              <w:left w:val="nil"/>
              <w:bottom w:val="nil"/>
              <w:right w:val="nil"/>
            </w:tcBorders>
            <w:shd w:val="clear" w:color="auto" w:fill="auto"/>
            <w:tcMar>
              <w:top w:w="100" w:type="dxa"/>
              <w:left w:w="100" w:type="dxa"/>
              <w:bottom w:w="100" w:type="dxa"/>
              <w:right w:w="100" w:type="dxa"/>
            </w:tcMar>
            <w:vAlign w:val="center"/>
          </w:tcPr>
          <w:p w14:paraId="1BDB8516"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889</w:t>
            </w:r>
          </w:p>
        </w:tc>
        <w:tc>
          <w:tcPr>
            <w:tcW w:w="488" w:type="pct"/>
            <w:tcBorders>
              <w:top w:val="nil"/>
              <w:left w:val="nil"/>
              <w:bottom w:val="nil"/>
              <w:right w:val="nil"/>
            </w:tcBorders>
            <w:shd w:val="clear" w:color="auto" w:fill="auto"/>
            <w:tcMar>
              <w:top w:w="100" w:type="dxa"/>
              <w:left w:w="100" w:type="dxa"/>
              <w:bottom w:w="100" w:type="dxa"/>
              <w:right w:w="100" w:type="dxa"/>
            </w:tcMar>
            <w:vAlign w:val="center"/>
          </w:tcPr>
          <w:p w14:paraId="4F8D6A18"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1,477</w:t>
            </w:r>
          </w:p>
        </w:tc>
        <w:tc>
          <w:tcPr>
            <w:tcW w:w="819" w:type="pct"/>
            <w:tcBorders>
              <w:top w:val="nil"/>
              <w:left w:val="nil"/>
              <w:bottom w:val="nil"/>
              <w:right w:val="nil"/>
            </w:tcBorders>
            <w:shd w:val="clear" w:color="auto" w:fill="auto"/>
            <w:tcMar>
              <w:top w:w="100" w:type="dxa"/>
              <w:left w:w="100" w:type="dxa"/>
              <w:bottom w:w="100" w:type="dxa"/>
              <w:right w:w="100" w:type="dxa"/>
            </w:tcMar>
            <w:vAlign w:val="center"/>
          </w:tcPr>
          <w:p w14:paraId="7F2BF108"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0.53 (0.44)</w:t>
            </w:r>
          </w:p>
        </w:tc>
        <w:tc>
          <w:tcPr>
            <w:tcW w:w="377" w:type="pct"/>
            <w:tcBorders>
              <w:top w:val="nil"/>
              <w:left w:val="nil"/>
              <w:bottom w:val="nil"/>
              <w:right w:val="nil"/>
            </w:tcBorders>
            <w:shd w:val="clear" w:color="auto" w:fill="auto"/>
            <w:tcMar>
              <w:top w:w="100" w:type="dxa"/>
              <w:left w:w="100" w:type="dxa"/>
              <w:bottom w:w="100" w:type="dxa"/>
              <w:right w:w="100" w:type="dxa"/>
            </w:tcMar>
            <w:vAlign w:val="center"/>
          </w:tcPr>
          <w:p w14:paraId="53CAC9B3"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346</w:t>
            </w:r>
          </w:p>
        </w:tc>
        <w:tc>
          <w:tcPr>
            <w:tcW w:w="499" w:type="pct"/>
            <w:tcBorders>
              <w:top w:val="nil"/>
              <w:left w:val="nil"/>
              <w:bottom w:val="nil"/>
              <w:right w:val="nil"/>
            </w:tcBorders>
            <w:shd w:val="clear" w:color="auto" w:fill="auto"/>
            <w:tcMar>
              <w:top w:w="100" w:type="dxa"/>
              <w:left w:w="100" w:type="dxa"/>
              <w:bottom w:w="100" w:type="dxa"/>
              <w:right w:w="100" w:type="dxa"/>
            </w:tcMar>
            <w:vAlign w:val="center"/>
          </w:tcPr>
          <w:p w14:paraId="25A8B35E"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1,104</w:t>
            </w:r>
          </w:p>
        </w:tc>
        <w:tc>
          <w:tcPr>
            <w:tcW w:w="854" w:type="pct"/>
            <w:tcBorders>
              <w:top w:val="nil"/>
              <w:left w:val="nil"/>
              <w:bottom w:val="nil"/>
              <w:right w:val="nil"/>
            </w:tcBorders>
            <w:shd w:val="clear" w:color="auto" w:fill="auto"/>
            <w:tcMar>
              <w:top w:w="100" w:type="dxa"/>
              <w:left w:w="100" w:type="dxa"/>
              <w:bottom w:w="100" w:type="dxa"/>
              <w:right w:w="100" w:type="dxa"/>
            </w:tcMar>
            <w:vAlign w:val="center"/>
          </w:tcPr>
          <w:p w14:paraId="53F5E0BC"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0.40 (0.42)</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1ABB5FFF"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0.77</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215E68FE"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.451</w:t>
            </w:r>
          </w:p>
        </w:tc>
      </w:tr>
      <w:tr w:rsidR="00BF6F8B" w:rsidRPr="00F35727" w14:paraId="4E0D005D" w14:textId="77777777" w:rsidTr="003E3173">
        <w:tc>
          <w:tcPr>
            <w:tcW w:w="970" w:type="pct"/>
            <w:tcBorders>
              <w:top w:val="nil"/>
              <w:left w:val="nil"/>
              <w:bottom w:val="nil"/>
              <w:right w:val="nil"/>
            </w:tcBorders>
            <w:shd w:val="clear" w:color="auto" w:fill="auto"/>
            <w:tcMar>
              <w:top w:w="100" w:type="dxa"/>
              <w:left w:w="100" w:type="dxa"/>
              <w:bottom w:w="100" w:type="dxa"/>
              <w:right w:w="100" w:type="dxa"/>
            </w:tcMar>
          </w:tcPr>
          <w:p w14:paraId="0808E1A9" w14:textId="77777777" w:rsidR="00BF6F8B" w:rsidRPr="00F35727" w:rsidRDefault="00BF6F8B" w:rsidP="003E3173">
            <w:pPr>
              <w:widowControl w:val="0"/>
              <w:pBdr>
                <w:top w:val="nil"/>
                <w:left w:val="nil"/>
                <w:bottom w:val="nil"/>
                <w:right w:val="nil"/>
                <w:between w:val="nil"/>
              </w:pBdr>
              <w:rPr>
                <w:rFonts w:eastAsia="Times New Roman"/>
              </w:rPr>
            </w:pPr>
            <w:r>
              <w:rPr>
                <w:rFonts w:eastAsia="Times New Roman"/>
              </w:rPr>
              <w:t xml:space="preserve"> </w:t>
            </w:r>
            <w:r w:rsidRPr="00F35727">
              <w:rPr>
                <w:rFonts w:eastAsia="Times New Roman"/>
              </w:rPr>
              <w:t>2 Month (2 months)</w:t>
            </w:r>
          </w:p>
        </w:tc>
        <w:tc>
          <w:tcPr>
            <w:tcW w:w="366" w:type="pct"/>
            <w:tcBorders>
              <w:top w:val="nil"/>
              <w:left w:val="nil"/>
              <w:bottom w:val="nil"/>
              <w:right w:val="nil"/>
            </w:tcBorders>
            <w:shd w:val="clear" w:color="auto" w:fill="auto"/>
            <w:tcMar>
              <w:top w:w="100" w:type="dxa"/>
              <w:left w:w="100" w:type="dxa"/>
              <w:bottom w:w="100" w:type="dxa"/>
              <w:right w:w="100" w:type="dxa"/>
            </w:tcMar>
            <w:vAlign w:val="center"/>
          </w:tcPr>
          <w:p w14:paraId="57C5CA03"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682</w:t>
            </w:r>
          </w:p>
        </w:tc>
        <w:tc>
          <w:tcPr>
            <w:tcW w:w="488" w:type="pct"/>
            <w:tcBorders>
              <w:top w:val="nil"/>
              <w:left w:val="nil"/>
              <w:bottom w:val="nil"/>
              <w:right w:val="nil"/>
            </w:tcBorders>
            <w:shd w:val="clear" w:color="auto" w:fill="auto"/>
            <w:tcMar>
              <w:top w:w="100" w:type="dxa"/>
              <w:left w:w="100" w:type="dxa"/>
              <w:bottom w:w="100" w:type="dxa"/>
              <w:right w:w="100" w:type="dxa"/>
            </w:tcMar>
            <w:vAlign w:val="center"/>
          </w:tcPr>
          <w:p w14:paraId="59E3C914"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1,244</w:t>
            </w:r>
          </w:p>
        </w:tc>
        <w:tc>
          <w:tcPr>
            <w:tcW w:w="819" w:type="pct"/>
            <w:tcBorders>
              <w:top w:val="nil"/>
              <w:left w:val="nil"/>
              <w:bottom w:val="nil"/>
              <w:right w:val="nil"/>
            </w:tcBorders>
            <w:shd w:val="clear" w:color="auto" w:fill="auto"/>
            <w:tcMar>
              <w:top w:w="100" w:type="dxa"/>
              <w:left w:w="100" w:type="dxa"/>
              <w:bottom w:w="100" w:type="dxa"/>
              <w:right w:w="100" w:type="dxa"/>
            </w:tcMar>
            <w:vAlign w:val="center"/>
          </w:tcPr>
          <w:p w14:paraId="12A5E50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2.36 (2.24)</w:t>
            </w:r>
          </w:p>
        </w:tc>
        <w:tc>
          <w:tcPr>
            <w:tcW w:w="377" w:type="pct"/>
            <w:tcBorders>
              <w:top w:val="nil"/>
              <w:left w:val="nil"/>
              <w:bottom w:val="nil"/>
              <w:right w:val="nil"/>
            </w:tcBorders>
            <w:shd w:val="clear" w:color="auto" w:fill="auto"/>
            <w:tcMar>
              <w:top w:w="100" w:type="dxa"/>
              <w:left w:w="100" w:type="dxa"/>
              <w:bottom w:w="100" w:type="dxa"/>
              <w:right w:w="100" w:type="dxa"/>
            </w:tcMar>
            <w:vAlign w:val="center"/>
          </w:tcPr>
          <w:p w14:paraId="014EF796"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255</w:t>
            </w:r>
          </w:p>
        </w:tc>
        <w:tc>
          <w:tcPr>
            <w:tcW w:w="499" w:type="pct"/>
            <w:tcBorders>
              <w:top w:val="nil"/>
              <w:left w:val="nil"/>
              <w:bottom w:val="nil"/>
              <w:right w:val="nil"/>
            </w:tcBorders>
            <w:shd w:val="clear" w:color="auto" w:fill="auto"/>
            <w:tcMar>
              <w:top w:w="100" w:type="dxa"/>
              <w:left w:w="100" w:type="dxa"/>
              <w:bottom w:w="100" w:type="dxa"/>
              <w:right w:w="100" w:type="dxa"/>
            </w:tcMar>
            <w:vAlign w:val="center"/>
          </w:tcPr>
          <w:p w14:paraId="4D7CED03"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6,56</w:t>
            </w:r>
          </w:p>
        </w:tc>
        <w:tc>
          <w:tcPr>
            <w:tcW w:w="854" w:type="pct"/>
            <w:tcBorders>
              <w:top w:val="nil"/>
              <w:left w:val="nil"/>
              <w:bottom w:val="nil"/>
              <w:right w:val="nil"/>
            </w:tcBorders>
            <w:shd w:val="clear" w:color="auto" w:fill="auto"/>
            <w:tcMar>
              <w:top w:w="100" w:type="dxa"/>
              <w:left w:w="100" w:type="dxa"/>
              <w:bottom w:w="100" w:type="dxa"/>
              <w:right w:w="100" w:type="dxa"/>
            </w:tcMar>
            <w:vAlign w:val="center"/>
          </w:tcPr>
          <w:p w14:paraId="4C9D7CC8"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2.01 (1.94)</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50C8F127"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0.39</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47D83F9B"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.703</w:t>
            </w:r>
          </w:p>
        </w:tc>
      </w:tr>
      <w:tr w:rsidR="00BF6F8B" w:rsidRPr="00F35727" w14:paraId="6CCF3EEB" w14:textId="77777777" w:rsidTr="003E3173">
        <w:tc>
          <w:tcPr>
            <w:tcW w:w="970" w:type="pct"/>
            <w:tcBorders>
              <w:top w:val="nil"/>
              <w:left w:val="nil"/>
              <w:bottom w:val="nil"/>
              <w:right w:val="nil"/>
            </w:tcBorders>
            <w:shd w:val="clear" w:color="auto" w:fill="auto"/>
            <w:tcMar>
              <w:top w:w="100" w:type="dxa"/>
              <w:left w:w="100" w:type="dxa"/>
              <w:bottom w:w="100" w:type="dxa"/>
              <w:right w:w="100" w:type="dxa"/>
            </w:tcMar>
          </w:tcPr>
          <w:p w14:paraId="63D3CE91" w14:textId="77777777" w:rsidR="00BF6F8B" w:rsidRPr="00F35727" w:rsidRDefault="00BF6F8B" w:rsidP="003E3173">
            <w:pPr>
              <w:widowControl w:val="0"/>
              <w:pBdr>
                <w:top w:val="nil"/>
                <w:left w:val="nil"/>
                <w:bottom w:val="nil"/>
                <w:right w:val="nil"/>
                <w:between w:val="nil"/>
              </w:pBdr>
              <w:rPr>
                <w:rFonts w:eastAsia="Times New Roman"/>
              </w:rPr>
            </w:pPr>
            <w:r>
              <w:rPr>
                <w:rFonts w:eastAsia="Times New Roman"/>
              </w:rPr>
              <w:t xml:space="preserve"> </w:t>
            </w:r>
            <w:r w:rsidRPr="00F35727">
              <w:rPr>
                <w:rFonts w:eastAsia="Times New Roman"/>
              </w:rPr>
              <w:t>6 Month (4 months)</w:t>
            </w:r>
          </w:p>
        </w:tc>
        <w:tc>
          <w:tcPr>
            <w:tcW w:w="366" w:type="pct"/>
            <w:tcBorders>
              <w:top w:val="nil"/>
              <w:left w:val="nil"/>
              <w:bottom w:val="nil"/>
              <w:right w:val="nil"/>
            </w:tcBorders>
            <w:shd w:val="clear" w:color="auto" w:fill="auto"/>
            <w:tcMar>
              <w:top w:w="100" w:type="dxa"/>
              <w:left w:w="100" w:type="dxa"/>
              <w:bottom w:w="100" w:type="dxa"/>
              <w:right w:w="100" w:type="dxa"/>
            </w:tcMar>
            <w:vAlign w:val="center"/>
          </w:tcPr>
          <w:p w14:paraId="4FA88843"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800</w:t>
            </w:r>
          </w:p>
        </w:tc>
        <w:tc>
          <w:tcPr>
            <w:tcW w:w="488" w:type="pct"/>
            <w:tcBorders>
              <w:top w:val="nil"/>
              <w:left w:val="nil"/>
              <w:bottom w:val="nil"/>
              <w:right w:val="nil"/>
            </w:tcBorders>
            <w:shd w:val="clear" w:color="auto" w:fill="auto"/>
            <w:tcMar>
              <w:top w:w="100" w:type="dxa"/>
              <w:left w:w="100" w:type="dxa"/>
              <w:bottom w:w="100" w:type="dxa"/>
              <w:right w:w="100" w:type="dxa"/>
            </w:tcMar>
            <w:vAlign w:val="center"/>
          </w:tcPr>
          <w:p w14:paraId="0F804849"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1,182</w:t>
            </w:r>
          </w:p>
        </w:tc>
        <w:tc>
          <w:tcPr>
            <w:tcW w:w="819" w:type="pct"/>
            <w:tcBorders>
              <w:top w:val="nil"/>
              <w:left w:val="nil"/>
              <w:bottom w:val="nil"/>
              <w:right w:val="nil"/>
            </w:tcBorders>
            <w:shd w:val="clear" w:color="auto" w:fill="auto"/>
            <w:tcMar>
              <w:top w:w="100" w:type="dxa"/>
              <w:left w:w="100" w:type="dxa"/>
              <w:bottom w:w="100" w:type="dxa"/>
              <w:right w:w="100" w:type="dxa"/>
            </w:tcMar>
            <w:vAlign w:val="center"/>
          </w:tcPr>
          <w:p w14:paraId="4761D91C"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1.29 (1.48)</w:t>
            </w:r>
          </w:p>
        </w:tc>
        <w:tc>
          <w:tcPr>
            <w:tcW w:w="377" w:type="pct"/>
            <w:tcBorders>
              <w:top w:val="nil"/>
              <w:left w:val="nil"/>
              <w:bottom w:val="nil"/>
              <w:right w:val="nil"/>
            </w:tcBorders>
            <w:shd w:val="clear" w:color="auto" w:fill="auto"/>
            <w:tcMar>
              <w:top w:w="100" w:type="dxa"/>
              <w:left w:w="100" w:type="dxa"/>
              <w:bottom w:w="100" w:type="dxa"/>
              <w:right w:w="100" w:type="dxa"/>
            </w:tcMar>
            <w:vAlign w:val="center"/>
          </w:tcPr>
          <w:p w14:paraId="0FD2D0AE"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440</w:t>
            </w:r>
          </w:p>
        </w:tc>
        <w:tc>
          <w:tcPr>
            <w:tcW w:w="499" w:type="pct"/>
            <w:tcBorders>
              <w:top w:val="nil"/>
              <w:left w:val="nil"/>
              <w:bottom w:val="nil"/>
              <w:right w:val="nil"/>
            </w:tcBorders>
            <w:shd w:val="clear" w:color="auto" w:fill="auto"/>
            <w:tcMar>
              <w:top w:w="100" w:type="dxa"/>
              <w:left w:w="100" w:type="dxa"/>
              <w:bottom w:w="100" w:type="dxa"/>
              <w:right w:w="100" w:type="dxa"/>
            </w:tcMar>
            <w:vAlign w:val="center"/>
          </w:tcPr>
          <w:p w14:paraId="259C5DF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9,04</w:t>
            </w:r>
          </w:p>
        </w:tc>
        <w:tc>
          <w:tcPr>
            <w:tcW w:w="854" w:type="pct"/>
            <w:tcBorders>
              <w:top w:val="nil"/>
              <w:left w:val="nil"/>
              <w:bottom w:val="nil"/>
              <w:right w:val="nil"/>
            </w:tcBorders>
            <w:shd w:val="clear" w:color="auto" w:fill="auto"/>
            <w:tcMar>
              <w:top w:w="100" w:type="dxa"/>
              <w:left w:w="100" w:type="dxa"/>
              <w:bottom w:w="100" w:type="dxa"/>
              <w:right w:w="100" w:type="dxa"/>
            </w:tcMar>
            <w:vAlign w:val="center"/>
          </w:tcPr>
          <w:p w14:paraId="7ACD431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1.38 (1.16)</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2F92AC7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0.16</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28EED0DC"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.875</w:t>
            </w:r>
          </w:p>
        </w:tc>
      </w:tr>
      <w:tr w:rsidR="00BF6F8B" w:rsidRPr="00F35727" w14:paraId="2C5EB6C3" w14:textId="77777777" w:rsidTr="003E3173">
        <w:tc>
          <w:tcPr>
            <w:tcW w:w="970" w:type="pct"/>
            <w:tcBorders>
              <w:top w:val="nil"/>
              <w:left w:val="nil"/>
              <w:bottom w:val="nil"/>
              <w:right w:val="nil"/>
            </w:tcBorders>
            <w:shd w:val="clear" w:color="auto" w:fill="auto"/>
            <w:tcMar>
              <w:top w:w="100" w:type="dxa"/>
              <w:left w:w="100" w:type="dxa"/>
              <w:bottom w:w="100" w:type="dxa"/>
              <w:right w:w="100" w:type="dxa"/>
            </w:tcMar>
          </w:tcPr>
          <w:p w14:paraId="65ADA3A5" w14:textId="77777777" w:rsidR="00BF6F8B" w:rsidRPr="00F35727" w:rsidRDefault="00BF6F8B" w:rsidP="003E3173">
            <w:pPr>
              <w:widowControl w:val="0"/>
              <w:pBdr>
                <w:top w:val="nil"/>
                <w:left w:val="nil"/>
                <w:bottom w:val="nil"/>
                <w:right w:val="nil"/>
                <w:between w:val="nil"/>
              </w:pBdr>
              <w:rPr>
                <w:rFonts w:eastAsia="Times New Roman"/>
                <w:b/>
              </w:rPr>
            </w:pPr>
            <w:r w:rsidRPr="00F35727">
              <w:rPr>
                <w:rFonts w:eastAsia="Times New Roman"/>
                <w:b/>
              </w:rPr>
              <w:lastRenderedPageBreak/>
              <w:t>Perpetration</w:t>
            </w:r>
          </w:p>
        </w:tc>
        <w:tc>
          <w:tcPr>
            <w:tcW w:w="366" w:type="pct"/>
            <w:tcBorders>
              <w:top w:val="nil"/>
              <w:left w:val="nil"/>
              <w:bottom w:val="nil"/>
              <w:right w:val="nil"/>
            </w:tcBorders>
            <w:shd w:val="clear" w:color="auto" w:fill="auto"/>
            <w:tcMar>
              <w:top w:w="100" w:type="dxa"/>
              <w:left w:w="100" w:type="dxa"/>
              <w:bottom w:w="100" w:type="dxa"/>
              <w:right w:w="100" w:type="dxa"/>
            </w:tcMar>
            <w:vAlign w:val="center"/>
          </w:tcPr>
          <w:p w14:paraId="516BEEE5"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488" w:type="pct"/>
            <w:tcBorders>
              <w:top w:val="nil"/>
              <w:left w:val="nil"/>
              <w:bottom w:val="nil"/>
              <w:right w:val="nil"/>
            </w:tcBorders>
            <w:shd w:val="clear" w:color="auto" w:fill="auto"/>
            <w:tcMar>
              <w:top w:w="100" w:type="dxa"/>
              <w:left w:w="100" w:type="dxa"/>
              <w:bottom w:w="100" w:type="dxa"/>
              <w:right w:w="100" w:type="dxa"/>
            </w:tcMar>
            <w:vAlign w:val="center"/>
          </w:tcPr>
          <w:p w14:paraId="34B8ADFE"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819" w:type="pct"/>
            <w:tcBorders>
              <w:top w:val="nil"/>
              <w:left w:val="nil"/>
              <w:bottom w:val="nil"/>
              <w:right w:val="nil"/>
            </w:tcBorders>
            <w:shd w:val="clear" w:color="auto" w:fill="auto"/>
            <w:tcMar>
              <w:top w:w="100" w:type="dxa"/>
              <w:left w:w="100" w:type="dxa"/>
              <w:bottom w:w="100" w:type="dxa"/>
              <w:right w:w="100" w:type="dxa"/>
            </w:tcMar>
            <w:vAlign w:val="center"/>
          </w:tcPr>
          <w:p w14:paraId="2BF7CB35"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77" w:type="pct"/>
            <w:tcBorders>
              <w:top w:val="nil"/>
              <w:left w:val="nil"/>
              <w:bottom w:val="nil"/>
              <w:right w:val="nil"/>
            </w:tcBorders>
            <w:shd w:val="clear" w:color="auto" w:fill="auto"/>
            <w:tcMar>
              <w:top w:w="100" w:type="dxa"/>
              <w:left w:w="100" w:type="dxa"/>
              <w:bottom w:w="100" w:type="dxa"/>
              <w:right w:w="100" w:type="dxa"/>
            </w:tcMar>
            <w:vAlign w:val="center"/>
          </w:tcPr>
          <w:p w14:paraId="5C3B733D"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499" w:type="pct"/>
            <w:tcBorders>
              <w:top w:val="nil"/>
              <w:left w:val="nil"/>
              <w:bottom w:val="nil"/>
              <w:right w:val="nil"/>
            </w:tcBorders>
            <w:shd w:val="clear" w:color="auto" w:fill="auto"/>
            <w:tcMar>
              <w:top w:w="100" w:type="dxa"/>
              <w:left w:w="100" w:type="dxa"/>
              <w:bottom w:w="100" w:type="dxa"/>
              <w:right w:w="100" w:type="dxa"/>
            </w:tcMar>
            <w:vAlign w:val="center"/>
          </w:tcPr>
          <w:p w14:paraId="6FC0D3D5"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854" w:type="pct"/>
            <w:tcBorders>
              <w:top w:val="nil"/>
              <w:left w:val="nil"/>
              <w:bottom w:val="nil"/>
              <w:right w:val="nil"/>
            </w:tcBorders>
            <w:shd w:val="clear" w:color="auto" w:fill="auto"/>
            <w:tcMar>
              <w:top w:w="100" w:type="dxa"/>
              <w:left w:w="100" w:type="dxa"/>
              <w:bottom w:w="100" w:type="dxa"/>
              <w:right w:w="100" w:type="dxa"/>
            </w:tcMar>
            <w:vAlign w:val="center"/>
          </w:tcPr>
          <w:p w14:paraId="538B8910"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2B16203A" w14:textId="77777777" w:rsidR="00BF6F8B" w:rsidRPr="00F35727" w:rsidRDefault="00BF6F8B" w:rsidP="003E3173">
            <w:pPr>
              <w:widowControl w:val="0"/>
              <w:pBdr>
                <w:top w:val="nil"/>
                <w:left w:val="nil"/>
                <w:bottom w:val="nil"/>
                <w:right w:val="nil"/>
                <w:between w:val="nil"/>
              </w:pBdr>
              <w:jc w:val="center"/>
              <w:rPr>
                <w:rFonts w:eastAsia="Times New Roman"/>
              </w:rPr>
            </w:pP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0ADF1CC0" w14:textId="77777777" w:rsidR="00BF6F8B" w:rsidRPr="00F35727" w:rsidRDefault="00BF6F8B" w:rsidP="003E3173">
            <w:pPr>
              <w:widowControl w:val="0"/>
              <w:pBdr>
                <w:top w:val="nil"/>
                <w:left w:val="nil"/>
                <w:bottom w:val="nil"/>
                <w:right w:val="nil"/>
                <w:between w:val="nil"/>
              </w:pBdr>
              <w:jc w:val="center"/>
              <w:rPr>
                <w:rFonts w:eastAsia="Times New Roman"/>
              </w:rPr>
            </w:pPr>
          </w:p>
        </w:tc>
      </w:tr>
      <w:tr w:rsidR="00BF6F8B" w:rsidRPr="00F35727" w14:paraId="28374CFF" w14:textId="77777777" w:rsidTr="003E3173">
        <w:tc>
          <w:tcPr>
            <w:tcW w:w="970" w:type="pct"/>
            <w:tcBorders>
              <w:top w:val="nil"/>
              <w:left w:val="nil"/>
              <w:bottom w:val="nil"/>
              <w:right w:val="nil"/>
            </w:tcBorders>
            <w:shd w:val="clear" w:color="auto" w:fill="auto"/>
            <w:tcMar>
              <w:top w:w="100" w:type="dxa"/>
              <w:left w:w="100" w:type="dxa"/>
              <w:bottom w:w="100" w:type="dxa"/>
              <w:right w:w="100" w:type="dxa"/>
            </w:tcMar>
          </w:tcPr>
          <w:p w14:paraId="4896157B"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Baseline (12 months)</w:t>
            </w:r>
          </w:p>
        </w:tc>
        <w:tc>
          <w:tcPr>
            <w:tcW w:w="366" w:type="pct"/>
            <w:tcBorders>
              <w:top w:val="nil"/>
              <w:left w:val="nil"/>
              <w:bottom w:val="nil"/>
              <w:right w:val="nil"/>
            </w:tcBorders>
            <w:shd w:val="clear" w:color="auto" w:fill="auto"/>
            <w:tcMar>
              <w:top w:w="100" w:type="dxa"/>
              <w:left w:w="100" w:type="dxa"/>
              <w:bottom w:w="100" w:type="dxa"/>
              <w:right w:w="100" w:type="dxa"/>
            </w:tcMar>
            <w:vAlign w:val="center"/>
          </w:tcPr>
          <w:p w14:paraId="40C2E3D4"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440</w:t>
            </w:r>
          </w:p>
        </w:tc>
        <w:tc>
          <w:tcPr>
            <w:tcW w:w="488" w:type="pct"/>
            <w:tcBorders>
              <w:top w:val="nil"/>
              <w:left w:val="nil"/>
              <w:bottom w:val="nil"/>
              <w:right w:val="nil"/>
            </w:tcBorders>
            <w:shd w:val="clear" w:color="auto" w:fill="auto"/>
            <w:tcMar>
              <w:top w:w="100" w:type="dxa"/>
              <w:left w:w="100" w:type="dxa"/>
              <w:bottom w:w="100" w:type="dxa"/>
              <w:right w:w="100" w:type="dxa"/>
            </w:tcMar>
            <w:vAlign w:val="center"/>
          </w:tcPr>
          <w:p w14:paraId="0FAB152F"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1416</w:t>
            </w:r>
          </w:p>
        </w:tc>
        <w:tc>
          <w:tcPr>
            <w:tcW w:w="819" w:type="pct"/>
            <w:tcBorders>
              <w:top w:val="nil"/>
              <w:left w:val="nil"/>
              <w:bottom w:val="nil"/>
              <w:right w:val="nil"/>
            </w:tcBorders>
            <w:shd w:val="clear" w:color="auto" w:fill="auto"/>
            <w:tcMar>
              <w:top w:w="100" w:type="dxa"/>
              <w:left w:w="100" w:type="dxa"/>
              <w:bottom w:w="100" w:type="dxa"/>
              <w:right w:w="100" w:type="dxa"/>
            </w:tcMar>
            <w:vAlign w:val="center"/>
          </w:tcPr>
          <w:p w14:paraId="3158656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0.15 (0.29)</w:t>
            </w:r>
          </w:p>
        </w:tc>
        <w:tc>
          <w:tcPr>
            <w:tcW w:w="377" w:type="pct"/>
            <w:tcBorders>
              <w:top w:val="nil"/>
              <w:left w:val="nil"/>
              <w:bottom w:val="nil"/>
              <w:right w:val="nil"/>
            </w:tcBorders>
            <w:shd w:val="clear" w:color="auto" w:fill="auto"/>
            <w:tcMar>
              <w:top w:w="100" w:type="dxa"/>
              <w:left w:w="100" w:type="dxa"/>
              <w:bottom w:w="100" w:type="dxa"/>
              <w:right w:w="100" w:type="dxa"/>
            </w:tcMar>
            <w:vAlign w:val="center"/>
          </w:tcPr>
          <w:p w14:paraId="2736ABCF"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104</w:t>
            </w:r>
          </w:p>
        </w:tc>
        <w:tc>
          <w:tcPr>
            <w:tcW w:w="499" w:type="pct"/>
            <w:tcBorders>
              <w:top w:val="nil"/>
              <w:left w:val="nil"/>
              <w:bottom w:val="nil"/>
              <w:right w:val="nil"/>
            </w:tcBorders>
            <w:shd w:val="clear" w:color="auto" w:fill="auto"/>
            <w:tcMar>
              <w:top w:w="100" w:type="dxa"/>
              <w:left w:w="100" w:type="dxa"/>
              <w:bottom w:w="100" w:type="dxa"/>
              <w:right w:w="100" w:type="dxa"/>
            </w:tcMar>
            <w:vAlign w:val="center"/>
          </w:tcPr>
          <w:p w14:paraId="7769EF0D"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1083</w:t>
            </w:r>
          </w:p>
        </w:tc>
        <w:tc>
          <w:tcPr>
            <w:tcW w:w="854" w:type="pct"/>
            <w:tcBorders>
              <w:top w:val="nil"/>
              <w:left w:val="nil"/>
              <w:bottom w:val="nil"/>
              <w:right w:val="nil"/>
            </w:tcBorders>
            <w:shd w:val="clear" w:color="auto" w:fill="auto"/>
            <w:tcMar>
              <w:top w:w="100" w:type="dxa"/>
              <w:left w:w="100" w:type="dxa"/>
              <w:bottom w:w="100" w:type="dxa"/>
              <w:right w:w="100" w:type="dxa"/>
            </w:tcMar>
            <w:vAlign w:val="center"/>
          </w:tcPr>
          <w:p w14:paraId="3604B12C"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0.07 (0.14)</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6D0DAABD"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0.87</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405C18FC"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.396</w:t>
            </w:r>
          </w:p>
        </w:tc>
      </w:tr>
      <w:tr w:rsidR="00BF6F8B" w:rsidRPr="00F35727" w14:paraId="60F390B2" w14:textId="77777777" w:rsidTr="003E3173">
        <w:tc>
          <w:tcPr>
            <w:tcW w:w="970" w:type="pct"/>
            <w:tcBorders>
              <w:top w:val="nil"/>
              <w:left w:val="nil"/>
              <w:bottom w:val="nil"/>
              <w:right w:val="nil"/>
            </w:tcBorders>
            <w:shd w:val="clear" w:color="auto" w:fill="auto"/>
            <w:tcMar>
              <w:top w:w="100" w:type="dxa"/>
              <w:left w:w="100" w:type="dxa"/>
              <w:bottom w:w="100" w:type="dxa"/>
              <w:right w:w="100" w:type="dxa"/>
            </w:tcMar>
          </w:tcPr>
          <w:p w14:paraId="6C91971E"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2 Month (2 months)</w:t>
            </w:r>
          </w:p>
        </w:tc>
        <w:tc>
          <w:tcPr>
            <w:tcW w:w="366" w:type="pct"/>
            <w:tcBorders>
              <w:top w:val="nil"/>
              <w:left w:val="nil"/>
              <w:bottom w:val="nil"/>
              <w:right w:val="nil"/>
            </w:tcBorders>
            <w:shd w:val="clear" w:color="auto" w:fill="auto"/>
            <w:tcMar>
              <w:top w:w="100" w:type="dxa"/>
              <w:left w:w="100" w:type="dxa"/>
              <w:bottom w:w="100" w:type="dxa"/>
              <w:right w:w="100" w:type="dxa"/>
            </w:tcMar>
            <w:vAlign w:val="center"/>
          </w:tcPr>
          <w:p w14:paraId="285F5ADA"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492</w:t>
            </w:r>
          </w:p>
        </w:tc>
        <w:tc>
          <w:tcPr>
            <w:tcW w:w="488" w:type="pct"/>
            <w:tcBorders>
              <w:top w:val="nil"/>
              <w:left w:val="nil"/>
              <w:bottom w:val="nil"/>
              <w:right w:val="nil"/>
            </w:tcBorders>
            <w:shd w:val="clear" w:color="auto" w:fill="auto"/>
            <w:tcMar>
              <w:top w:w="100" w:type="dxa"/>
              <w:left w:w="100" w:type="dxa"/>
              <w:bottom w:w="100" w:type="dxa"/>
              <w:right w:w="100" w:type="dxa"/>
            </w:tcMar>
            <w:vAlign w:val="center"/>
          </w:tcPr>
          <w:p w14:paraId="6D2D27E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1232</w:t>
            </w:r>
          </w:p>
        </w:tc>
        <w:tc>
          <w:tcPr>
            <w:tcW w:w="819" w:type="pct"/>
            <w:tcBorders>
              <w:top w:val="nil"/>
              <w:left w:val="nil"/>
              <w:bottom w:val="nil"/>
              <w:right w:val="nil"/>
            </w:tcBorders>
            <w:shd w:val="clear" w:color="auto" w:fill="auto"/>
            <w:tcMar>
              <w:top w:w="100" w:type="dxa"/>
              <w:left w:w="100" w:type="dxa"/>
              <w:bottom w:w="100" w:type="dxa"/>
              <w:right w:w="100" w:type="dxa"/>
            </w:tcMar>
            <w:vAlign w:val="center"/>
          </w:tcPr>
          <w:p w14:paraId="7860801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1.99 (2.66)</w:t>
            </w:r>
          </w:p>
        </w:tc>
        <w:tc>
          <w:tcPr>
            <w:tcW w:w="377" w:type="pct"/>
            <w:tcBorders>
              <w:top w:val="nil"/>
              <w:left w:val="nil"/>
              <w:bottom w:val="nil"/>
              <w:right w:val="nil"/>
            </w:tcBorders>
            <w:shd w:val="clear" w:color="auto" w:fill="auto"/>
            <w:tcMar>
              <w:top w:w="100" w:type="dxa"/>
              <w:left w:w="100" w:type="dxa"/>
              <w:bottom w:w="100" w:type="dxa"/>
              <w:right w:w="100" w:type="dxa"/>
            </w:tcMar>
            <w:vAlign w:val="center"/>
          </w:tcPr>
          <w:p w14:paraId="291DDA07"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129</w:t>
            </w:r>
          </w:p>
        </w:tc>
        <w:tc>
          <w:tcPr>
            <w:tcW w:w="499" w:type="pct"/>
            <w:tcBorders>
              <w:top w:val="nil"/>
              <w:left w:val="nil"/>
              <w:bottom w:val="nil"/>
              <w:right w:val="nil"/>
            </w:tcBorders>
            <w:shd w:val="clear" w:color="auto" w:fill="auto"/>
            <w:tcMar>
              <w:top w:w="100" w:type="dxa"/>
              <w:left w:w="100" w:type="dxa"/>
              <w:bottom w:w="100" w:type="dxa"/>
              <w:right w:w="100" w:type="dxa"/>
            </w:tcMar>
            <w:vAlign w:val="center"/>
          </w:tcPr>
          <w:p w14:paraId="79420DE4"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647</w:t>
            </w:r>
          </w:p>
        </w:tc>
        <w:tc>
          <w:tcPr>
            <w:tcW w:w="854" w:type="pct"/>
            <w:tcBorders>
              <w:top w:val="nil"/>
              <w:left w:val="nil"/>
              <w:bottom w:val="nil"/>
              <w:right w:val="nil"/>
            </w:tcBorders>
            <w:shd w:val="clear" w:color="auto" w:fill="auto"/>
            <w:tcMar>
              <w:top w:w="100" w:type="dxa"/>
              <w:left w:w="100" w:type="dxa"/>
              <w:bottom w:w="100" w:type="dxa"/>
              <w:right w:w="100" w:type="dxa"/>
            </w:tcMar>
            <w:vAlign w:val="center"/>
          </w:tcPr>
          <w:p w14:paraId="761BCB6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1.04 (1.24)</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23562347"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1.04</w:t>
            </w:r>
          </w:p>
        </w:tc>
        <w:tc>
          <w:tcPr>
            <w:tcW w:w="314" w:type="pct"/>
            <w:tcBorders>
              <w:top w:val="nil"/>
              <w:left w:val="nil"/>
              <w:bottom w:val="nil"/>
              <w:right w:val="nil"/>
            </w:tcBorders>
            <w:shd w:val="clear" w:color="auto" w:fill="auto"/>
            <w:tcMar>
              <w:top w:w="100" w:type="dxa"/>
              <w:left w:w="100" w:type="dxa"/>
              <w:bottom w:w="100" w:type="dxa"/>
              <w:right w:w="100" w:type="dxa"/>
            </w:tcMar>
            <w:vAlign w:val="center"/>
          </w:tcPr>
          <w:p w14:paraId="3A9428F2"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.318</w:t>
            </w:r>
          </w:p>
        </w:tc>
      </w:tr>
      <w:tr w:rsidR="00BF6F8B" w:rsidRPr="00F35727" w14:paraId="4123C745" w14:textId="77777777" w:rsidTr="003E3173">
        <w:tc>
          <w:tcPr>
            <w:tcW w:w="970" w:type="pct"/>
            <w:tcBorders>
              <w:top w:val="nil"/>
              <w:left w:val="nil"/>
              <w:right w:val="nil"/>
            </w:tcBorders>
            <w:shd w:val="clear" w:color="auto" w:fill="auto"/>
            <w:tcMar>
              <w:top w:w="100" w:type="dxa"/>
              <w:left w:w="100" w:type="dxa"/>
              <w:bottom w:w="100" w:type="dxa"/>
              <w:right w:w="100" w:type="dxa"/>
            </w:tcMar>
          </w:tcPr>
          <w:p w14:paraId="7B02F31F" w14:textId="77777777" w:rsidR="00BF6F8B" w:rsidRPr="00F35727" w:rsidRDefault="00BF6F8B" w:rsidP="003E3173">
            <w:pPr>
              <w:widowControl w:val="0"/>
              <w:rPr>
                <w:rFonts w:eastAsia="Times New Roman"/>
              </w:rPr>
            </w:pPr>
            <w:r>
              <w:rPr>
                <w:rFonts w:eastAsia="Times New Roman"/>
              </w:rPr>
              <w:t xml:space="preserve"> </w:t>
            </w:r>
            <w:r w:rsidRPr="00F35727">
              <w:rPr>
                <w:rFonts w:eastAsia="Times New Roman"/>
              </w:rPr>
              <w:t>6 Month (4 months)</w:t>
            </w:r>
          </w:p>
        </w:tc>
        <w:tc>
          <w:tcPr>
            <w:tcW w:w="366" w:type="pct"/>
            <w:tcBorders>
              <w:top w:val="nil"/>
              <w:left w:val="nil"/>
              <w:right w:val="nil"/>
            </w:tcBorders>
            <w:shd w:val="clear" w:color="auto" w:fill="auto"/>
            <w:tcMar>
              <w:top w:w="100" w:type="dxa"/>
              <w:left w:w="100" w:type="dxa"/>
              <w:bottom w:w="100" w:type="dxa"/>
              <w:right w:w="100" w:type="dxa"/>
            </w:tcMar>
            <w:vAlign w:val="center"/>
          </w:tcPr>
          <w:p w14:paraId="3B35F322"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559</w:t>
            </w:r>
          </w:p>
        </w:tc>
        <w:tc>
          <w:tcPr>
            <w:tcW w:w="488" w:type="pct"/>
            <w:tcBorders>
              <w:top w:val="nil"/>
              <w:left w:val="nil"/>
              <w:right w:val="nil"/>
            </w:tcBorders>
            <w:shd w:val="clear" w:color="auto" w:fill="auto"/>
            <w:tcMar>
              <w:top w:w="100" w:type="dxa"/>
              <w:left w:w="100" w:type="dxa"/>
              <w:bottom w:w="100" w:type="dxa"/>
              <w:right w:w="100" w:type="dxa"/>
            </w:tcMar>
            <w:vAlign w:val="center"/>
          </w:tcPr>
          <w:p w14:paraId="1FBD3765"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1166</w:t>
            </w:r>
          </w:p>
        </w:tc>
        <w:tc>
          <w:tcPr>
            <w:tcW w:w="819" w:type="pct"/>
            <w:tcBorders>
              <w:top w:val="nil"/>
              <w:left w:val="nil"/>
              <w:right w:val="nil"/>
            </w:tcBorders>
            <w:shd w:val="clear" w:color="auto" w:fill="auto"/>
            <w:tcMar>
              <w:top w:w="100" w:type="dxa"/>
              <w:left w:w="100" w:type="dxa"/>
              <w:bottom w:w="100" w:type="dxa"/>
              <w:right w:w="100" w:type="dxa"/>
            </w:tcMar>
            <w:vAlign w:val="center"/>
          </w:tcPr>
          <w:p w14:paraId="3902E194"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0.74 (1.13)</w:t>
            </w:r>
          </w:p>
        </w:tc>
        <w:tc>
          <w:tcPr>
            <w:tcW w:w="377" w:type="pct"/>
            <w:tcBorders>
              <w:top w:val="nil"/>
              <w:left w:val="nil"/>
              <w:right w:val="nil"/>
            </w:tcBorders>
            <w:shd w:val="clear" w:color="auto" w:fill="auto"/>
            <w:tcMar>
              <w:top w:w="100" w:type="dxa"/>
              <w:left w:w="100" w:type="dxa"/>
              <w:bottom w:w="100" w:type="dxa"/>
              <w:right w:w="100" w:type="dxa"/>
            </w:tcMar>
            <w:vAlign w:val="center"/>
          </w:tcPr>
          <w:p w14:paraId="3E94B3F9"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291</w:t>
            </w:r>
          </w:p>
        </w:tc>
        <w:tc>
          <w:tcPr>
            <w:tcW w:w="499" w:type="pct"/>
            <w:tcBorders>
              <w:top w:val="nil"/>
              <w:left w:val="nil"/>
              <w:right w:val="nil"/>
            </w:tcBorders>
            <w:shd w:val="clear" w:color="auto" w:fill="auto"/>
            <w:tcMar>
              <w:top w:w="100" w:type="dxa"/>
              <w:left w:w="100" w:type="dxa"/>
              <w:bottom w:w="100" w:type="dxa"/>
              <w:right w:w="100" w:type="dxa"/>
            </w:tcMar>
            <w:vAlign w:val="center"/>
          </w:tcPr>
          <w:p w14:paraId="69C91CB0"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890</w:t>
            </w:r>
          </w:p>
        </w:tc>
        <w:tc>
          <w:tcPr>
            <w:tcW w:w="854" w:type="pct"/>
            <w:tcBorders>
              <w:top w:val="nil"/>
              <w:left w:val="nil"/>
              <w:right w:val="nil"/>
            </w:tcBorders>
            <w:shd w:val="clear" w:color="auto" w:fill="auto"/>
            <w:tcMar>
              <w:top w:w="100" w:type="dxa"/>
              <w:left w:w="100" w:type="dxa"/>
              <w:bottom w:w="100" w:type="dxa"/>
              <w:right w:w="100" w:type="dxa"/>
            </w:tcMar>
            <w:vAlign w:val="center"/>
          </w:tcPr>
          <w:p w14:paraId="635E85D8"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1.30 (2.15)</w:t>
            </w:r>
          </w:p>
        </w:tc>
        <w:tc>
          <w:tcPr>
            <w:tcW w:w="314" w:type="pct"/>
            <w:tcBorders>
              <w:top w:val="nil"/>
              <w:left w:val="nil"/>
              <w:right w:val="nil"/>
            </w:tcBorders>
            <w:shd w:val="clear" w:color="auto" w:fill="auto"/>
            <w:tcMar>
              <w:top w:w="100" w:type="dxa"/>
              <w:left w:w="100" w:type="dxa"/>
              <w:bottom w:w="100" w:type="dxa"/>
              <w:right w:w="100" w:type="dxa"/>
            </w:tcMar>
            <w:vAlign w:val="center"/>
          </w:tcPr>
          <w:p w14:paraId="3C419D9D"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0.83</w:t>
            </w:r>
          </w:p>
        </w:tc>
        <w:tc>
          <w:tcPr>
            <w:tcW w:w="314" w:type="pct"/>
            <w:tcBorders>
              <w:top w:val="nil"/>
              <w:left w:val="nil"/>
              <w:right w:val="nil"/>
            </w:tcBorders>
            <w:shd w:val="clear" w:color="auto" w:fill="auto"/>
            <w:tcMar>
              <w:top w:w="100" w:type="dxa"/>
              <w:left w:w="100" w:type="dxa"/>
              <w:bottom w:w="100" w:type="dxa"/>
              <w:right w:w="100" w:type="dxa"/>
            </w:tcMar>
            <w:vAlign w:val="center"/>
          </w:tcPr>
          <w:p w14:paraId="3C486A53" w14:textId="77777777" w:rsidR="00BF6F8B" w:rsidRPr="00F35727" w:rsidRDefault="00BF6F8B" w:rsidP="003E3173">
            <w:pPr>
              <w:widowControl w:val="0"/>
              <w:pBdr>
                <w:top w:val="nil"/>
                <w:left w:val="nil"/>
                <w:bottom w:val="nil"/>
                <w:right w:val="nil"/>
                <w:between w:val="nil"/>
              </w:pBdr>
              <w:jc w:val="center"/>
              <w:rPr>
                <w:rFonts w:eastAsia="Times New Roman"/>
              </w:rPr>
            </w:pPr>
            <w:r w:rsidRPr="00F35727">
              <w:rPr>
                <w:rFonts w:eastAsia="Times New Roman"/>
              </w:rPr>
              <w:t>.417</w:t>
            </w:r>
          </w:p>
        </w:tc>
      </w:tr>
    </w:tbl>
    <w:p w14:paraId="14A08919" w14:textId="77777777" w:rsidR="00BF6F8B" w:rsidRPr="00F35727" w:rsidRDefault="00BF6F8B" w:rsidP="00BF6F8B">
      <w:pPr>
        <w:rPr>
          <w:rFonts w:eastAsia="Times New Roman"/>
          <w:i/>
          <w:iCs/>
        </w:rPr>
      </w:pPr>
      <w:r w:rsidRPr="00F35727">
        <w:rPr>
          <w:rFonts w:eastAsia="Times New Roman"/>
          <w:i/>
          <w:iCs/>
        </w:rPr>
        <w:t xml:space="preserve">Note. </w:t>
      </w:r>
      <w:r w:rsidRPr="00F35727">
        <w:rPr>
          <w:rFonts w:eastAsia="Times New Roman"/>
          <w:i/>
          <w:iCs/>
          <w:vertAlign w:val="superscript"/>
        </w:rPr>
        <w:t xml:space="preserve">1 </w:t>
      </w:r>
      <w:r w:rsidRPr="00F35727">
        <w:rPr>
          <w:rFonts w:eastAsia="Times New Roman"/>
          <w:i/>
          <w:iCs/>
        </w:rPr>
        <w:t xml:space="preserve">Events and reporters represents the aggregate sum of all events and all reporters across schools within a condition. </w:t>
      </w:r>
      <w:r w:rsidRPr="00F35727">
        <w:rPr>
          <w:rFonts w:eastAsia="Times New Roman"/>
          <w:i/>
          <w:iCs/>
          <w:vertAlign w:val="superscript"/>
        </w:rPr>
        <w:t xml:space="preserve">2 </w:t>
      </w:r>
      <w:r w:rsidRPr="00F35727">
        <w:rPr>
          <w:rFonts w:eastAsia="Times New Roman"/>
          <w:i/>
          <w:iCs/>
        </w:rPr>
        <w:t>Events per person-year were computed within school and were annualized as the [[number of events] / [reporters * exposure period] * 12]. Due to heterogeneity across schools characteristics and the school-level intervention approach, presented here is the mean events per person-year across schools rather than a calculation across all schools</w:t>
      </w:r>
      <w:r>
        <w:rPr>
          <w:rFonts w:eastAsia="Times New Roman"/>
          <w:i/>
          <w:iCs/>
        </w:rPr>
        <w:t xml:space="preserve"> </w:t>
      </w:r>
      <w:r w:rsidRPr="00F35727">
        <w:rPr>
          <w:rFonts w:eastAsia="Times New Roman"/>
          <w:i/>
          <w:iCs/>
          <w:vertAlign w:val="superscript"/>
        </w:rPr>
        <w:t xml:space="preserve">3 </w:t>
      </w:r>
      <w:r w:rsidRPr="00F35727">
        <w:rPr>
          <w:rFonts w:eastAsia="Times New Roman"/>
          <w:i/>
          <w:iCs/>
        </w:rPr>
        <w:t xml:space="preserve">Comparison between events per person-year for control and intervention school. </w:t>
      </w:r>
    </w:p>
    <w:p w14:paraId="6DB82E30" w14:textId="77777777" w:rsidR="00353CA9" w:rsidRDefault="00353CA9"/>
    <w:sectPr w:rsidR="00353CA9" w:rsidSect="00AD4890">
      <w:pgSz w:w="11906" w:h="16838"/>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626F4" w14:textId="77777777" w:rsidR="00EF03A0" w:rsidRDefault="00EF03A0" w:rsidP="00EF03A0">
      <w:pPr>
        <w:spacing w:after="0" w:line="240" w:lineRule="auto"/>
      </w:pPr>
      <w:r>
        <w:separator/>
      </w:r>
    </w:p>
  </w:endnote>
  <w:endnote w:type="continuationSeparator" w:id="0">
    <w:p w14:paraId="23DF9008" w14:textId="77777777" w:rsidR="00EF03A0" w:rsidRDefault="00EF03A0" w:rsidP="00EF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0B0BC" w14:textId="77777777" w:rsidR="00EF03A0" w:rsidRDefault="00EF03A0" w:rsidP="00EF03A0">
      <w:pPr>
        <w:spacing w:after="0" w:line="240" w:lineRule="auto"/>
      </w:pPr>
      <w:r>
        <w:separator/>
      </w:r>
    </w:p>
  </w:footnote>
  <w:footnote w:type="continuationSeparator" w:id="0">
    <w:p w14:paraId="717C3734" w14:textId="77777777" w:rsidR="00EF03A0" w:rsidRDefault="00EF03A0" w:rsidP="00EF03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F8B"/>
    <w:rsid w:val="00353CA9"/>
    <w:rsid w:val="00A74EA3"/>
    <w:rsid w:val="00BF6F8B"/>
    <w:rsid w:val="00CC00FE"/>
    <w:rsid w:val="00EF03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C0AE4"/>
  <w15:docId w15:val="{5A68C774-B022-487B-8BC9-8704D1A69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430</Words>
  <Characters>2455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Karishma</dc:creator>
  <cp:lastModifiedBy>Herbst, Jeffrey (CDC/DDNID/NCIPC/DVP)</cp:lastModifiedBy>
  <cp:revision>2</cp:revision>
  <dcterms:created xsi:type="dcterms:W3CDTF">2023-04-28T13:20:00Z</dcterms:created>
  <dcterms:modified xsi:type="dcterms:W3CDTF">2023-04-28T13:20:00Z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2023-04-28T13:19:48Z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c1e3fc49-b03f-4865-826b-e82ebac0e1cd</vt:lpwstr>
  </property>
  <property fmtid="{D5CDD505-2E9C-101B-9397-08002B2CF9AE}" pid="8" name="MSIP_Label_7b94a7b8-f06c-4dfe-bdcc-9b548fd58c31_ContentBits">
    <vt:lpwstr>0</vt:lpwstr>
  </property>
</Properties>
</file>