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520"/>
        <w:gridCol w:w="2520"/>
        <w:gridCol w:w="2737"/>
      </w:tblGrid>
      <w:tr w:rsidR="005F3AFE" w:rsidRPr="00F738F2" w14:paraId="5917F5F9" w14:textId="6FDC56AF" w:rsidTr="005F3AFE">
        <w:trPr>
          <w:trHeight w:val="808"/>
        </w:trPr>
        <w:tc>
          <w:tcPr>
            <w:tcW w:w="10832" w:type="dxa"/>
            <w:gridSpan w:val="4"/>
            <w:vAlign w:val="center"/>
          </w:tcPr>
          <w:p w14:paraId="72F67C92" w14:textId="1522D5C3" w:rsidR="005F3AFE" w:rsidRPr="00F738F2" w:rsidRDefault="005F3AFE" w:rsidP="005F3AFE">
            <w:pPr>
              <w:pStyle w:val="NoSpacing"/>
              <w:rPr>
                <w:rFonts w:ascii="Arial" w:hAnsi="Arial" w:cs="Arial"/>
                <w:b/>
                <w:bCs/>
              </w:rPr>
            </w:pPr>
            <w:r w:rsidRPr="00F738F2">
              <w:rPr>
                <w:rFonts w:ascii="Arial" w:hAnsi="Arial" w:cs="Arial"/>
                <w:b/>
                <w:bCs/>
              </w:rPr>
              <w:t>Table S1: Multivariate results for probability of completing a partner services interview among sexually-transmitted infection case episodes in men who have sex with men in King County, WA stratified by the presence of syphilis, gonorrhea, and chlamydia – 2011-2018 (N=15,562)</w:t>
            </w:r>
          </w:p>
        </w:tc>
      </w:tr>
      <w:tr w:rsidR="005F3AFE" w:rsidRPr="00F738F2" w14:paraId="42BB5CA5" w14:textId="7515D6C3" w:rsidTr="005F3AFE">
        <w:trPr>
          <w:trHeight w:val="945"/>
        </w:trPr>
        <w:tc>
          <w:tcPr>
            <w:tcW w:w="3055" w:type="dxa"/>
            <w:vAlign w:val="center"/>
          </w:tcPr>
          <w:p w14:paraId="5E5D4759" w14:textId="31AB0C73" w:rsidR="005F3AFE" w:rsidRPr="00F738F2" w:rsidRDefault="005F3AFE" w:rsidP="005F3AFE">
            <w:pPr>
              <w:pStyle w:val="NoSpacing"/>
              <w:rPr>
                <w:rFonts w:ascii="Arial" w:hAnsi="Arial" w:cs="Arial"/>
                <w:i/>
              </w:rPr>
            </w:pPr>
            <w:r w:rsidRPr="00F738F2">
              <w:rPr>
                <w:rFonts w:ascii="Arial" w:hAnsi="Arial" w:cs="Arial"/>
                <w:i/>
              </w:rPr>
              <w:t>Dependent Variable</w:t>
            </w:r>
          </w:p>
        </w:tc>
        <w:tc>
          <w:tcPr>
            <w:tcW w:w="2520" w:type="dxa"/>
            <w:vAlign w:val="center"/>
          </w:tcPr>
          <w:p w14:paraId="3B87049D" w14:textId="5A1A520A" w:rsidR="005F3AFE" w:rsidRPr="00F738F2" w:rsidRDefault="005F3AFE" w:rsidP="005F3AFE">
            <w:pPr>
              <w:pStyle w:val="NoSpacing"/>
              <w:rPr>
                <w:rFonts w:ascii="Arial" w:hAnsi="Arial" w:cs="Arial"/>
                <w:i/>
              </w:rPr>
            </w:pPr>
            <w:r w:rsidRPr="00F738F2">
              <w:rPr>
                <w:rFonts w:ascii="Arial" w:hAnsi="Arial" w:cs="Arial"/>
                <w:i/>
              </w:rPr>
              <w:t>Cases involving syphilis (N=</w:t>
            </w:r>
            <w:r w:rsidR="00F61A74">
              <w:rPr>
                <w:rFonts w:ascii="Arial" w:hAnsi="Arial" w:cs="Arial"/>
                <w:i/>
              </w:rPr>
              <w:t>2,417</w:t>
            </w:r>
            <w:r w:rsidRPr="00F738F2">
              <w:rPr>
                <w:rFonts w:ascii="Arial" w:hAnsi="Arial" w:cs="Arial"/>
                <w:i/>
              </w:rPr>
              <w:t>)</w:t>
            </w:r>
          </w:p>
        </w:tc>
        <w:tc>
          <w:tcPr>
            <w:tcW w:w="2520" w:type="dxa"/>
            <w:vAlign w:val="center"/>
          </w:tcPr>
          <w:p w14:paraId="45C8C85C" w14:textId="09B2D218" w:rsidR="005F3AFE" w:rsidRPr="00F738F2" w:rsidRDefault="005F3AFE" w:rsidP="005F3AFE">
            <w:pPr>
              <w:pStyle w:val="NoSpacing"/>
              <w:rPr>
                <w:rFonts w:ascii="Arial" w:hAnsi="Arial" w:cs="Arial"/>
                <w:i/>
              </w:rPr>
            </w:pPr>
            <w:r w:rsidRPr="00F738F2">
              <w:rPr>
                <w:rFonts w:ascii="Arial" w:hAnsi="Arial" w:cs="Arial"/>
                <w:i/>
              </w:rPr>
              <w:t>Cases involving gonorrhea</w:t>
            </w:r>
            <w:r w:rsidR="00F61A74">
              <w:rPr>
                <w:rFonts w:ascii="Arial" w:hAnsi="Arial" w:cs="Arial"/>
                <w:i/>
              </w:rPr>
              <w:t xml:space="preserve"> (N=10,196)</w:t>
            </w:r>
          </w:p>
        </w:tc>
        <w:tc>
          <w:tcPr>
            <w:tcW w:w="2737" w:type="dxa"/>
            <w:vAlign w:val="center"/>
          </w:tcPr>
          <w:p w14:paraId="61DCDC11" w14:textId="24710CC2" w:rsidR="005F3AFE" w:rsidRPr="00F738F2" w:rsidRDefault="005F3AFE" w:rsidP="005F3AFE">
            <w:pPr>
              <w:pStyle w:val="NoSpacing"/>
              <w:rPr>
                <w:rFonts w:ascii="Arial" w:hAnsi="Arial" w:cs="Arial"/>
                <w:i/>
              </w:rPr>
            </w:pPr>
            <w:r w:rsidRPr="00F738F2">
              <w:rPr>
                <w:rFonts w:ascii="Arial" w:hAnsi="Arial" w:cs="Arial"/>
                <w:i/>
              </w:rPr>
              <w:t>Cases involving chlamydia</w:t>
            </w:r>
            <w:r w:rsidR="00F61A74">
              <w:rPr>
                <w:rFonts w:ascii="Arial" w:hAnsi="Arial" w:cs="Arial"/>
                <w:i/>
              </w:rPr>
              <w:t xml:space="preserve"> (N=7,563)</w:t>
            </w:r>
          </w:p>
        </w:tc>
      </w:tr>
      <w:tr w:rsidR="005F3AFE" w:rsidRPr="00F738F2" w14:paraId="773C7853" w14:textId="70F3614C" w:rsidTr="005F3AFE">
        <w:trPr>
          <w:trHeight w:val="808"/>
        </w:trPr>
        <w:tc>
          <w:tcPr>
            <w:tcW w:w="3055" w:type="dxa"/>
            <w:vAlign w:val="center"/>
          </w:tcPr>
          <w:p w14:paraId="6740121C" w14:textId="1864181A" w:rsidR="005F3AFE" w:rsidRPr="00F738F2" w:rsidRDefault="005F3AFE" w:rsidP="005F3AFE">
            <w:pPr>
              <w:pStyle w:val="NoSpacing"/>
              <w:rPr>
                <w:rFonts w:ascii="Arial" w:hAnsi="Arial" w:cs="Arial"/>
              </w:rPr>
            </w:pPr>
            <w:r w:rsidRPr="00F738F2">
              <w:rPr>
                <w:rFonts w:ascii="Arial" w:hAnsi="Arial" w:cs="Arial"/>
              </w:rPr>
              <w:t>Number of previous PS interviews</w:t>
            </w:r>
            <w:r w:rsidRPr="00F738F2">
              <w:rPr>
                <w:rFonts w:ascii="Arial" w:hAnsi="Arial" w:cs="Arial"/>
                <w:vertAlign w:val="superscript"/>
              </w:rPr>
              <w:t>†</w:t>
            </w:r>
          </w:p>
        </w:tc>
        <w:tc>
          <w:tcPr>
            <w:tcW w:w="7777" w:type="dxa"/>
            <w:gridSpan w:val="3"/>
            <w:vAlign w:val="center"/>
          </w:tcPr>
          <w:p w14:paraId="43E89ABE" w14:textId="160792F6" w:rsidR="005F3AFE" w:rsidRPr="00F738F2" w:rsidRDefault="005F3AFE" w:rsidP="005F3AFE">
            <w:pPr>
              <w:pStyle w:val="NoSpacing"/>
              <w:rPr>
                <w:rFonts w:ascii="Arial" w:hAnsi="Arial" w:cs="Arial"/>
              </w:rPr>
            </w:pPr>
            <w:r w:rsidRPr="00F738F2">
              <w:rPr>
                <w:rFonts w:ascii="Arial" w:hAnsi="Arial" w:cs="Arial"/>
                <w:i/>
              </w:rPr>
              <w:t>PR (95% CI)</w:t>
            </w:r>
          </w:p>
        </w:tc>
      </w:tr>
      <w:tr w:rsidR="005F3AFE" w:rsidRPr="00F738F2" w14:paraId="2282D2F3" w14:textId="4D8547DC" w:rsidTr="005F3AFE">
        <w:trPr>
          <w:trHeight w:val="505"/>
        </w:trPr>
        <w:tc>
          <w:tcPr>
            <w:tcW w:w="3055" w:type="dxa"/>
            <w:vAlign w:val="center"/>
          </w:tcPr>
          <w:p w14:paraId="023BBD24" w14:textId="0E08C29B" w:rsidR="005F3AFE" w:rsidRPr="00F738F2" w:rsidRDefault="005F3AFE" w:rsidP="005F3AFE">
            <w:pPr>
              <w:pStyle w:val="NoSpacing"/>
              <w:rPr>
                <w:rFonts w:ascii="Arial" w:hAnsi="Arial" w:cs="Arial"/>
                <w:iCs/>
              </w:rPr>
            </w:pPr>
            <w:r w:rsidRPr="00F738F2">
              <w:rPr>
                <w:rFonts w:ascii="Arial" w:hAnsi="Arial" w:cs="Arial"/>
              </w:rPr>
              <w:t>None</w:t>
            </w:r>
          </w:p>
        </w:tc>
        <w:tc>
          <w:tcPr>
            <w:tcW w:w="7777" w:type="dxa"/>
            <w:gridSpan w:val="3"/>
            <w:vAlign w:val="center"/>
          </w:tcPr>
          <w:p w14:paraId="0D229ECA" w14:textId="6C558732" w:rsidR="005F3AFE" w:rsidRPr="00F738F2" w:rsidRDefault="005F3AFE" w:rsidP="005F3AFE">
            <w:pPr>
              <w:pStyle w:val="NoSpacing"/>
              <w:rPr>
                <w:rFonts w:ascii="Arial" w:hAnsi="Arial" w:cs="Arial"/>
              </w:rPr>
            </w:pPr>
            <w:r w:rsidRPr="00F738F2">
              <w:rPr>
                <w:rFonts w:ascii="Arial" w:hAnsi="Arial" w:cs="Arial"/>
                <w:i/>
              </w:rPr>
              <w:t>Referent</w:t>
            </w:r>
          </w:p>
        </w:tc>
      </w:tr>
      <w:tr w:rsidR="005F3AFE" w:rsidRPr="00F738F2" w14:paraId="5A18BBD9" w14:textId="04325306" w:rsidTr="005F3AFE">
        <w:trPr>
          <w:trHeight w:val="505"/>
        </w:trPr>
        <w:tc>
          <w:tcPr>
            <w:tcW w:w="3055" w:type="dxa"/>
            <w:vAlign w:val="center"/>
          </w:tcPr>
          <w:p w14:paraId="257441BB" w14:textId="4CF0326E" w:rsidR="005F3AFE" w:rsidRPr="00F738F2" w:rsidRDefault="005F3AFE" w:rsidP="005F3AFE">
            <w:pPr>
              <w:pStyle w:val="NoSpacing"/>
              <w:rPr>
                <w:rFonts w:ascii="Arial" w:hAnsi="Arial" w:cs="Arial"/>
                <w:iCs/>
              </w:rPr>
            </w:pPr>
            <w:r w:rsidRPr="00F738F2">
              <w:rPr>
                <w:rFonts w:ascii="Arial" w:hAnsi="Arial" w:cs="Arial"/>
              </w:rPr>
              <w:t>One</w:t>
            </w:r>
          </w:p>
        </w:tc>
        <w:tc>
          <w:tcPr>
            <w:tcW w:w="2520" w:type="dxa"/>
            <w:vAlign w:val="center"/>
          </w:tcPr>
          <w:p w14:paraId="780A6B63" w14:textId="71DA3E2E" w:rsidR="005F3AFE" w:rsidRPr="00F738F2" w:rsidRDefault="00F738F2" w:rsidP="005F3AFE">
            <w:pPr>
              <w:pStyle w:val="NoSpacing"/>
              <w:rPr>
                <w:rFonts w:ascii="Arial" w:hAnsi="Arial" w:cs="Arial"/>
              </w:rPr>
            </w:pPr>
            <w:r w:rsidRPr="00F738F2">
              <w:rPr>
                <w:rFonts w:ascii="Arial" w:hAnsi="Arial" w:cs="Arial"/>
              </w:rPr>
              <w:t>0.98 (0.93, 1.03)</w:t>
            </w:r>
          </w:p>
        </w:tc>
        <w:tc>
          <w:tcPr>
            <w:tcW w:w="2520" w:type="dxa"/>
            <w:vAlign w:val="center"/>
          </w:tcPr>
          <w:p w14:paraId="42C6A79B" w14:textId="576D5DBB" w:rsidR="005F3AFE" w:rsidRPr="00F738F2" w:rsidRDefault="00F61A74" w:rsidP="005F3AFE">
            <w:pPr>
              <w:pStyle w:val="NoSpacing"/>
              <w:rPr>
                <w:rFonts w:ascii="Arial" w:hAnsi="Arial" w:cs="Arial"/>
              </w:rPr>
            </w:pPr>
            <w:r>
              <w:rPr>
                <w:rFonts w:ascii="Arial" w:hAnsi="Arial" w:cs="Arial"/>
              </w:rPr>
              <w:t>0.92 (0.89, 0.96)</w:t>
            </w:r>
          </w:p>
        </w:tc>
        <w:tc>
          <w:tcPr>
            <w:tcW w:w="2737" w:type="dxa"/>
            <w:vAlign w:val="center"/>
          </w:tcPr>
          <w:p w14:paraId="19A7C408" w14:textId="16546B87" w:rsidR="005F3AFE" w:rsidRPr="00F738F2" w:rsidRDefault="00F81BF8" w:rsidP="005F3AFE">
            <w:pPr>
              <w:pStyle w:val="NoSpacing"/>
              <w:rPr>
                <w:rFonts w:ascii="Arial" w:hAnsi="Arial" w:cs="Arial"/>
              </w:rPr>
            </w:pPr>
            <w:r>
              <w:rPr>
                <w:rFonts w:ascii="Arial" w:hAnsi="Arial" w:cs="Arial"/>
              </w:rPr>
              <w:t>0.97 (0.93, 1.01)</w:t>
            </w:r>
          </w:p>
        </w:tc>
      </w:tr>
      <w:tr w:rsidR="005F3AFE" w:rsidRPr="00F738F2" w14:paraId="1657CB9A" w14:textId="541818E2" w:rsidTr="005F3AFE">
        <w:trPr>
          <w:trHeight w:val="505"/>
        </w:trPr>
        <w:tc>
          <w:tcPr>
            <w:tcW w:w="3055" w:type="dxa"/>
            <w:vAlign w:val="center"/>
          </w:tcPr>
          <w:p w14:paraId="3FA17C85" w14:textId="3CB91797" w:rsidR="005F3AFE" w:rsidRPr="00F738F2" w:rsidRDefault="005F3AFE" w:rsidP="005F3AFE">
            <w:pPr>
              <w:pStyle w:val="NoSpacing"/>
              <w:rPr>
                <w:rFonts w:ascii="Arial" w:hAnsi="Arial" w:cs="Arial"/>
                <w:iCs/>
              </w:rPr>
            </w:pPr>
            <w:r w:rsidRPr="00F738F2">
              <w:rPr>
                <w:rFonts w:ascii="Arial" w:hAnsi="Arial" w:cs="Arial"/>
              </w:rPr>
              <w:t>Two</w:t>
            </w:r>
          </w:p>
        </w:tc>
        <w:tc>
          <w:tcPr>
            <w:tcW w:w="2520" w:type="dxa"/>
            <w:vAlign w:val="center"/>
          </w:tcPr>
          <w:p w14:paraId="3132DE6D" w14:textId="12DCE964" w:rsidR="005F3AFE" w:rsidRPr="00F738F2" w:rsidRDefault="00F738F2" w:rsidP="005F3AFE">
            <w:pPr>
              <w:pStyle w:val="NoSpacing"/>
              <w:rPr>
                <w:rFonts w:ascii="Arial" w:hAnsi="Arial" w:cs="Arial"/>
              </w:rPr>
            </w:pPr>
            <w:r w:rsidRPr="00F738F2">
              <w:rPr>
                <w:rFonts w:ascii="Arial" w:hAnsi="Arial" w:cs="Arial"/>
              </w:rPr>
              <w:t>0.96 (0.89, 1.02)</w:t>
            </w:r>
          </w:p>
        </w:tc>
        <w:tc>
          <w:tcPr>
            <w:tcW w:w="2520" w:type="dxa"/>
            <w:vAlign w:val="center"/>
          </w:tcPr>
          <w:p w14:paraId="078BB97E" w14:textId="5006E7F3" w:rsidR="005F3AFE" w:rsidRPr="00F738F2" w:rsidRDefault="00F61A74" w:rsidP="005F3AFE">
            <w:pPr>
              <w:pStyle w:val="NoSpacing"/>
              <w:rPr>
                <w:rFonts w:ascii="Arial" w:hAnsi="Arial" w:cs="Arial"/>
              </w:rPr>
            </w:pPr>
            <w:r>
              <w:rPr>
                <w:rFonts w:ascii="Arial" w:hAnsi="Arial" w:cs="Arial"/>
              </w:rPr>
              <w:t>0.94 (0.89, 0.98)</w:t>
            </w:r>
          </w:p>
        </w:tc>
        <w:tc>
          <w:tcPr>
            <w:tcW w:w="2737" w:type="dxa"/>
            <w:vAlign w:val="center"/>
          </w:tcPr>
          <w:p w14:paraId="3B7F75DC" w14:textId="1691AA54" w:rsidR="005F3AFE" w:rsidRPr="00F738F2" w:rsidRDefault="00F81BF8" w:rsidP="005F3AFE">
            <w:pPr>
              <w:pStyle w:val="NoSpacing"/>
              <w:rPr>
                <w:rFonts w:ascii="Arial" w:hAnsi="Arial" w:cs="Arial"/>
              </w:rPr>
            </w:pPr>
            <w:r>
              <w:rPr>
                <w:rFonts w:ascii="Arial" w:hAnsi="Arial" w:cs="Arial"/>
              </w:rPr>
              <w:t>0.99 (0.94, 1.05)</w:t>
            </w:r>
          </w:p>
        </w:tc>
      </w:tr>
      <w:tr w:rsidR="005F3AFE" w:rsidRPr="00F738F2" w14:paraId="53D9E692" w14:textId="23D95802" w:rsidTr="005F3AFE">
        <w:trPr>
          <w:trHeight w:val="505"/>
        </w:trPr>
        <w:tc>
          <w:tcPr>
            <w:tcW w:w="3055" w:type="dxa"/>
            <w:vAlign w:val="center"/>
          </w:tcPr>
          <w:p w14:paraId="17C70B29" w14:textId="6F5E2A02" w:rsidR="005F3AFE" w:rsidRPr="00F738F2" w:rsidRDefault="005F3AFE" w:rsidP="005F3AFE">
            <w:pPr>
              <w:pStyle w:val="NoSpacing"/>
              <w:rPr>
                <w:rFonts w:ascii="Arial" w:hAnsi="Arial" w:cs="Arial"/>
                <w:iCs/>
              </w:rPr>
            </w:pPr>
            <w:r w:rsidRPr="00F738F2">
              <w:rPr>
                <w:rFonts w:ascii="Arial" w:hAnsi="Arial" w:cs="Arial"/>
              </w:rPr>
              <w:t>Three or more</w:t>
            </w:r>
          </w:p>
        </w:tc>
        <w:tc>
          <w:tcPr>
            <w:tcW w:w="2520" w:type="dxa"/>
            <w:vAlign w:val="center"/>
          </w:tcPr>
          <w:p w14:paraId="4A03D280" w14:textId="3E78EEC8" w:rsidR="005F3AFE" w:rsidRPr="00F738F2" w:rsidRDefault="00F738F2" w:rsidP="005F3AFE">
            <w:pPr>
              <w:pStyle w:val="NoSpacing"/>
              <w:rPr>
                <w:rFonts w:ascii="Arial" w:hAnsi="Arial" w:cs="Arial"/>
              </w:rPr>
            </w:pPr>
            <w:r w:rsidRPr="00F738F2">
              <w:rPr>
                <w:rFonts w:ascii="Arial" w:hAnsi="Arial" w:cs="Arial"/>
              </w:rPr>
              <w:t>0.98 (0.92, 1.04)</w:t>
            </w:r>
          </w:p>
        </w:tc>
        <w:tc>
          <w:tcPr>
            <w:tcW w:w="2520" w:type="dxa"/>
            <w:vAlign w:val="center"/>
          </w:tcPr>
          <w:p w14:paraId="0FAF5198" w14:textId="039728F8" w:rsidR="005F3AFE" w:rsidRPr="00F738F2" w:rsidRDefault="00F61A74" w:rsidP="005F3AFE">
            <w:pPr>
              <w:pStyle w:val="NoSpacing"/>
              <w:rPr>
                <w:rFonts w:ascii="Arial" w:hAnsi="Arial" w:cs="Arial"/>
              </w:rPr>
            </w:pPr>
            <w:r>
              <w:rPr>
                <w:rFonts w:ascii="Arial" w:hAnsi="Arial" w:cs="Arial"/>
              </w:rPr>
              <w:t>0.91 (0.87, 0.95)</w:t>
            </w:r>
          </w:p>
        </w:tc>
        <w:tc>
          <w:tcPr>
            <w:tcW w:w="2737" w:type="dxa"/>
            <w:vAlign w:val="center"/>
          </w:tcPr>
          <w:p w14:paraId="64120B75" w14:textId="23D541CD" w:rsidR="005F3AFE" w:rsidRPr="00F738F2" w:rsidRDefault="00F81BF8" w:rsidP="005F3AFE">
            <w:pPr>
              <w:pStyle w:val="NoSpacing"/>
              <w:rPr>
                <w:rFonts w:ascii="Arial" w:hAnsi="Arial" w:cs="Arial"/>
              </w:rPr>
            </w:pPr>
            <w:r>
              <w:rPr>
                <w:rFonts w:ascii="Arial" w:hAnsi="Arial" w:cs="Arial"/>
              </w:rPr>
              <w:t>0.92 (0.87, 0.97)</w:t>
            </w:r>
          </w:p>
        </w:tc>
      </w:tr>
      <w:tr w:rsidR="005F3AFE" w:rsidRPr="00F738F2" w14:paraId="733F2111" w14:textId="234E7354" w:rsidTr="00D62730">
        <w:trPr>
          <w:trHeight w:val="485"/>
        </w:trPr>
        <w:tc>
          <w:tcPr>
            <w:tcW w:w="10832" w:type="dxa"/>
            <w:gridSpan w:val="4"/>
            <w:vAlign w:val="center"/>
          </w:tcPr>
          <w:p w14:paraId="13AB1F9B" w14:textId="77777777" w:rsidR="005F3AFE" w:rsidRPr="00F738F2" w:rsidRDefault="005F3AFE" w:rsidP="005F3AFE">
            <w:pPr>
              <w:pStyle w:val="NoSpacing"/>
              <w:rPr>
                <w:rFonts w:ascii="Arial" w:hAnsi="Arial" w:cs="Arial"/>
              </w:rPr>
            </w:pPr>
          </w:p>
        </w:tc>
      </w:tr>
      <w:tr w:rsidR="00F738F2" w:rsidRPr="00F738F2" w14:paraId="1A05E1DA" w14:textId="26E838BB" w:rsidTr="001C58E3">
        <w:trPr>
          <w:trHeight w:val="829"/>
        </w:trPr>
        <w:tc>
          <w:tcPr>
            <w:tcW w:w="3055" w:type="dxa"/>
            <w:vAlign w:val="center"/>
          </w:tcPr>
          <w:p w14:paraId="71B14B70" w14:textId="2ADC8D99" w:rsidR="00F738F2" w:rsidRPr="00F738F2" w:rsidRDefault="00F738F2" w:rsidP="005F3AFE">
            <w:pPr>
              <w:pStyle w:val="NoSpacing"/>
              <w:rPr>
                <w:rFonts w:ascii="Arial" w:hAnsi="Arial" w:cs="Arial"/>
                <w:iCs/>
              </w:rPr>
            </w:pPr>
            <w:r w:rsidRPr="00F738F2">
              <w:rPr>
                <w:rFonts w:ascii="Arial" w:hAnsi="Arial" w:cs="Arial"/>
              </w:rPr>
              <w:t>Number of previous STI case episodes</w:t>
            </w:r>
            <w:r w:rsidRPr="00F738F2">
              <w:rPr>
                <w:rFonts w:ascii="Arial" w:hAnsi="Arial" w:cs="Arial"/>
                <w:vertAlign w:val="superscript"/>
              </w:rPr>
              <w:t>†</w:t>
            </w:r>
          </w:p>
        </w:tc>
        <w:tc>
          <w:tcPr>
            <w:tcW w:w="7777" w:type="dxa"/>
            <w:gridSpan w:val="3"/>
            <w:vAlign w:val="center"/>
          </w:tcPr>
          <w:p w14:paraId="35D512FC" w14:textId="498B76D7" w:rsidR="00F738F2" w:rsidRPr="00F738F2" w:rsidRDefault="00F738F2" w:rsidP="005F3AFE">
            <w:pPr>
              <w:pStyle w:val="NoSpacing"/>
              <w:rPr>
                <w:rFonts w:ascii="Arial" w:hAnsi="Arial" w:cs="Arial"/>
              </w:rPr>
            </w:pPr>
            <w:r w:rsidRPr="00F738F2">
              <w:rPr>
                <w:rFonts w:ascii="Arial" w:hAnsi="Arial" w:cs="Arial"/>
                <w:i/>
              </w:rPr>
              <w:t>PR (95% CI)</w:t>
            </w:r>
          </w:p>
        </w:tc>
      </w:tr>
      <w:tr w:rsidR="005F3AFE" w:rsidRPr="00F738F2" w14:paraId="3B0A89EE" w14:textId="4A46181A" w:rsidTr="005F3AFE">
        <w:trPr>
          <w:trHeight w:val="485"/>
        </w:trPr>
        <w:tc>
          <w:tcPr>
            <w:tcW w:w="3055" w:type="dxa"/>
            <w:vAlign w:val="center"/>
          </w:tcPr>
          <w:p w14:paraId="5FF0B1DF" w14:textId="554E4309" w:rsidR="005F3AFE" w:rsidRPr="00F738F2" w:rsidRDefault="005F3AFE" w:rsidP="005F3AFE">
            <w:pPr>
              <w:pStyle w:val="NoSpacing"/>
              <w:rPr>
                <w:rFonts w:ascii="Arial" w:hAnsi="Arial" w:cs="Arial"/>
                <w:iCs/>
              </w:rPr>
            </w:pPr>
            <w:r w:rsidRPr="00F738F2">
              <w:rPr>
                <w:rFonts w:ascii="Arial" w:hAnsi="Arial" w:cs="Arial"/>
              </w:rPr>
              <w:t>None</w:t>
            </w:r>
          </w:p>
        </w:tc>
        <w:tc>
          <w:tcPr>
            <w:tcW w:w="7777" w:type="dxa"/>
            <w:gridSpan w:val="3"/>
            <w:vAlign w:val="center"/>
          </w:tcPr>
          <w:p w14:paraId="7E176D04" w14:textId="4459C780" w:rsidR="005F3AFE" w:rsidRPr="00F738F2" w:rsidRDefault="005F3AFE" w:rsidP="005F3AFE">
            <w:pPr>
              <w:pStyle w:val="NoSpacing"/>
              <w:rPr>
                <w:rFonts w:ascii="Arial" w:hAnsi="Arial" w:cs="Arial"/>
              </w:rPr>
            </w:pPr>
            <w:r w:rsidRPr="00F738F2">
              <w:rPr>
                <w:rFonts w:ascii="Arial" w:hAnsi="Arial" w:cs="Arial"/>
                <w:i/>
              </w:rPr>
              <w:t>Referent</w:t>
            </w:r>
          </w:p>
        </w:tc>
      </w:tr>
      <w:tr w:rsidR="005F3AFE" w:rsidRPr="00F738F2" w14:paraId="6D593CBE" w14:textId="63BE2EE8" w:rsidTr="005F3AFE">
        <w:trPr>
          <w:trHeight w:val="505"/>
        </w:trPr>
        <w:tc>
          <w:tcPr>
            <w:tcW w:w="3055" w:type="dxa"/>
            <w:vAlign w:val="center"/>
          </w:tcPr>
          <w:p w14:paraId="051D4A4B" w14:textId="3B8FE2E0" w:rsidR="005F3AFE" w:rsidRPr="00F738F2" w:rsidRDefault="005F3AFE" w:rsidP="005F3AFE">
            <w:pPr>
              <w:pStyle w:val="NoSpacing"/>
              <w:rPr>
                <w:rFonts w:ascii="Arial" w:hAnsi="Arial" w:cs="Arial"/>
                <w:iCs/>
              </w:rPr>
            </w:pPr>
            <w:r w:rsidRPr="00F738F2">
              <w:rPr>
                <w:rFonts w:ascii="Arial" w:hAnsi="Arial" w:cs="Arial"/>
              </w:rPr>
              <w:t>One</w:t>
            </w:r>
          </w:p>
        </w:tc>
        <w:tc>
          <w:tcPr>
            <w:tcW w:w="2520" w:type="dxa"/>
            <w:vAlign w:val="center"/>
          </w:tcPr>
          <w:p w14:paraId="4FB7C289" w14:textId="2EA33BF0" w:rsidR="005F3AFE" w:rsidRPr="00F738F2" w:rsidRDefault="00F738F2" w:rsidP="005F3AFE">
            <w:pPr>
              <w:pStyle w:val="NoSpacing"/>
              <w:rPr>
                <w:rFonts w:ascii="Arial" w:hAnsi="Arial" w:cs="Arial"/>
              </w:rPr>
            </w:pPr>
            <w:r w:rsidRPr="00F738F2">
              <w:rPr>
                <w:rFonts w:ascii="Arial" w:hAnsi="Arial" w:cs="Arial"/>
              </w:rPr>
              <w:t>0.98 (0.93, 1.03)</w:t>
            </w:r>
          </w:p>
        </w:tc>
        <w:tc>
          <w:tcPr>
            <w:tcW w:w="2520" w:type="dxa"/>
            <w:vAlign w:val="center"/>
          </w:tcPr>
          <w:p w14:paraId="57AEF0D0" w14:textId="6EEB9B9F" w:rsidR="005F3AFE" w:rsidRPr="00F738F2" w:rsidRDefault="00F61A74" w:rsidP="005F3AFE">
            <w:pPr>
              <w:pStyle w:val="NoSpacing"/>
              <w:rPr>
                <w:rFonts w:ascii="Arial" w:hAnsi="Arial" w:cs="Arial"/>
              </w:rPr>
            </w:pPr>
            <w:r>
              <w:rPr>
                <w:rFonts w:ascii="Arial" w:hAnsi="Arial" w:cs="Arial"/>
              </w:rPr>
              <w:t>0.92 (0.89, 0.96)</w:t>
            </w:r>
          </w:p>
        </w:tc>
        <w:tc>
          <w:tcPr>
            <w:tcW w:w="2737" w:type="dxa"/>
            <w:vAlign w:val="center"/>
          </w:tcPr>
          <w:p w14:paraId="121A6F3F" w14:textId="4789FA69" w:rsidR="005F3AFE" w:rsidRPr="00F738F2" w:rsidRDefault="00F81BF8" w:rsidP="005F3AFE">
            <w:pPr>
              <w:pStyle w:val="NoSpacing"/>
              <w:rPr>
                <w:rFonts w:ascii="Arial" w:hAnsi="Arial" w:cs="Arial"/>
              </w:rPr>
            </w:pPr>
            <w:r>
              <w:rPr>
                <w:rFonts w:ascii="Arial" w:hAnsi="Arial" w:cs="Arial"/>
              </w:rPr>
              <w:t>0.98 (0.95, 1.02)</w:t>
            </w:r>
          </w:p>
        </w:tc>
      </w:tr>
      <w:tr w:rsidR="005F3AFE" w:rsidRPr="00F738F2" w14:paraId="4651A631" w14:textId="1B2A8C1F" w:rsidTr="005F3AFE">
        <w:trPr>
          <w:trHeight w:val="505"/>
        </w:trPr>
        <w:tc>
          <w:tcPr>
            <w:tcW w:w="3055" w:type="dxa"/>
            <w:vAlign w:val="center"/>
          </w:tcPr>
          <w:p w14:paraId="1F1A0F08" w14:textId="513B1795" w:rsidR="005F3AFE" w:rsidRPr="00F738F2" w:rsidRDefault="005F3AFE" w:rsidP="005F3AFE">
            <w:pPr>
              <w:pStyle w:val="NoSpacing"/>
              <w:rPr>
                <w:rFonts w:ascii="Arial" w:hAnsi="Arial" w:cs="Arial"/>
                <w:iCs/>
              </w:rPr>
            </w:pPr>
            <w:r w:rsidRPr="00F738F2">
              <w:rPr>
                <w:rFonts w:ascii="Arial" w:hAnsi="Arial" w:cs="Arial"/>
              </w:rPr>
              <w:t>Two</w:t>
            </w:r>
          </w:p>
        </w:tc>
        <w:tc>
          <w:tcPr>
            <w:tcW w:w="2520" w:type="dxa"/>
            <w:vAlign w:val="center"/>
          </w:tcPr>
          <w:p w14:paraId="45BF727C" w14:textId="0386A002" w:rsidR="005F3AFE" w:rsidRPr="00F738F2" w:rsidRDefault="00F738F2" w:rsidP="005F3AFE">
            <w:pPr>
              <w:pStyle w:val="NoSpacing"/>
              <w:rPr>
                <w:rFonts w:ascii="Arial" w:hAnsi="Arial" w:cs="Arial"/>
              </w:rPr>
            </w:pPr>
            <w:r w:rsidRPr="00F738F2">
              <w:rPr>
                <w:rFonts w:ascii="Arial" w:hAnsi="Arial" w:cs="Arial"/>
              </w:rPr>
              <w:t>0.95 (0.89, 1.01)</w:t>
            </w:r>
          </w:p>
        </w:tc>
        <w:tc>
          <w:tcPr>
            <w:tcW w:w="2520" w:type="dxa"/>
            <w:vAlign w:val="center"/>
          </w:tcPr>
          <w:p w14:paraId="5C97CAF3" w14:textId="1EF55936" w:rsidR="005F3AFE" w:rsidRPr="00F738F2" w:rsidRDefault="00F61A74" w:rsidP="005F3AFE">
            <w:pPr>
              <w:pStyle w:val="NoSpacing"/>
              <w:rPr>
                <w:rFonts w:ascii="Arial" w:hAnsi="Arial" w:cs="Arial"/>
              </w:rPr>
            </w:pPr>
            <w:r>
              <w:rPr>
                <w:rFonts w:ascii="Arial" w:hAnsi="Arial" w:cs="Arial"/>
              </w:rPr>
              <w:t>0.87 (0.83, 0.92)</w:t>
            </w:r>
          </w:p>
        </w:tc>
        <w:tc>
          <w:tcPr>
            <w:tcW w:w="2737" w:type="dxa"/>
            <w:vAlign w:val="center"/>
          </w:tcPr>
          <w:p w14:paraId="4A4E38A2" w14:textId="42F7AB9B" w:rsidR="005F3AFE" w:rsidRPr="00F738F2" w:rsidRDefault="00F81BF8" w:rsidP="005F3AFE">
            <w:pPr>
              <w:pStyle w:val="NoSpacing"/>
              <w:rPr>
                <w:rFonts w:ascii="Arial" w:hAnsi="Arial" w:cs="Arial"/>
              </w:rPr>
            </w:pPr>
            <w:r>
              <w:rPr>
                <w:rFonts w:ascii="Arial" w:hAnsi="Arial" w:cs="Arial"/>
              </w:rPr>
              <w:t>0.96 (0.91, 1.01)</w:t>
            </w:r>
          </w:p>
        </w:tc>
      </w:tr>
      <w:tr w:rsidR="005F3AFE" w:rsidRPr="00F738F2" w14:paraId="3BBB09AF" w14:textId="35DF819C" w:rsidTr="005F3AFE">
        <w:trPr>
          <w:trHeight w:val="951"/>
        </w:trPr>
        <w:tc>
          <w:tcPr>
            <w:tcW w:w="3055" w:type="dxa"/>
            <w:vAlign w:val="center"/>
          </w:tcPr>
          <w:p w14:paraId="483C8A52" w14:textId="751ECCFE" w:rsidR="005F3AFE" w:rsidRPr="00F738F2" w:rsidRDefault="005F3AFE" w:rsidP="005F3AFE">
            <w:pPr>
              <w:pStyle w:val="NoSpacing"/>
              <w:rPr>
                <w:rFonts w:ascii="Arial" w:hAnsi="Arial" w:cs="Arial"/>
                <w:iCs/>
              </w:rPr>
            </w:pPr>
            <w:r w:rsidRPr="00F738F2">
              <w:rPr>
                <w:rFonts w:ascii="Arial" w:hAnsi="Arial" w:cs="Arial"/>
              </w:rPr>
              <w:t>Three or more</w:t>
            </w:r>
          </w:p>
        </w:tc>
        <w:tc>
          <w:tcPr>
            <w:tcW w:w="2520" w:type="dxa"/>
            <w:vAlign w:val="center"/>
          </w:tcPr>
          <w:p w14:paraId="55933A63" w14:textId="0A410D9C" w:rsidR="005F3AFE" w:rsidRPr="00F738F2" w:rsidRDefault="00F738F2" w:rsidP="005F3AFE">
            <w:pPr>
              <w:pStyle w:val="NoSpacing"/>
              <w:rPr>
                <w:rFonts w:ascii="Arial" w:hAnsi="Arial" w:cs="Arial"/>
              </w:rPr>
            </w:pPr>
            <w:r w:rsidRPr="00F738F2">
              <w:rPr>
                <w:rFonts w:ascii="Arial" w:hAnsi="Arial" w:cs="Arial"/>
              </w:rPr>
              <w:t>0.90 (0.85, 0.96)</w:t>
            </w:r>
          </w:p>
        </w:tc>
        <w:tc>
          <w:tcPr>
            <w:tcW w:w="2520" w:type="dxa"/>
            <w:vAlign w:val="center"/>
          </w:tcPr>
          <w:p w14:paraId="0C33D690" w14:textId="207C9E8D" w:rsidR="005F3AFE" w:rsidRPr="00F738F2" w:rsidRDefault="00F61A74" w:rsidP="005F3AFE">
            <w:pPr>
              <w:pStyle w:val="NoSpacing"/>
              <w:rPr>
                <w:rFonts w:ascii="Arial" w:hAnsi="Arial" w:cs="Arial"/>
              </w:rPr>
            </w:pPr>
            <w:r>
              <w:rPr>
                <w:rFonts w:ascii="Arial" w:hAnsi="Arial" w:cs="Arial"/>
              </w:rPr>
              <w:t>0.84 (0.80, 0.87)</w:t>
            </w:r>
          </w:p>
        </w:tc>
        <w:tc>
          <w:tcPr>
            <w:tcW w:w="2737" w:type="dxa"/>
            <w:vAlign w:val="center"/>
          </w:tcPr>
          <w:p w14:paraId="5A7C0095" w14:textId="26244DFC" w:rsidR="005F3AFE" w:rsidRPr="00F738F2" w:rsidRDefault="00F81BF8" w:rsidP="005F3AFE">
            <w:pPr>
              <w:pStyle w:val="NoSpacing"/>
              <w:rPr>
                <w:rFonts w:ascii="Arial" w:hAnsi="Arial" w:cs="Arial"/>
              </w:rPr>
            </w:pPr>
            <w:r>
              <w:rPr>
                <w:rFonts w:ascii="Arial" w:hAnsi="Arial" w:cs="Arial"/>
              </w:rPr>
              <w:t>0.85 (0.81, 0.90)</w:t>
            </w:r>
          </w:p>
        </w:tc>
      </w:tr>
      <w:tr w:rsidR="005F3AFE" w:rsidRPr="00F738F2" w14:paraId="78F5BCC9" w14:textId="622F35D5" w:rsidTr="005F3AFE">
        <w:trPr>
          <w:trHeight w:val="71"/>
        </w:trPr>
        <w:tc>
          <w:tcPr>
            <w:tcW w:w="10832" w:type="dxa"/>
            <w:gridSpan w:val="4"/>
            <w:vAlign w:val="center"/>
          </w:tcPr>
          <w:p w14:paraId="48312730" w14:textId="102C0016" w:rsidR="005F3AFE" w:rsidRPr="00F738F2" w:rsidRDefault="005F3AFE" w:rsidP="005F3AFE">
            <w:pPr>
              <w:pStyle w:val="NoSpacing"/>
              <w:rPr>
                <w:rFonts w:ascii="Arial" w:hAnsi="Arial" w:cs="Arial"/>
                <w:i/>
                <w:vertAlign w:val="superscript"/>
              </w:rPr>
            </w:pPr>
            <w:r w:rsidRPr="00F738F2">
              <w:rPr>
                <w:rFonts w:ascii="Arial" w:hAnsi="Arial" w:cs="Arial"/>
                <w:i/>
                <w:vertAlign w:val="superscript"/>
              </w:rPr>
              <w:t>†</w:t>
            </w:r>
            <w:r w:rsidRPr="00F738F2">
              <w:rPr>
                <w:rFonts w:ascii="Arial" w:hAnsi="Arial" w:cs="Arial"/>
                <w:i/>
              </w:rPr>
              <w:t>Adjusted for year of case report, HIV status, age, race/ethnicity, and whether the STI case was diagnosed at the Public Health Sexual Health Clinic.</w:t>
            </w:r>
          </w:p>
        </w:tc>
      </w:tr>
    </w:tbl>
    <w:p w14:paraId="0A2B5556" w14:textId="6BFE1D0B" w:rsidR="00C37FC4" w:rsidRDefault="00C37FC4">
      <w:pPr>
        <w:rPr>
          <w:rFonts w:ascii="Arial" w:hAnsi="Arial" w:cs="Arial"/>
          <w:b/>
        </w:rPr>
      </w:pPr>
    </w:p>
    <w:p w14:paraId="0EAD24A3" w14:textId="77777777" w:rsidR="00C37FC4" w:rsidRDefault="00C37FC4">
      <w:pPr>
        <w:spacing w:after="0" w:line="240" w:lineRule="auto"/>
        <w:rPr>
          <w:rFonts w:ascii="Arial" w:hAnsi="Arial" w:cs="Arial"/>
          <w:b/>
        </w:rPr>
      </w:pPr>
      <w:r>
        <w:rPr>
          <w:rFonts w:ascii="Arial" w:hAnsi="Arial" w:cs="Arial"/>
          <w:b/>
        </w:rPr>
        <w:br w:type="page"/>
      </w:r>
    </w:p>
    <w:p w14:paraId="1940F4DA" w14:textId="77777777" w:rsidR="00F738F2" w:rsidRPr="00F738F2" w:rsidRDefault="00F738F2">
      <w:pPr>
        <w:rPr>
          <w:rFonts w:ascii="Arial" w:hAnsi="Arial" w:cs="Arial"/>
          <w:b/>
        </w:rPr>
      </w:pPr>
    </w:p>
    <w:tbl>
      <w:tblPr>
        <w:tblW w:w="10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520"/>
        <w:gridCol w:w="2520"/>
        <w:gridCol w:w="2737"/>
      </w:tblGrid>
      <w:tr w:rsidR="00F738F2" w:rsidRPr="00F738F2" w14:paraId="4B406225" w14:textId="77777777" w:rsidTr="00F1481A">
        <w:trPr>
          <w:trHeight w:val="808"/>
        </w:trPr>
        <w:tc>
          <w:tcPr>
            <w:tcW w:w="10832" w:type="dxa"/>
            <w:gridSpan w:val="4"/>
            <w:vAlign w:val="center"/>
          </w:tcPr>
          <w:p w14:paraId="33186DFD" w14:textId="156CC5C4" w:rsidR="00F738F2" w:rsidRPr="00F738F2" w:rsidRDefault="00F738F2" w:rsidP="00F738F2">
            <w:pPr>
              <w:pStyle w:val="NoSpacing"/>
              <w:rPr>
                <w:rFonts w:ascii="Arial" w:hAnsi="Arial" w:cs="Arial"/>
                <w:b/>
                <w:bCs/>
              </w:rPr>
            </w:pPr>
            <w:r w:rsidRPr="00F738F2">
              <w:rPr>
                <w:rFonts w:ascii="Arial" w:hAnsi="Arial" w:cs="Arial"/>
                <w:b/>
                <w:bCs/>
              </w:rPr>
              <w:t>Table S2: Multivariate results for probability of providing partner locating information to a Disease Intervention Specialist among sexually-transmitted infection case episodes in men who have sex with men in King County, WA stratified by the presence of syphilis, gonorrhea, and chlamydia – 2011-2018 (N=15,562)</w:t>
            </w:r>
          </w:p>
        </w:tc>
      </w:tr>
      <w:tr w:rsidR="00F61A74" w:rsidRPr="00F738F2" w14:paraId="75656C17" w14:textId="77777777" w:rsidTr="00F1481A">
        <w:trPr>
          <w:trHeight w:val="945"/>
        </w:trPr>
        <w:tc>
          <w:tcPr>
            <w:tcW w:w="3055" w:type="dxa"/>
            <w:vAlign w:val="center"/>
          </w:tcPr>
          <w:p w14:paraId="0001FA1D" w14:textId="77777777" w:rsidR="00F61A74" w:rsidRPr="00F738F2" w:rsidRDefault="00F61A74" w:rsidP="00F61A74">
            <w:pPr>
              <w:pStyle w:val="NoSpacing"/>
              <w:rPr>
                <w:rFonts w:ascii="Arial" w:hAnsi="Arial" w:cs="Arial"/>
                <w:i/>
              </w:rPr>
            </w:pPr>
            <w:r w:rsidRPr="00F738F2">
              <w:rPr>
                <w:rFonts w:ascii="Arial" w:hAnsi="Arial" w:cs="Arial"/>
                <w:i/>
              </w:rPr>
              <w:t>Dependent Variable</w:t>
            </w:r>
          </w:p>
        </w:tc>
        <w:tc>
          <w:tcPr>
            <w:tcW w:w="2520" w:type="dxa"/>
            <w:vAlign w:val="center"/>
          </w:tcPr>
          <w:p w14:paraId="66E4E7C0" w14:textId="53F167EA" w:rsidR="00F61A74" w:rsidRPr="00F738F2" w:rsidRDefault="00F61A74" w:rsidP="00F61A74">
            <w:pPr>
              <w:pStyle w:val="NoSpacing"/>
              <w:rPr>
                <w:rFonts w:ascii="Arial" w:hAnsi="Arial" w:cs="Arial"/>
                <w:i/>
              </w:rPr>
            </w:pPr>
            <w:r w:rsidRPr="00F738F2">
              <w:rPr>
                <w:rFonts w:ascii="Arial" w:hAnsi="Arial" w:cs="Arial"/>
                <w:i/>
              </w:rPr>
              <w:t>Cases involving syphilis (N=</w:t>
            </w:r>
            <w:r>
              <w:rPr>
                <w:rFonts w:ascii="Arial" w:hAnsi="Arial" w:cs="Arial"/>
                <w:i/>
              </w:rPr>
              <w:t>2,417</w:t>
            </w:r>
            <w:r w:rsidRPr="00F738F2">
              <w:rPr>
                <w:rFonts w:ascii="Arial" w:hAnsi="Arial" w:cs="Arial"/>
                <w:i/>
              </w:rPr>
              <w:t>)</w:t>
            </w:r>
          </w:p>
        </w:tc>
        <w:tc>
          <w:tcPr>
            <w:tcW w:w="2520" w:type="dxa"/>
            <w:vAlign w:val="center"/>
          </w:tcPr>
          <w:p w14:paraId="769B99F3" w14:textId="11764810" w:rsidR="00F61A74" w:rsidRPr="00F738F2" w:rsidRDefault="00F61A74" w:rsidP="00F61A74">
            <w:pPr>
              <w:pStyle w:val="NoSpacing"/>
              <w:rPr>
                <w:rFonts w:ascii="Arial" w:hAnsi="Arial" w:cs="Arial"/>
                <w:i/>
              </w:rPr>
            </w:pPr>
            <w:r w:rsidRPr="00F738F2">
              <w:rPr>
                <w:rFonts w:ascii="Arial" w:hAnsi="Arial" w:cs="Arial"/>
                <w:i/>
              </w:rPr>
              <w:t>Cases involving gonorrhea</w:t>
            </w:r>
            <w:r>
              <w:rPr>
                <w:rFonts w:ascii="Arial" w:hAnsi="Arial" w:cs="Arial"/>
                <w:i/>
              </w:rPr>
              <w:t xml:space="preserve"> (N=10,196)</w:t>
            </w:r>
          </w:p>
        </w:tc>
        <w:tc>
          <w:tcPr>
            <w:tcW w:w="2737" w:type="dxa"/>
            <w:vAlign w:val="center"/>
          </w:tcPr>
          <w:p w14:paraId="4A6DE7E0" w14:textId="6CD516A0" w:rsidR="00F61A74" w:rsidRPr="00F738F2" w:rsidRDefault="00F61A74" w:rsidP="00F61A74">
            <w:pPr>
              <w:pStyle w:val="NoSpacing"/>
              <w:rPr>
                <w:rFonts w:ascii="Arial" w:hAnsi="Arial" w:cs="Arial"/>
                <w:i/>
              </w:rPr>
            </w:pPr>
            <w:r w:rsidRPr="00F738F2">
              <w:rPr>
                <w:rFonts w:ascii="Arial" w:hAnsi="Arial" w:cs="Arial"/>
                <w:i/>
              </w:rPr>
              <w:t>Cases involving chlamydia</w:t>
            </w:r>
            <w:r>
              <w:rPr>
                <w:rFonts w:ascii="Arial" w:hAnsi="Arial" w:cs="Arial"/>
                <w:i/>
              </w:rPr>
              <w:t xml:space="preserve"> (N=7,563)</w:t>
            </w:r>
          </w:p>
        </w:tc>
      </w:tr>
      <w:tr w:rsidR="00F738F2" w:rsidRPr="00F738F2" w14:paraId="32E91DA0" w14:textId="77777777" w:rsidTr="00F1481A">
        <w:trPr>
          <w:trHeight w:val="808"/>
        </w:trPr>
        <w:tc>
          <w:tcPr>
            <w:tcW w:w="3055" w:type="dxa"/>
            <w:vAlign w:val="center"/>
          </w:tcPr>
          <w:p w14:paraId="4EF0A7E3" w14:textId="77777777" w:rsidR="00F738F2" w:rsidRPr="00F738F2" w:rsidRDefault="00F738F2" w:rsidP="00F1481A">
            <w:pPr>
              <w:pStyle w:val="NoSpacing"/>
              <w:rPr>
                <w:rFonts w:ascii="Arial" w:hAnsi="Arial" w:cs="Arial"/>
              </w:rPr>
            </w:pPr>
            <w:r w:rsidRPr="00F738F2">
              <w:rPr>
                <w:rFonts w:ascii="Arial" w:hAnsi="Arial" w:cs="Arial"/>
              </w:rPr>
              <w:t>Number of previous PS interviews</w:t>
            </w:r>
            <w:r w:rsidRPr="00F738F2">
              <w:rPr>
                <w:rFonts w:ascii="Arial" w:hAnsi="Arial" w:cs="Arial"/>
                <w:vertAlign w:val="superscript"/>
              </w:rPr>
              <w:t>†</w:t>
            </w:r>
          </w:p>
        </w:tc>
        <w:tc>
          <w:tcPr>
            <w:tcW w:w="7777" w:type="dxa"/>
            <w:gridSpan w:val="3"/>
            <w:vAlign w:val="center"/>
          </w:tcPr>
          <w:p w14:paraId="0165A149" w14:textId="77777777" w:rsidR="00F738F2" w:rsidRPr="00F738F2" w:rsidRDefault="00F738F2" w:rsidP="00F1481A">
            <w:pPr>
              <w:pStyle w:val="NoSpacing"/>
              <w:rPr>
                <w:rFonts w:ascii="Arial" w:hAnsi="Arial" w:cs="Arial"/>
              </w:rPr>
            </w:pPr>
            <w:r w:rsidRPr="00F738F2">
              <w:rPr>
                <w:rFonts w:ascii="Arial" w:hAnsi="Arial" w:cs="Arial"/>
                <w:i/>
              </w:rPr>
              <w:t>PR (95% CI)</w:t>
            </w:r>
          </w:p>
        </w:tc>
      </w:tr>
      <w:tr w:rsidR="00F738F2" w:rsidRPr="00F738F2" w14:paraId="09FE3B9C" w14:textId="77777777" w:rsidTr="00F1481A">
        <w:trPr>
          <w:trHeight w:val="505"/>
        </w:trPr>
        <w:tc>
          <w:tcPr>
            <w:tcW w:w="3055" w:type="dxa"/>
            <w:vAlign w:val="center"/>
          </w:tcPr>
          <w:p w14:paraId="34224E21" w14:textId="77777777" w:rsidR="00F738F2" w:rsidRPr="00F738F2" w:rsidRDefault="00F738F2" w:rsidP="00F1481A">
            <w:pPr>
              <w:pStyle w:val="NoSpacing"/>
              <w:rPr>
                <w:rFonts w:ascii="Arial" w:hAnsi="Arial" w:cs="Arial"/>
                <w:iCs/>
              </w:rPr>
            </w:pPr>
            <w:r w:rsidRPr="00F738F2">
              <w:rPr>
                <w:rFonts w:ascii="Arial" w:hAnsi="Arial" w:cs="Arial"/>
              </w:rPr>
              <w:t>None</w:t>
            </w:r>
          </w:p>
        </w:tc>
        <w:tc>
          <w:tcPr>
            <w:tcW w:w="7777" w:type="dxa"/>
            <w:gridSpan w:val="3"/>
            <w:vAlign w:val="center"/>
          </w:tcPr>
          <w:p w14:paraId="231C2683" w14:textId="77777777" w:rsidR="00F738F2" w:rsidRPr="00F738F2" w:rsidRDefault="00F738F2" w:rsidP="00F1481A">
            <w:pPr>
              <w:pStyle w:val="NoSpacing"/>
              <w:rPr>
                <w:rFonts w:ascii="Arial" w:hAnsi="Arial" w:cs="Arial"/>
              </w:rPr>
            </w:pPr>
            <w:r w:rsidRPr="00F738F2">
              <w:rPr>
                <w:rFonts w:ascii="Arial" w:hAnsi="Arial" w:cs="Arial"/>
                <w:i/>
              </w:rPr>
              <w:t>Referent</w:t>
            </w:r>
          </w:p>
        </w:tc>
      </w:tr>
      <w:tr w:rsidR="00F81BF8" w:rsidRPr="00F738F2" w14:paraId="2A2D1E71" w14:textId="77777777" w:rsidTr="00F1481A">
        <w:trPr>
          <w:trHeight w:val="505"/>
        </w:trPr>
        <w:tc>
          <w:tcPr>
            <w:tcW w:w="3055" w:type="dxa"/>
            <w:vAlign w:val="center"/>
          </w:tcPr>
          <w:p w14:paraId="79417A7D" w14:textId="77777777" w:rsidR="00F81BF8" w:rsidRPr="00F738F2" w:rsidRDefault="00F81BF8" w:rsidP="00F81BF8">
            <w:pPr>
              <w:pStyle w:val="NoSpacing"/>
              <w:rPr>
                <w:rFonts w:ascii="Arial" w:hAnsi="Arial" w:cs="Arial"/>
                <w:iCs/>
              </w:rPr>
            </w:pPr>
            <w:r w:rsidRPr="00F738F2">
              <w:rPr>
                <w:rFonts w:ascii="Arial" w:hAnsi="Arial" w:cs="Arial"/>
              </w:rPr>
              <w:t>One</w:t>
            </w:r>
          </w:p>
        </w:tc>
        <w:tc>
          <w:tcPr>
            <w:tcW w:w="2520" w:type="dxa"/>
            <w:vAlign w:val="center"/>
          </w:tcPr>
          <w:p w14:paraId="60051969" w14:textId="195F8168" w:rsidR="00F81BF8" w:rsidRPr="00F738F2" w:rsidRDefault="00F81BF8" w:rsidP="00F81BF8">
            <w:pPr>
              <w:pStyle w:val="NoSpacing"/>
              <w:rPr>
                <w:rFonts w:ascii="Arial" w:hAnsi="Arial" w:cs="Arial"/>
              </w:rPr>
            </w:pPr>
            <w:r>
              <w:rPr>
                <w:rFonts w:ascii="Arial" w:hAnsi="Arial" w:cs="Arial"/>
              </w:rPr>
              <w:t>1.07 (0.99, 1.17)</w:t>
            </w:r>
          </w:p>
        </w:tc>
        <w:tc>
          <w:tcPr>
            <w:tcW w:w="2520" w:type="dxa"/>
            <w:vAlign w:val="center"/>
          </w:tcPr>
          <w:p w14:paraId="3EACCD73" w14:textId="5C1C77B9" w:rsidR="00F81BF8" w:rsidRPr="00F738F2" w:rsidRDefault="00F81BF8" w:rsidP="00F81BF8">
            <w:pPr>
              <w:pStyle w:val="NoSpacing"/>
              <w:rPr>
                <w:rFonts w:ascii="Arial" w:hAnsi="Arial" w:cs="Arial"/>
              </w:rPr>
            </w:pPr>
            <w:r>
              <w:rPr>
                <w:rFonts w:ascii="Arial" w:hAnsi="Arial" w:cs="Arial"/>
              </w:rPr>
              <w:t>0.98 (0.93, 1.03)</w:t>
            </w:r>
          </w:p>
        </w:tc>
        <w:tc>
          <w:tcPr>
            <w:tcW w:w="2737" w:type="dxa"/>
            <w:vAlign w:val="center"/>
          </w:tcPr>
          <w:p w14:paraId="06529BBC" w14:textId="42678D4B" w:rsidR="00F81BF8" w:rsidRPr="00F738F2" w:rsidRDefault="00F81BF8" w:rsidP="00F81BF8">
            <w:pPr>
              <w:pStyle w:val="NoSpacing"/>
              <w:rPr>
                <w:rFonts w:ascii="Arial" w:hAnsi="Arial" w:cs="Arial"/>
              </w:rPr>
            </w:pPr>
            <w:r>
              <w:rPr>
                <w:rFonts w:ascii="Arial" w:hAnsi="Arial" w:cs="Arial"/>
              </w:rPr>
              <w:t>1.01 (0.97, 1.06)</w:t>
            </w:r>
          </w:p>
        </w:tc>
      </w:tr>
      <w:tr w:rsidR="00F81BF8" w:rsidRPr="00F738F2" w14:paraId="0108B0C9" w14:textId="77777777" w:rsidTr="00F1481A">
        <w:trPr>
          <w:trHeight w:val="505"/>
        </w:trPr>
        <w:tc>
          <w:tcPr>
            <w:tcW w:w="3055" w:type="dxa"/>
            <w:vAlign w:val="center"/>
          </w:tcPr>
          <w:p w14:paraId="1FF58FCC" w14:textId="77777777" w:rsidR="00F81BF8" w:rsidRPr="00F738F2" w:rsidRDefault="00F81BF8" w:rsidP="00F81BF8">
            <w:pPr>
              <w:pStyle w:val="NoSpacing"/>
              <w:rPr>
                <w:rFonts w:ascii="Arial" w:hAnsi="Arial" w:cs="Arial"/>
                <w:iCs/>
              </w:rPr>
            </w:pPr>
            <w:r w:rsidRPr="00F738F2">
              <w:rPr>
                <w:rFonts w:ascii="Arial" w:hAnsi="Arial" w:cs="Arial"/>
              </w:rPr>
              <w:t>Two</w:t>
            </w:r>
          </w:p>
        </w:tc>
        <w:tc>
          <w:tcPr>
            <w:tcW w:w="2520" w:type="dxa"/>
            <w:vAlign w:val="center"/>
          </w:tcPr>
          <w:p w14:paraId="2A9A482C" w14:textId="2D48A8FC" w:rsidR="00F81BF8" w:rsidRPr="00F738F2" w:rsidRDefault="00F81BF8" w:rsidP="00F81BF8">
            <w:pPr>
              <w:pStyle w:val="NoSpacing"/>
              <w:rPr>
                <w:rFonts w:ascii="Arial" w:hAnsi="Arial" w:cs="Arial"/>
              </w:rPr>
            </w:pPr>
            <w:r>
              <w:rPr>
                <w:rFonts w:ascii="Arial" w:hAnsi="Arial" w:cs="Arial"/>
              </w:rPr>
              <w:t>0.98 (0.86, 1.11)</w:t>
            </w:r>
          </w:p>
        </w:tc>
        <w:tc>
          <w:tcPr>
            <w:tcW w:w="2520" w:type="dxa"/>
            <w:vAlign w:val="center"/>
          </w:tcPr>
          <w:p w14:paraId="7BCF8943" w14:textId="735F5B1C" w:rsidR="00F81BF8" w:rsidRPr="00F738F2" w:rsidRDefault="00F81BF8" w:rsidP="00F81BF8">
            <w:pPr>
              <w:pStyle w:val="NoSpacing"/>
              <w:rPr>
                <w:rFonts w:ascii="Arial" w:hAnsi="Arial" w:cs="Arial"/>
              </w:rPr>
            </w:pPr>
            <w:r>
              <w:rPr>
                <w:rFonts w:ascii="Arial" w:hAnsi="Arial" w:cs="Arial"/>
              </w:rPr>
              <w:t>0.98 (0.92, 1.06)</w:t>
            </w:r>
          </w:p>
        </w:tc>
        <w:tc>
          <w:tcPr>
            <w:tcW w:w="2737" w:type="dxa"/>
            <w:vAlign w:val="center"/>
          </w:tcPr>
          <w:p w14:paraId="63D1C1E7" w14:textId="19A4424D" w:rsidR="00F81BF8" w:rsidRPr="00F738F2" w:rsidRDefault="00F81BF8" w:rsidP="00F81BF8">
            <w:pPr>
              <w:pStyle w:val="NoSpacing"/>
              <w:rPr>
                <w:rFonts w:ascii="Arial" w:hAnsi="Arial" w:cs="Arial"/>
              </w:rPr>
            </w:pPr>
            <w:r>
              <w:rPr>
                <w:rFonts w:ascii="Arial" w:hAnsi="Arial" w:cs="Arial"/>
              </w:rPr>
              <w:t>0.98 (0.92, 1.05)</w:t>
            </w:r>
          </w:p>
        </w:tc>
      </w:tr>
      <w:tr w:rsidR="00F81BF8" w:rsidRPr="00F738F2" w14:paraId="2AE32CE3" w14:textId="77777777" w:rsidTr="00F1481A">
        <w:trPr>
          <w:trHeight w:val="505"/>
        </w:trPr>
        <w:tc>
          <w:tcPr>
            <w:tcW w:w="3055" w:type="dxa"/>
            <w:vAlign w:val="center"/>
          </w:tcPr>
          <w:p w14:paraId="4572B7C8" w14:textId="77777777" w:rsidR="00F81BF8" w:rsidRPr="00F738F2" w:rsidRDefault="00F81BF8" w:rsidP="00F81BF8">
            <w:pPr>
              <w:pStyle w:val="NoSpacing"/>
              <w:rPr>
                <w:rFonts w:ascii="Arial" w:hAnsi="Arial" w:cs="Arial"/>
                <w:iCs/>
              </w:rPr>
            </w:pPr>
            <w:r w:rsidRPr="00F738F2">
              <w:rPr>
                <w:rFonts w:ascii="Arial" w:hAnsi="Arial" w:cs="Arial"/>
              </w:rPr>
              <w:t>Three or more</w:t>
            </w:r>
          </w:p>
        </w:tc>
        <w:tc>
          <w:tcPr>
            <w:tcW w:w="2520" w:type="dxa"/>
            <w:vAlign w:val="center"/>
          </w:tcPr>
          <w:p w14:paraId="5D01464D" w14:textId="111A96FA" w:rsidR="00F81BF8" w:rsidRPr="00F738F2" w:rsidRDefault="00F81BF8" w:rsidP="00F81BF8">
            <w:pPr>
              <w:pStyle w:val="NoSpacing"/>
              <w:rPr>
                <w:rFonts w:ascii="Arial" w:hAnsi="Arial" w:cs="Arial"/>
              </w:rPr>
            </w:pPr>
            <w:r>
              <w:rPr>
                <w:rFonts w:ascii="Arial" w:hAnsi="Arial" w:cs="Arial"/>
              </w:rPr>
              <w:t>1.00 (0.88, 1.15)</w:t>
            </w:r>
          </w:p>
        </w:tc>
        <w:tc>
          <w:tcPr>
            <w:tcW w:w="2520" w:type="dxa"/>
            <w:vAlign w:val="center"/>
          </w:tcPr>
          <w:p w14:paraId="14F2EAB1" w14:textId="2202D050" w:rsidR="00F81BF8" w:rsidRPr="00F738F2" w:rsidRDefault="00F81BF8" w:rsidP="00F81BF8">
            <w:pPr>
              <w:pStyle w:val="NoSpacing"/>
              <w:rPr>
                <w:rFonts w:ascii="Arial" w:hAnsi="Arial" w:cs="Arial"/>
              </w:rPr>
            </w:pPr>
            <w:r>
              <w:rPr>
                <w:rFonts w:ascii="Arial" w:hAnsi="Arial" w:cs="Arial"/>
              </w:rPr>
              <w:t>1.01 (0.94, 1.08)</w:t>
            </w:r>
          </w:p>
        </w:tc>
        <w:tc>
          <w:tcPr>
            <w:tcW w:w="2737" w:type="dxa"/>
            <w:vAlign w:val="center"/>
          </w:tcPr>
          <w:p w14:paraId="46223F4C" w14:textId="4D904576" w:rsidR="00F81BF8" w:rsidRPr="00F738F2" w:rsidRDefault="00F81BF8" w:rsidP="00F81BF8">
            <w:pPr>
              <w:pStyle w:val="NoSpacing"/>
              <w:rPr>
                <w:rFonts w:ascii="Arial" w:hAnsi="Arial" w:cs="Arial"/>
              </w:rPr>
            </w:pPr>
            <w:r>
              <w:rPr>
                <w:rFonts w:ascii="Arial" w:hAnsi="Arial" w:cs="Arial"/>
              </w:rPr>
              <w:t>0.99 (0.92, 1.07)</w:t>
            </w:r>
          </w:p>
        </w:tc>
      </w:tr>
      <w:tr w:rsidR="00F81BF8" w:rsidRPr="00F738F2" w14:paraId="27939805" w14:textId="77777777" w:rsidTr="00F1481A">
        <w:trPr>
          <w:trHeight w:val="485"/>
        </w:trPr>
        <w:tc>
          <w:tcPr>
            <w:tcW w:w="10832" w:type="dxa"/>
            <w:gridSpan w:val="4"/>
            <w:vAlign w:val="center"/>
          </w:tcPr>
          <w:p w14:paraId="683DD7FB" w14:textId="77777777" w:rsidR="00F81BF8" w:rsidRPr="00F738F2" w:rsidRDefault="00F81BF8" w:rsidP="00F81BF8">
            <w:pPr>
              <w:pStyle w:val="NoSpacing"/>
              <w:rPr>
                <w:rFonts w:ascii="Arial" w:hAnsi="Arial" w:cs="Arial"/>
              </w:rPr>
            </w:pPr>
          </w:p>
        </w:tc>
      </w:tr>
      <w:tr w:rsidR="00F81BF8" w:rsidRPr="00F738F2" w14:paraId="10EED5F1" w14:textId="77777777" w:rsidTr="00F1481A">
        <w:trPr>
          <w:trHeight w:val="829"/>
        </w:trPr>
        <w:tc>
          <w:tcPr>
            <w:tcW w:w="3055" w:type="dxa"/>
            <w:vAlign w:val="center"/>
          </w:tcPr>
          <w:p w14:paraId="643BB781" w14:textId="77777777" w:rsidR="00F81BF8" w:rsidRPr="00F738F2" w:rsidRDefault="00F81BF8" w:rsidP="00F81BF8">
            <w:pPr>
              <w:pStyle w:val="NoSpacing"/>
              <w:rPr>
                <w:rFonts w:ascii="Arial" w:hAnsi="Arial" w:cs="Arial"/>
                <w:iCs/>
              </w:rPr>
            </w:pPr>
            <w:r w:rsidRPr="00F738F2">
              <w:rPr>
                <w:rFonts w:ascii="Arial" w:hAnsi="Arial" w:cs="Arial"/>
              </w:rPr>
              <w:t>Number of previous STI case episodes</w:t>
            </w:r>
            <w:r w:rsidRPr="00F738F2">
              <w:rPr>
                <w:rFonts w:ascii="Arial" w:hAnsi="Arial" w:cs="Arial"/>
                <w:vertAlign w:val="superscript"/>
              </w:rPr>
              <w:t>†</w:t>
            </w:r>
          </w:p>
        </w:tc>
        <w:tc>
          <w:tcPr>
            <w:tcW w:w="7777" w:type="dxa"/>
            <w:gridSpan w:val="3"/>
            <w:vAlign w:val="center"/>
          </w:tcPr>
          <w:p w14:paraId="61FBB8D6" w14:textId="77777777" w:rsidR="00F81BF8" w:rsidRPr="00F738F2" w:rsidRDefault="00F81BF8" w:rsidP="00F81BF8">
            <w:pPr>
              <w:pStyle w:val="NoSpacing"/>
              <w:rPr>
                <w:rFonts w:ascii="Arial" w:hAnsi="Arial" w:cs="Arial"/>
              </w:rPr>
            </w:pPr>
            <w:r w:rsidRPr="00F738F2">
              <w:rPr>
                <w:rFonts w:ascii="Arial" w:hAnsi="Arial" w:cs="Arial"/>
                <w:i/>
              </w:rPr>
              <w:t>PR (95% CI)</w:t>
            </w:r>
          </w:p>
        </w:tc>
      </w:tr>
      <w:tr w:rsidR="00F81BF8" w:rsidRPr="00F738F2" w14:paraId="0B7B3731" w14:textId="77777777" w:rsidTr="00F1481A">
        <w:trPr>
          <w:trHeight w:val="485"/>
        </w:trPr>
        <w:tc>
          <w:tcPr>
            <w:tcW w:w="3055" w:type="dxa"/>
            <w:vAlign w:val="center"/>
          </w:tcPr>
          <w:p w14:paraId="35923D1E" w14:textId="77777777" w:rsidR="00F81BF8" w:rsidRPr="00F738F2" w:rsidRDefault="00F81BF8" w:rsidP="00F81BF8">
            <w:pPr>
              <w:pStyle w:val="NoSpacing"/>
              <w:rPr>
                <w:rFonts w:ascii="Arial" w:hAnsi="Arial" w:cs="Arial"/>
                <w:iCs/>
              </w:rPr>
            </w:pPr>
            <w:r w:rsidRPr="00F738F2">
              <w:rPr>
                <w:rFonts w:ascii="Arial" w:hAnsi="Arial" w:cs="Arial"/>
              </w:rPr>
              <w:t>None</w:t>
            </w:r>
          </w:p>
        </w:tc>
        <w:tc>
          <w:tcPr>
            <w:tcW w:w="7777" w:type="dxa"/>
            <w:gridSpan w:val="3"/>
            <w:vAlign w:val="center"/>
          </w:tcPr>
          <w:p w14:paraId="463F7513" w14:textId="77777777" w:rsidR="00F81BF8" w:rsidRPr="00F738F2" w:rsidRDefault="00F81BF8" w:rsidP="00F81BF8">
            <w:pPr>
              <w:pStyle w:val="NoSpacing"/>
              <w:rPr>
                <w:rFonts w:ascii="Arial" w:hAnsi="Arial" w:cs="Arial"/>
              </w:rPr>
            </w:pPr>
            <w:r w:rsidRPr="00F738F2">
              <w:rPr>
                <w:rFonts w:ascii="Arial" w:hAnsi="Arial" w:cs="Arial"/>
                <w:i/>
              </w:rPr>
              <w:t>Referent</w:t>
            </w:r>
          </w:p>
        </w:tc>
      </w:tr>
      <w:tr w:rsidR="00F81BF8" w:rsidRPr="00F738F2" w14:paraId="63F4296A" w14:textId="77777777" w:rsidTr="00F1481A">
        <w:trPr>
          <w:trHeight w:val="505"/>
        </w:trPr>
        <w:tc>
          <w:tcPr>
            <w:tcW w:w="3055" w:type="dxa"/>
            <w:vAlign w:val="center"/>
          </w:tcPr>
          <w:p w14:paraId="11010BC0" w14:textId="77777777" w:rsidR="00F81BF8" w:rsidRPr="00F738F2" w:rsidRDefault="00F81BF8" w:rsidP="00F81BF8">
            <w:pPr>
              <w:pStyle w:val="NoSpacing"/>
              <w:rPr>
                <w:rFonts w:ascii="Arial" w:hAnsi="Arial" w:cs="Arial"/>
                <w:iCs/>
              </w:rPr>
            </w:pPr>
            <w:r w:rsidRPr="00F738F2">
              <w:rPr>
                <w:rFonts w:ascii="Arial" w:hAnsi="Arial" w:cs="Arial"/>
              </w:rPr>
              <w:t>One</w:t>
            </w:r>
          </w:p>
        </w:tc>
        <w:tc>
          <w:tcPr>
            <w:tcW w:w="2520" w:type="dxa"/>
            <w:vAlign w:val="center"/>
          </w:tcPr>
          <w:p w14:paraId="702C7A05" w14:textId="0097D201" w:rsidR="00F81BF8" w:rsidRPr="00F738F2" w:rsidRDefault="00F81BF8" w:rsidP="00F81BF8">
            <w:pPr>
              <w:pStyle w:val="NoSpacing"/>
              <w:rPr>
                <w:rFonts w:ascii="Arial" w:hAnsi="Arial" w:cs="Arial"/>
              </w:rPr>
            </w:pPr>
            <w:r>
              <w:rPr>
                <w:rFonts w:ascii="Arial" w:hAnsi="Arial" w:cs="Arial"/>
              </w:rPr>
              <w:t>1.08 (0.98, 1.17)</w:t>
            </w:r>
          </w:p>
        </w:tc>
        <w:tc>
          <w:tcPr>
            <w:tcW w:w="2520" w:type="dxa"/>
            <w:vAlign w:val="center"/>
          </w:tcPr>
          <w:p w14:paraId="755217A3" w14:textId="45762187" w:rsidR="00F81BF8" w:rsidRPr="00F738F2" w:rsidRDefault="00F81BF8" w:rsidP="00F81BF8">
            <w:pPr>
              <w:pStyle w:val="NoSpacing"/>
              <w:rPr>
                <w:rFonts w:ascii="Arial" w:hAnsi="Arial" w:cs="Arial"/>
              </w:rPr>
            </w:pPr>
            <w:r>
              <w:rPr>
                <w:rFonts w:ascii="Arial" w:hAnsi="Arial" w:cs="Arial"/>
              </w:rPr>
              <w:t>0.97 (0.93, 1.02)</w:t>
            </w:r>
          </w:p>
        </w:tc>
        <w:tc>
          <w:tcPr>
            <w:tcW w:w="2737" w:type="dxa"/>
            <w:vAlign w:val="center"/>
          </w:tcPr>
          <w:p w14:paraId="6961B1F0" w14:textId="20D31F62" w:rsidR="00F81BF8" w:rsidRPr="00F738F2" w:rsidRDefault="00F81BF8" w:rsidP="00F81BF8">
            <w:pPr>
              <w:pStyle w:val="NoSpacing"/>
              <w:rPr>
                <w:rFonts w:ascii="Arial" w:hAnsi="Arial" w:cs="Arial"/>
              </w:rPr>
            </w:pPr>
            <w:r>
              <w:rPr>
                <w:rFonts w:ascii="Arial" w:hAnsi="Arial" w:cs="Arial"/>
              </w:rPr>
              <w:t>1.01 (0.97, 1.06)</w:t>
            </w:r>
          </w:p>
        </w:tc>
      </w:tr>
      <w:tr w:rsidR="00F81BF8" w:rsidRPr="00F738F2" w14:paraId="58E29F43" w14:textId="77777777" w:rsidTr="00F1481A">
        <w:trPr>
          <w:trHeight w:val="505"/>
        </w:trPr>
        <w:tc>
          <w:tcPr>
            <w:tcW w:w="3055" w:type="dxa"/>
            <w:vAlign w:val="center"/>
          </w:tcPr>
          <w:p w14:paraId="28E5B08F" w14:textId="77777777" w:rsidR="00F81BF8" w:rsidRPr="00F738F2" w:rsidRDefault="00F81BF8" w:rsidP="00F81BF8">
            <w:pPr>
              <w:pStyle w:val="NoSpacing"/>
              <w:rPr>
                <w:rFonts w:ascii="Arial" w:hAnsi="Arial" w:cs="Arial"/>
                <w:iCs/>
              </w:rPr>
            </w:pPr>
            <w:r w:rsidRPr="00F738F2">
              <w:rPr>
                <w:rFonts w:ascii="Arial" w:hAnsi="Arial" w:cs="Arial"/>
              </w:rPr>
              <w:t>Two</w:t>
            </w:r>
          </w:p>
        </w:tc>
        <w:tc>
          <w:tcPr>
            <w:tcW w:w="2520" w:type="dxa"/>
            <w:vAlign w:val="center"/>
          </w:tcPr>
          <w:p w14:paraId="0EB32AC1" w14:textId="247C7937" w:rsidR="00F81BF8" w:rsidRPr="00F738F2" w:rsidRDefault="00F81BF8" w:rsidP="00F81BF8">
            <w:pPr>
              <w:pStyle w:val="NoSpacing"/>
              <w:rPr>
                <w:rFonts w:ascii="Arial" w:hAnsi="Arial" w:cs="Arial"/>
              </w:rPr>
            </w:pPr>
            <w:r>
              <w:rPr>
                <w:rFonts w:ascii="Arial" w:hAnsi="Arial" w:cs="Arial"/>
              </w:rPr>
              <w:t>0.97 (0.86, 1.10)</w:t>
            </w:r>
          </w:p>
        </w:tc>
        <w:tc>
          <w:tcPr>
            <w:tcW w:w="2520" w:type="dxa"/>
            <w:vAlign w:val="center"/>
          </w:tcPr>
          <w:p w14:paraId="0A7BE890" w14:textId="033CF668" w:rsidR="00F81BF8" w:rsidRPr="00F738F2" w:rsidRDefault="00F81BF8" w:rsidP="00F81BF8">
            <w:pPr>
              <w:pStyle w:val="NoSpacing"/>
              <w:rPr>
                <w:rFonts w:ascii="Arial" w:hAnsi="Arial" w:cs="Arial"/>
              </w:rPr>
            </w:pPr>
            <w:r>
              <w:rPr>
                <w:rFonts w:ascii="Arial" w:hAnsi="Arial" w:cs="Arial"/>
              </w:rPr>
              <w:t>0.94 (0.88, 1.00)</w:t>
            </w:r>
          </w:p>
        </w:tc>
        <w:tc>
          <w:tcPr>
            <w:tcW w:w="2737" w:type="dxa"/>
            <w:vAlign w:val="center"/>
          </w:tcPr>
          <w:p w14:paraId="4E958380" w14:textId="35F7C981" w:rsidR="00F81BF8" w:rsidRPr="00F738F2" w:rsidRDefault="00F81BF8" w:rsidP="00F81BF8">
            <w:pPr>
              <w:pStyle w:val="NoSpacing"/>
              <w:rPr>
                <w:rFonts w:ascii="Arial" w:hAnsi="Arial" w:cs="Arial"/>
              </w:rPr>
            </w:pPr>
            <w:r>
              <w:rPr>
                <w:rFonts w:ascii="Arial" w:hAnsi="Arial" w:cs="Arial"/>
              </w:rPr>
              <w:t>0.93 (0.88, 0.99)</w:t>
            </w:r>
          </w:p>
        </w:tc>
      </w:tr>
      <w:tr w:rsidR="00F81BF8" w:rsidRPr="00F738F2" w14:paraId="2FE919A4" w14:textId="77777777" w:rsidTr="00F1481A">
        <w:trPr>
          <w:trHeight w:val="951"/>
        </w:trPr>
        <w:tc>
          <w:tcPr>
            <w:tcW w:w="3055" w:type="dxa"/>
            <w:vAlign w:val="center"/>
          </w:tcPr>
          <w:p w14:paraId="0904BE69" w14:textId="77777777" w:rsidR="00F81BF8" w:rsidRPr="00F738F2" w:rsidRDefault="00F81BF8" w:rsidP="00F81BF8">
            <w:pPr>
              <w:pStyle w:val="NoSpacing"/>
              <w:rPr>
                <w:rFonts w:ascii="Arial" w:hAnsi="Arial" w:cs="Arial"/>
                <w:iCs/>
              </w:rPr>
            </w:pPr>
            <w:r w:rsidRPr="00F738F2">
              <w:rPr>
                <w:rFonts w:ascii="Arial" w:hAnsi="Arial" w:cs="Arial"/>
              </w:rPr>
              <w:t>Three or more</w:t>
            </w:r>
          </w:p>
        </w:tc>
        <w:tc>
          <w:tcPr>
            <w:tcW w:w="2520" w:type="dxa"/>
            <w:vAlign w:val="center"/>
          </w:tcPr>
          <w:p w14:paraId="1609794B" w14:textId="64BC9FBA" w:rsidR="00F81BF8" w:rsidRPr="00F738F2" w:rsidRDefault="00F81BF8" w:rsidP="00F81BF8">
            <w:pPr>
              <w:pStyle w:val="NoSpacing"/>
              <w:rPr>
                <w:rFonts w:ascii="Arial" w:hAnsi="Arial" w:cs="Arial"/>
              </w:rPr>
            </w:pPr>
            <w:r>
              <w:rPr>
                <w:rFonts w:ascii="Arial" w:hAnsi="Arial" w:cs="Arial"/>
              </w:rPr>
              <w:t>1.00 (0.89, 1.13)</w:t>
            </w:r>
          </w:p>
        </w:tc>
        <w:tc>
          <w:tcPr>
            <w:tcW w:w="2520" w:type="dxa"/>
            <w:vAlign w:val="center"/>
          </w:tcPr>
          <w:p w14:paraId="047F001A" w14:textId="6F9FF2FB" w:rsidR="00F81BF8" w:rsidRPr="00F738F2" w:rsidRDefault="00F81BF8" w:rsidP="00F81BF8">
            <w:pPr>
              <w:pStyle w:val="NoSpacing"/>
              <w:rPr>
                <w:rFonts w:ascii="Arial" w:hAnsi="Arial" w:cs="Arial"/>
              </w:rPr>
            </w:pPr>
            <w:r>
              <w:rPr>
                <w:rFonts w:ascii="Arial" w:hAnsi="Arial" w:cs="Arial"/>
              </w:rPr>
              <w:t>0.96 (0.90, 1.02)</w:t>
            </w:r>
          </w:p>
        </w:tc>
        <w:tc>
          <w:tcPr>
            <w:tcW w:w="2737" w:type="dxa"/>
            <w:vAlign w:val="center"/>
          </w:tcPr>
          <w:p w14:paraId="17338E5C" w14:textId="02F0E7D4" w:rsidR="00F81BF8" w:rsidRPr="00F738F2" w:rsidRDefault="00F81BF8" w:rsidP="00F81BF8">
            <w:pPr>
              <w:pStyle w:val="NoSpacing"/>
              <w:rPr>
                <w:rFonts w:ascii="Arial" w:hAnsi="Arial" w:cs="Arial"/>
              </w:rPr>
            </w:pPr>
            <w:r>
              <w:rPr>
                <w:rFonts w:ascii="Arial" w:hAnsi="Arial" w:cs="Arial"/>
              </w:rPr>
              <w:t>0.97 (0.91, 1.04)</w:t>
            </w:r>
          </w:p>
        </w:tc>
      </w:tr>
      <w:tr w:rsidR="00F81BF8" w:rsidRPr="00F738F2" w14:paraId="63236B9E" w14:textId="77777777" w:rsidTr="00F1481A">
        <w:trPr>
          <w:trHeight w:val="71"/>
        </w:trPr>
        <w:tc>
          <w:tcPr>
            <w:tcW w:w="10832" w:type="dxa"/>
            <w:gridSpan w:val="4"/>
            <w:vAlign w:val="center"/>
          </w:tcPr>
          <w:p w14:paraId="1C898797" w14:textId="2FC8C6B1" w:rsidR="00F81BF8" w:rsidRPr="00F738F2" w:rsidRDefault="00F81BF8" w:rsidP="00F81BF8">
            <w:pPr>
              <w:pStyle w:val="NoSpacing"/>
              <w:rPr>
                <w:rFonts w:ascii="Arial" w:hAnsi="Arial" w:cs="Arial"/>
                <w:i/>
                <w:iCs/>
              </w:rPr>
            </w:pPr>
            <w:r w:rsidRPr="00F738F2">
              <w:rPr>
                <w:rFonts w:ascii="Arial" w:hAnsi="Arial" w:cs="Arial"/>
                <w:i/>
                <w:iCs/>
                <w:vertAlign w:val="superscript"/>
              </w:rPr>
              <w:t>‡</w:t>
            </w:r>
            <w:r w:rsidRPr="00F738F2">
              <w:rPr>
                <w:rFonts w:ascii="Arial" w:hAnsi="Arial" w:cs="Arial"/>
                <w:i/>
                <w:iCs/>
              </w:rPr>
              <w:t>Adjusted for year of case report, HIV status, age, race/ethnicity, whether the STI case was diagnosed at the Public Health Sexual Health Clinic, whether the case patient reported meeting partners 1) online, 2) at bathhouses, 3) in recent travels, whether the case patient reported meth use, and whether the case patient or STI case report indicated that the patient was symptomatic at time of diagnosis.</w:t>
            </w:r>
          </w:p>
        </w:tc>
      </w:tr>
    </w:tbl>
    <w:p w14:paraId="2325AF09" w14:textId="77777777" w:rsidR="00F738F2" w:rsidRPr="00F738F2" w:rsidRDefault="00F738F2">
      <w:pPr>
        <w:rPr>
          <w:rFonts w:ascii="Arial" w:hAnsi="Arial" w:cs="Arial"/>
          <w:b/>
        </w:rPr>
      </w:pPr>
    </w:p>
    <w:p w14:paraId="01807337" w14:textId="1146FECD" w:rsidR="00F738F2" w:rsidRPr="00F738F2" w:rsidRDefault="00F738F2" w:rsidP="0067275B">
      <w:pPr>
        <w:spacing w:after="0" w:line="240" w:lineRule="auto"/>
        <w:rPr>
          <w:rFonts w:ascii="Arial" w:hAnsi="Arial" w:cs="Arial"/>
          <w:b/>
        </w:rPr>
      </w:pPr>
    </w:p>
    <w:sectPr w:rsidR="00F738F2" w:rsidRPr="00F738F2" w:rsidSect="007C45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FE"/>
    <w:rsid w:val="000B244A"/>
    <w:rsid w:val="000D37C0"/>
    <w:rsid w:val="00166260"/>
    <w:rsid w:val="00191C58"/>
    <w:rsid w:val="002679EB"/>
    <w:rsid w:val="003F21F6"/>
    <w:rsid w:val="00432202"/>
    <w:rsid w:val="004F0B58"/>
    <w:rsid w:val="00533C1F"/>
    <w:rsid w:val="005E4AEE"/>
    <w:rsid w:val="005F3AFE"/>
    <w:rsid w:val="0067275B"/>
    <w:rsid w:val="006F5F54"/>
    <w:rsid w:val="007C45C8"/>
    <w:rsid w:val="009965AB"/>
    <w:rsid w:val="00A11DD2"/>
    <w:rsid w:val="00B5483D"/>
    <w:rsid w:val="00C37FC4"/>
    <w:rsid w:val="00C53F64"/>
    <w:rsid w:val="00C71C74"/>
    <w:rsid w:val="00E57C91"/>
    <w:rsid w:val="00F61A74"/>
    <w:rsid w:val="00F738F2"/>
    <w:rsid w:val="00F81BF8"/>
    <w:rsid w:val="00FA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CFDF99"/>
  <w15:chartTrackingRefBased/>
  <w15:docId w15:val="{418D2931-70CF-0343-BE2C-F7402150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FE"/>
    <w:pPr>
      <w:spacing w:after="200" w:line="276"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AFE"/>
    <w:rPr>
      <w:rFonts w:ascii="Calibri" w:eastAsia="Calibri" w:hAnsi="Calibri" w:cs="Calibri"/>
      <w:sz w:val="22"/>
      <w:szCs w:val="22"/>
    </w:rPr>
  </w:style>
  <w:style w:type="character" w:styleId="CommentReference">
    <w:name w:val="annotation reference"/>
    <w:basedOn w:val="DefaultParagraphFont"/>
    <w:uiPriority w:val="99"/>
    <w:semiHidden/>
    <w:unhideWhenUsed/>
    <w:rsid w:val="00C71C74"/>
    <w:rPr>
      <w:sz w:val="16"/>
      <w:szCs w:val="16"/>
    </w:rPr>
  </w:style>
  <w:style w:type="paragraph" w:styleId="CommentText">
    <w:name w:val="annotation text"/>
    <w:basedOn w:val="Normal"/>
    <w:link w:val="CommentTextChar"/>
    <w:uiPriority w:val="99"/>
    <w:unhideWhenUsed/>
    <w:rsid w:val="00C71C74"/>
    <w:pPr>
      <w:spacing w:line="240" w:lineRule="auto"/>
    </w:pPr>
    <w:rPr>
      <w:sz w:val="20"/>
      <w:szCs w:val="20"/>
    </w:rPr>
  </w:style>
  <w:style w:type="character" w:customStyle="1" w:styleId="CommentTextChar">
    <w:name w:val="Comment Text Char"/>
    <w:basedOn w:val="DefaultParagraphFont"/>
    <w:link w:val="CommentText"/>
    <w:uiPriority w:val="99"/>
    <w:rsid w:val="00C71C7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71C74"/>
    <w:rPr>
      <w:b/>
      <w:bCs/>
    </w:rPr>
  </w:style>
  <w:style w:type="character" w:customStyle="1" w:styleId="CommentSubjectChar">
    <w:name w:val="Comment Subject Char"/>
    <w:basedOn w:val="CommentTextChar"/>
    <w:link w:val="CommentSubject"/>
    <w:uiPriority w:val="99"/>
    <w:semiHidden/>
    <w:rsid w:val="00C71C74"/>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Barry</dc:creator>
  <cp:keywords/>
  <dc:description/>
  <cp:lastModifiedBy>Mike Barry</cp:lastModifiedBy>
  <cp:revision>4</cp:revision>
  <dcterms:created xsi:type="dcterms:W3CDTF">2023-03-24T19:43:00Z</dcterms:created>
  <dcterms:modified xsi:type="dcterms:W3CDTF">2023-03-25T23:22:00Z</dcterms:modified>
</cp:coreProperties>
</file>