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E887" w14:textId="5B16E23C" w:rsidR="006E2A0D" w:rsidRPr="00FE287F" w:rsidRDefault="000F7930" w:rsidP="00C66A78">
      <w:pPr>
        <w:spacing w:before="120" w:after="120" w:line="240" w:lineRule="auto"/>
        <w:ind w:left="288" w:right="288" w:hanging="360"/>
        <w:jc w:val="center"/>
        <w:rPr>
          <w:rFonts w:ascii="Times New Roman" w:hAnsi="Times New Roman" w:cs="Times New Roman"/>
          <w:sz w:val="24"/>
          <w:szCs w:val="24"/>
        </w:rPr>
      </w:pPr>
      <w:r w:rsidRPr="00FE287F">
        <w:rPr>
          <w:rFonts w:ascii="Times New Roman" w:hAnsi="Times New Roman" w:cs="Times New Roman"/>
          <w:sz w:val="24"/>
          <w:szCs w:val="24"/>
        </w:rPr>
        <w:t>Rapid LC</w:t>
      </w:r>
      <w:r w:rsidR="00975AC1">
        <w:rPr>
          <w:rFonts w:ascii="Times New Roman" w:hAnsi="Times New Roman" w:cs="Times New Roman"/>
          <w:sz w:val="24"/>
          <w:szCs w:val="24"/>
        </w:rPr>
        <w:t>-</w:t>
      </w:r>
      <w:r w:rsidRPr="00FE287F">
        <w:rPr>
          <w:rFonts w:ascii="Times New Roman" w:hAnsi="Times New Roman" w:cs="Times New Roman"/>
          <w:sz w:val="24"/>
          <w:szCs w:val="24"/>
        </w:rPr>
        <w:t xml:space="preserve">MS/MS </w:t>
      </w:r>
      <w:r w:rsidR="00CC5F1E" w:rsidRPr="00FE287F">
        <w:rPr>
          <w:rFonts w:ascii="Times New Roman" w:hAnsi="Times New Roman" w:cs="Times New Roman"/>
          <w:sz w:val="24"/>
          <w:szCs w:val="24"/>
        </w:rPr>
        <w:t>quantification</w:t>
      </w:r>
      <w:r w:rsidR="000768D8" w:rsidRPr="00FE287F">
        <w:rPr>
          <w:rFonts w:ascii="Times New Roman" w:hAnsi="Times New Roman" w:cs="Times New Roman"/>
          <w:sz w:val="24"/>
          <w:szCs w:val="24"/>
        </w:rPr>
        <w:t xml:space="preserve"> of </w:t>
      </w:r>
      <w:r w:rsidR="000768D8" w:rsidRPr="00D51016">
        <w:rPr>
          <w:rFonts w:ascii="Times New Roman" w:hAnsi="Times New Roman" w:cs="Times New Roman"/>
          <w:sz w:val="24"/>
          <w:szCs w:val="24"/>
        </w:rPr>
        <w:t>Organophosphate</w:t>
      </w:r>
      <w:r w:rsidR="00975AC1">
        <w:rPr>
          <w:rFonts w:ascii="Times New Roman" w:hAnsi="Times New Roman" w:cs="Times New Roman"/>
          <w:sz w:val="24"/>
          <w:szCs w:val="24"/>
        </w:rPr>
        <w:t xml:space="preserve"> non-specific</w:t>
      </w:r>
      <w:r w:rsidR="000768D8" w:rsidRPr="00D51016">
        <w:rPr>
          <w:rFonts w:ascii="Times New Roman" w:hAnsi="Times New Roman" w:cs="Times New Roman"/>
          <w:sz w:val="24"/>
          <w:szCs w:val="24"/>
        </w:rPr>
        <w:t xml:space="preserve"> Metab</w:t>
      </w:r>
      <w:r w:rsidR="007B6507" w:rsidRPr="00D51016">
        <w:rPr>
          <w:rFonts w:ascii="Times New Roman" w:hAnsi="Times New Roman" w:cs="Times New Roman"/>
          <w:sz w:val="24"/>
          <w:szCs w:val="24"/>
        </w:rPr>
        <w:t>o</w:t>
      </w:r>
      <w:r w:rsidR="000768D8" w:rsidRPr="00D51016">
        <w:rPr>
          <w:rFonts w:ascii="Times New Roman" w:hAnsi="Times New Roman" w:cs="Times New Roman"/>
          <w:sz w:val="24"/>
          <w:szCs w:val="24"/>
        </w:rPr>
        <w:t xml:space="preserve">lites in </w:t>
      </w:r>
      <w:r w:rsidRPr="00D51016">
        <w:rPr>
          <w:rFonts w:ascii="Times New Roman" w:hAnsi="Times New Roman" w:cs="Times New Roman"/>
          <w:sz w:val="24"/>
          <w:szCs w:val="24"/>
        </w:rPr>
        <w:t>H</w:t>
      </w:r>
      <w:r w:rsidR="000768D8" w:rsidRPr="00D51016">
        <w:rPr>
          <w:rFonts w:ascii="Times New Roman" w:hAnsi="Times New Roman" w:cs="Times New Roman"/>
          <w:sz w:val="24"/>
          <w:szCs w:val="24"/>
        </w:rPr>
        <w:t xml:space="preserve">air </w:t>
      </w:r>
      <w:r w:rsidRPr="00D51016">
        <w:rPr>
          <w:rFonts w:ascii="Times New Roman" w:hAnsi="Times New Roman" w:cs="Times New Roman"/>
          <w:sz w:val="24"/>
          <w:szCs w:val="24"/>
        </w:rPr>
        <w:t xml:space="preserve">Using </w:t>
      </w:r>
      <w:r w:rsidR="00253339" w:rsidRPr="00D51016">
        <w:rPr>
          <w:rFonts w:ascii="Times New Roman" w:hAnsi="Times New Roman" w:cs="Times New Roman"/>
          <w:sz w:val="24"/>
          <w:szCs w:val="24"/>
        </w:rPr>
        <w:t>Alkalin</w:t>
      </w:r>
      <w:r w:rsidR="00346B15" w:rsidRPr="00D51016">
        <w:rPr>
          <w:rFonts w:ascii="Times New Roman" w:hAnsi="Times New Roman" w:cs="Times New Roman"/>
          <w:sz w:val="24"/>
          <w:szCs w:val="24"/>
        </w:rPr>
        <w:t xml:space="preserve">e </w:t>
      </w:r>
      <w:r w:rsidRPr="00D51016">
        <w:rPr>
          <w:rFonts w:ascii="Times New Roman" w:hAnsi="Times New Roman" w:cs="Times New Roman"/>
          <w:sz w:val="24"/>
          <w:szCs w:val="24"/>
        </w:rPr>
        <w:t>Extraction Approach</w:t>
      </w:r>
    </w:p>
    <w:p w14:paraId="04585D43" w14:textId="38EFE03D" w:rsidR="0022231D" w:rsidRPr="00FE287F" w:rsidRDefault="0022231D" w:rsidP="00C66A78">
      <w:pPr>
        <w:spacing w:before="120" w:after="120" w:line="240" w:lineRule="auto"/>
        <w:ind w:left="288" w:right="288"/>
        <w:jc w:val="center"/>
        <w:rPr>
          <w:rFonts w:ascii="Times New Roman" w:hAnsi="Times New Roman" w:cs="Times New Roman"/>
          <w:sz w:val="24"/>
          <w:szCs w:val="24"/>
          <w:vertAlign w:val="superscript"/>
        </w:rPr>
      </w:pPr>
      <w:r w:rsidRPr="00FE287F">
        <w:rPr>
          <w:rFonts w:ascii="Times New Roman" w:hAnsi="Times New Roman" w:cs="Times New Roman"/>
          <w:sz w:val="24"/>
          <w:szCs w:val="24"/>
        </w:rPr>
        <w:t xml:space="preserve">Khue </w:t>
      </w:r>
      <w:r w:rsidR="00567C9E" w:rsidRPr="00FE287F">
        <w:rPr>
          <w:rFonts w:ascii="Times New Roman" w:hAnsi="Times New Roman" w:cs="Times New Roman"/>
          <w:sz w:val="24"/>
          <w:szCs w:val="24"/>
        </w:rPr>
        <w:t xml:space="preserve">N. </w:t>
      </w:r>
      <w:r w:rsidRPr="00FE287F">
        <w:rPr>
          <w:rFonts w:ascii="Times New Roman" w:hAnsi="Times New Roman" w:cs="Times New Roman"/>
          <w:sz w:val="24"/>
          <w:szCs w:val="24"/>
        </w:rPr>
        <w:t xml:space="preserve">Nguyen </w:t>
      </w:r>
      <w:r w:rsidRPr="00FE287F">
        <w:rPr>
          <w:rFonts w:ascii="Times New Roman" w:hAnsi="Times New Roman" w:cs="Times New Roman"/>
          <w:sz w:val="24"/>
          <w:szCs w:val="24"/>
          <w:vertAlign w:val="superscript"/>
        </w:rPr>
        <w:t>a</w:t>
      </w:r>
      <w:r w:rsidRPr="00FE287F">
        <w:rPr>
          <w:rFonts w:ascii="Times New Roman" w:hAnsi="Times New Roman" w:cs="Times New Roman"/>
          <w:sz w:val="24"/>
          <w:szCs w:val="24"/>
        </w:rPr>
        <w:t>,</w:t>
      </w:r>
      <w:r w:rsidR="00F37304" w:rsidRPr="00FE287F">
        <w:rPr>
          <w:rFonts w:ascii="Times New Roman" w:hAnsi="Times New Roman" w:cs="Times New Roman"/>
          <w:sz w:val="24"/>
          <w:szCs w:val="24"/>
        </w:rPr>
        <w:t xml:space="preserve"> </w:t>
      </w:r>
      <w:r w:rsidR="004E2E35" w:rsidRPr="00FE287F">
        <w:rPr>
          <w:rFonts w:ascii="Times New Roman" w:hAnsi="Times New Roman" w:cs="Times New Roman"/>
          <w:sz w:val="24"/>
          <w:szCs w:val="24"/>
        </w:rPr>
        <w:t>Roheeni Saxena</w:t>
      </w:r>
      <w:r w:rsidR="004E2E35" w:rsidRPr="00FE287F">
        <w:rPr>
          <w:rFonts w:ascii="Times New Roman" w:hAnsi="Times New Roman" w:cs="Times New Roman"/>
          <w:sz w:val="24"/>
          <w:szCs w:val="24"/>
          <w:vertAlign w:val="superscript"/>
        </w:rPr>
        <w:t xml:space="preserve"> bc</w:t>
      </w:r>
      <w:r w:rsidR="004E2E35" w:rsidRPr="00FE287F">
        <w:rPr>
          <w:rFonts w:ascii="Times New Roman" w:hAnsi="Times New Roman" w:cs="Times New Roman"/>
          <w:sz w:val="24"/>
          <w:szCs w:val="24"/>
        </w:rPr>
        <w:t xml:space="preserve">, </w:t>
      </w:r>
      <w:r w:rsidR="00F37304" w:rsidRPr="00FE287F">
        <w:rPr>
          <w:rFonts w:ascii="Times New Roman" w:hAnsi="Times New Roman" w:cs="Times New Roman"/>
          <w:sz w:val="24"/>
          <w:szCs w:val="24"/>
        </w:rPr>
        <w:t xml:space="preserve">Diane </w:t>
      </w:r>
      <w:r w:rsidR="004E2E35" w:rsidRPr="00FE287F">
        <w:rPr>
          <w:rFonts w:ascii="Times New Roman" w:hAnsi="Times New Roman" w:cs="Times New Roman"/>
          <w:sz w:val="24"/>
          <w:szCs w:val="24"/>
        </w:rPr>
        <w:t xml:space="preserve">B. </w:t>
      </w:r>
      <w:r w:rsidR="00F37304" w:rsidRPr="00FE287F">
        <w:rPr>
          <w:rFonts w:ascii="Times New Roman" w:hAnsi="Times New Roman" w:cs="Times New Roman"/>
          <w:sz w:val="24"/>
          <w:szCs w:val="24"/>
        </w:rPr>
        <w:t>Re</w:t>
      </w:r>
      <w:r w:rsidR="00F03E6F" w:rsidRPr="00FE287F">
        <w:rPr>
          <w:rFonts w:ascii="Times New Roman" w:hAnsi="Times New Roman" w:cs="Times New Roman"/>
          <w:sz w:val="24"/>
          <w:szCs w:val="24"/>
          <w:vertAlign w:val="superscript"/>
        </w:rPr>
        <w:t xml:space="preserve"> b</w:t>
      </w:r>
      <w:r w:rsidR="00E92CCD" w:rsidRPr="00FE287F">
        <w:rPr>
          <w:rFonts w:ascii="Times New Roman" w:hAnsi="Times New Roman" w:cs="Times New Roman"/>
          <w:sz w:val="24"/>
          <w:szCs w:val="24"/>
          <w:vertAlign w:val="superscript"/>
        </w:rPr>
        <w:t>c</w:t>
      </w:r>
      <w:r w:rsidR="00F03E6F" w:rsidRPr="00FE287F">
        <w:rPr>
          <w:rFonts w:ascii="Times New Roman" w:hAnsi="Times New Roman" w:cs="Times New Roman"/>
          <w:sz w:val="24"/>
          <w:szCs w:val="24"/>
        </w:rPr>
        <w:t>,</w:t>
      </w:r>
      <w:r w:rsidRPr="00FE287F">
        <w:rPr>
          <w:rFonts w:ascii="Times New Roman" w:hAnsi="Times New Roman" w:cs="Times New Roman"/>
          <w:sz w:val="24"/>
          <w:szCs w:val="24"/>
        </w:rPr>
        <w:t xml:space="preserve"> Beizhan Yan </w:t>
      </w:r>
      <w:r w:rsidRPr="00FE287F">
        <w:rPr>
          <w:rFonts w:ascii="Times New Roman" w:hAnsi="Times New Roman" w:cs="Times New Roman"/>
          <w:sz w:val="24"/>
          <w:szCs w:val="24"/>
          <w:vertAlign w:val="superscript"/>
        </w:rPr>
        <w:t>a</w:t>
      </w:r>
      <w:r w:rsidR="00E92CCD" w:rsidRPr="00FE287F">
        <w:rPr>
          <w:rFonts w:ascii="Times New Roman" w:hAnsi="Times New Roman" w:cs="Times New Roman"/>
          <w:sz w:val="24"/>
          <w:szCs w:val="24"/>
          <w:vertAlign w:val="superscript"/>
        </w:rPr>
        <w:t>c</w:t>
      </w:r>
      <w:r w:rsidRPr="00FE287F">
        <w:rPr>
          <w:rFonts w:ascii="Times New Roman" w:hAnsi="Times New Roman" w:cs="Times New Roman"/>
          <w:sz w:val="24"/>
          <w:szCs w:val="24"/>
          <w:vertAlign w:val="superscript"/>
        </w:rPr>
        <w:t xml:space="preserve">* </w:t>
      </w:r>
      <w:r w:rsidR="00EA7EAC" w:rsidRPr="00FE287F">
        <w:rPr>
          <w:rFonts w:ascii="Times New Roman" w:hAnsi="Times New Roman" w:cs="Times New Roman"/>
          <w:sz w:val="24"/>
          <w:szCs w:val="24"/>
          <w:vertAlign w:val="superscript"/>
        </w:rPr>
        <w:t xml:space="preserve"> </w:t>
      </w:r>
    </w:p>
    <w:p w14:paraId="4CFE7B20" w14:textId="77777777" w:rsidR="0022231D" w:rsidRPr="00FE287F" w:rsidRDefault="0022231D" w:rsidP="00C66A78">
      <w:pPr>
        <w:spacing w:before="120" w:after="120" w:line="240" w:lineRule="auto"/>
        <w:ind w:left="288" w:right="288"/>
        <w:jc w:val="center"/>
        <w:rPr>
          <w:rFonts w:ascii="Times New Roman" w:hAnsi="Times New Roman" w:cs="Times New Roman"/>
          <w:sz w:val="24"/>
          <w:szCs w:val="24"/>
        </w:rPr>
      </w:pPr>
    </w:p>
    <w:p w14:paraId="59C665C5" w14:textId="77777777" w:rsidR="0022231D" w:rsidRPr="00FE287F" w:rsidRDefault="0022231D" w:rsidP="00C66A78">
      <w:pPr>
        <w:spacing w:before="120" w:after="120" w:line="240" w:lineRule="auto"/>
        <w:ind w:left="288" w:right="288"/>
        <w:jc w:val="center"/>
        <w:rPr>
          <w:rFonts w:ascii="Times New Roman" w:hAnsi="Times New Roman" w:cs="Times New Roman"/>
          <w:sz w:val="24"/>
          <w:szCs w:val="24"/>
        </w:rPr>
      </w:pPr>
      <w:r w:rsidRPr="00FE287F">
        <w:rPr>
          <w:rFonts w:ascii="Times New Roman" w:hAnsi="Times New Roman" w:cs="Times New Roman"/>
          <w:sz w:val="24"/>
          <w:szCs w:val="24"/>
          <w:vertAlign w:val="superscript"/>
        </w:rPr>
        <w:t xml:space="preserve">a </w:t>
      </w:r>
      <w:r w:rsidRPr="00FE287F">
        <w:rPr>
          <w:rFonts w:ascii="Times New Roman" w:hAnsi="Times New Roman" w:cs="Times New Roman"/>
          <w:sz w:val="24"/>
          <w:szCs w:val="24"/>
        </w:rPr>
        <w:t>Lamont Doherty Earth Observatory, Columbia University, Palisades, New York, USA</w:t>
      </w:r>
    </w:p>
    <w:p w14:paraId="2B3B2D08" w14:textId="503825D7" w:rsidR="006E2A0D" w:rsidRPr="00FE287F" w:rsidRDefault="00B05B34" w:rsidP="00C66A78">
      <w:pPr>
        <w:spacing w:before="120" w:after="120" w:line="240" w:lineRule="auto"/>
        <w:ind w:left="288" w:right="288"/>
        <w:jc w:val="center"/>
        <w:rPr>
          <w:rFonts w:ascii="Times New Roman" w:hAnsi="Times New Roman" w:cs="Times New Roman"/>
          <w:sz w:val="24"/>
          <w:szCs w:val="24"/>
        </w:rPr>
      </w:pPr>
      <w:r w:rsidRPr="00FE287F">
        <w:rPr>
          <w:rFonts w:ascii="Times New Roman" w:hAnsi="Times New Roman" w:cs="Times New Roman"/>
          <w:sz w:val="24"/>
          <w:szCs w:val="24"/>
          <w:vertAlign w:val="superscript"/>
        </w:rPr>
        <w:t xml:space="preserve">b </w:t>
      </w:r>
      <w:r w:rsidRPr="00FE287F">
        <w:rPr>
          <w:rFonts w:ascii="Times New Roman" w:hAnsi="Times New Roman" w:cs="Times New Roman"/>
          <w:sz w:val="24"/>
          <w:szCs w:val="24"/>
        </w:rPr>
        <w:t>Department of Environmental Health Sciences, Mailman School of Public Health, Columbia University, New York, NY, USA</w:t>
      </w:r>
    </w:p>
    <w:p w14:paraId="5394CFB7" w14:textId="6F17B20A" w:rsidR="00FC4885" w:rsidRDefault="00E92CCD" w:rsidP="00D818B6">
      <w:pPr>
        <w:spacing w:before="120" w:after="120" w:line="240" w:lineRule="auto"/>
        <w:ind w:left="288" w:right="288"/>
        <w:jc w:val="center"/>
        <w:rPr>
          <w:rFonts w:ascii="Times New Roman" w:hAnsi="Times New Roman" w:cs="Times New Roman"/>
          <w:sz w:val="24"/>
          <w:szCs w:val="24"/>
        </w:rPr>
      </w:pPr>
      <w:r w:rsidRPr="00FE287F">
        <w:rPr>
          <w:rFonts w:ascii="Times New Roman" w:hAnsi="Times New Roman" w:cs="Times New Roman"/>
          <w:sz w:val="24"/>
          <w:szCs w:val="24"/>
          <w:vertAlign w:val="superscript"/>
        </w:rPr>
        <w:t>c</w:t>
      </w:r>
      <w:r w:rsidR="009B3CE3">
        <w:rPr>
          <w:rFonts w:ascii="Times New Roman" w:hAnsi="Times New Roman" w:cs="Times New Roman"/>
          <w:sz w:val="24"/>
          <w:szCs w:val="24"/>
          <w:vertAlign w:val="superscript"/>
        </w:rPr>
        <w:t xml:space="preserve"> </w:t>
      </w:r>
      <w:r w:rsidRPr="00FE287F">
        <w:rPr>
          <w:rFonts w:ascii="Times New Roman" w:hAnsi="Times New Roman" w:cs="Times New Roman"/>
          <w:sz w:val="24"/>
          <w:szCs w:val="24"/>
        </w:rPr>
        <w:t xml:space="preserve">NIEHS Center for Environmental Health and Justice in Northern Manhattan, Columbia </w:t>
      </w:r>
    </w:p>
    <w:p w14:paraId="0657269B" w14:textId="77777777" w:rsidR="00FC4375" w:rsidRPr="00FE287F" w:rsidRDefault="00FC4375" w:rsidP="00FC4375">
      <w:pPr>
        <w:spacing w:before="120" w:after="120" w:line="240" w:lineRule="auto"/>
        <w:ind w:left="288" w:right="288"/>
        <w:rPr>
          <w:rFonts w:ascii="Times New Roman" w:hAnsi="Times New Roman" w:cs="Times New Roman"/>
          <w:sz w:val="24"/>
          <w:szCs w:val="24"/>
        </w:rPr>
      </w:pPr>
      <w:r w:rsidRPr="00FE287F">
        <w:rPr>
          <w:rFonts w:ascii="Times New Roman" w:hAnsi="Times New Roman" w:cs="Times New Roman"/>
          <w:sz w:val="24"/>
          <w:szCs w:val="24"/>
        </w:rPr>
        <w:t xml:space="preserve">* Corresponding author: </w:t>
      </w:r>
      <w:hyperlink r:id="rId8" w:history="1">
        <w:r w:rsidRPr="00D51016">
          <w:rPr>
            <w:rStyle w:val="Hyperlink"/>
            <w:rFonts w:ascii="Times New Roman" w:hAnsi="Times New Roman" w:cs="Times New Roman"/>
            <w:color w:val="auto"/>
            <w:sz w:val="24"/>
            <w:szCs w:val="24"/>
          </w:rPr>
          <w:t>yanbz@ldeo.columbia.edu</w:t>
        </w:r>
      </w:hyperlink>
      <w:r w:rsidRPr="00FE287F">
        <w:rPr>
          <w:rFonts w:ascii="Times New Roman" w:hAnsi="Times New Roman" w:cs="Times New Roman"/>
          <w:sz w:val="24"/>
          <w:szCs w:val="24"/>
        </w:rPr>
        <w:t xml:space="preserve"> 845-3658448</w:t>
      </w:r>
    </w:p>
    <w:p w14:paraId="5870B3C4" w14:textId="77777777" w:rsidR="00FC4375" w:rsidRPr="00FE287F" w:rsidRDefault="00FC4375" w:rsidP="00FC4375">
      <w:pPr>
        <w:spacing w:before="120" w:after="120" w:line="240" w:lineRule="auto"/>
        <w:ind w:left="288" w:right="288"/>
        <w:rPr>
          <w:rFonts w:ascii="Times New Roman" w:hAnsi="Times New Roman" w:cs="Times New Roman"/>
          <w:sz w:val="24"/>
          <w:szCs w:val="24"/>
        </w:rPr>
      </w:pPr>
      <w:r w:rsidRPr="00FE287F">
        <w:rPr>
          <w:rFonts w:ascii="Times New Roman" w:hAnsi="Times New Roman" w:cs="Times New Roman"/>
          <w:sz w:val="24"/>
          <w:szCs w:val="24"/>
        </w:rPr>
        <w:t>Keywords: Organophosphate pesticides, dialkyl phosphates, Hair matrix, Solvent pH, ElectroSpray Ionization, LC/MS/MS.</w:t>
      </w:r>
    </w:p>
    <w:p w14:paraId="76AD4D87" w14:textId="77777777" w:rsidR="00FC4375" w:rsidRPr="00FE287F" w:rsidRDefault="00FC4375" w:rsidP="00FC4375">
      <w:pPr>
        <w:spacing w:before="120" w:after="120" w:line="240" w:lineRule="auto"/>
        <w:ind w:left="288" w:right="288"/>
        <w:rPr>
          <w:rFonts w:ascii="Times New Roman" w:hAnsi="Times New Roman" w:cs="Times New Roman"/>
          <w:sz w:val="24"/>
          <w:szCs w:val="24"/>
        </w:rPr>
      </w:pPr>
    </w:p>
    <w:p w14:paraId="3496256D" w14:textId="77777777" w:rsidR="0030747A" w:rsidRPr="00FE287F" w:rsidRDefault="0030747A" w:rsidP="00C66A78">
      <w:pPr>
        <w:pStyle w:val="ListParagraph"/>
        <w:spacing w:before="120" w:after="120" w:line="240" w:lineRule="auto"/>
        <w:ind w:left="288" w:right="288"/>
        <w:jc w:val="both"/>
        <w:rPr>
          <w:rFonts w:ascii="Times New Roman" w:hAnsi="Times New Roman" w:cs="Times New Roman"/>
          <w:sz w:val="24"/>
          <w:szCs w:val="24"/>
        </w:rPr>
      </w:pPr>
    </w:p>
    <w:p w14:paraId="1AA99B7E" w14:textId="51A10A2C" w:rsidR="00860930" w:rsidRPr="00FE287F" w:rsidRDefault="00653486" w:rsidP="00C66A78">
      <w:pPr>
        <w:spacing w:before="120" w:after="120" w:line="240" w:lineRule="auto"/>
        <w:ind w:left="288" w:right="288"/>
        <w:jc w:val="both"/>
        <w:rPr>
          <w:rFonts w:ascii="Times New Roman" w:hAnsi="Times New Roman" w:cs="Times New Roman"/>
          <w:sz w:val="24"/>
          <w:szCs w:val="24"/>
        </w:rPr>
      </w:pPr>
      <w:r>
        <w:rPr>
          <w:rFonts w:ascii="Times New Roman" w:hAnsi="Times New Roman" w:cs="Times New Roman"/>
          <w:sz w:val="24"/>
          <w:szCs w:val="24"/>
        </w:rPr>
        <w:t>Table of contents</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8095"/>
      </w:tblGrid>
      <w:tr w:rsidR="00773B96" w14:paraId="1DE1D373" w14:textId="77777777" w:rsidTr="0012329A">
        <w:tc>
          <w:tcPr>
            <w:tcW w:w="9782" w:type="dxa"/>
            <w:gridSpan w:val="2"/>
            <w:tcBorders>
              <w:top w:val="single" w:sz="4" w:space="0" w:color="auto"/>
              <w:bottom w:val="single" w:sz="4" w:space="0" w:color="auto"/>
            </w:tcBorders>
          </w:tcPr>
          <w:p w14:paraId="0D7A0A17" w14:textId="70782E31" w:rsidR="00773B96" w:rsidRDefault="00773B96" w:rsidP="00C66A78">
            <w:pPr>
              <w:spacing w:before="120" w:after="120"/>
              <w:ind w:right="288"/>
              <w:jc w:val="both"/>
              <w:rPr>
                <w:rFonts w:ascii="Times New Roman" w:hAnsi="Times New Roman" w:cs="Times New Roman"/>
                <w:sz w:val="24"/>
                <w:szCs w:val="24"/>
              </w:rPr>
            </w:pPr>
            <w:r>
              <w:rPr>
                <w:rFonts w:ascii="Times New Roman" w:hAnsi="Times New Roman" w:cs="Times New Roman"/>
                <w:sz w:val="24"/>
                <w:szCs w:val="24"/>
              </w:rPr>
              <w:t>List of tables and figures</w:t>
            </w:r>
          </w:p>
        </w:tc>
      </w:tr>
      <w:tr w:rsidR="00653486" w14:paraId="7F781A2F" w14:textId="77777777" w:rsidTr="0012329A">
        <w:tc>
          <w:tcPr>
            <w:tcW w:w="1687" w:type="dxa"/>
            <w:tcBorders>
              <w:top w:val="single" w:sz="4" w:space="0" w:color="auto"/>
            </w:tcBorders>
          </w:tcPr>
          <w:p w14:paraId="7B799400" w14:textId="48C14637" w:rsidR="00653486" w:rsidRDefault="00773B96" w:rsidP="00C66A78">
            <w:pPr>
              <w:spacing w:before="120" w:after="120"/>
              <w:ind w:right="288"/>
              <w:jc w:val="both"/>
              <w:rPr>
                <w:rFonts w:ascii="Times New Roman" w:hAnsi="Times New Roman" w:cs="Times New Roman"/>
                <w:sz w:val="24"/>
                <w:szCs w:val="24"/>
              </w:rPr>
            </w:pPr>
            <w:r>
              <w:rPr>
                <w:rFonts w:ascii="Times New Roman" w:hAnsi="Times New Roman" w:cs="Times New Roman"/>
                <w:sz w:val="24"/>
                <w:szCs w:val="24"/>
              </w:rPr>
              <w:t>Table S1</w:t>
            </w:r>
          </w:p>
        </w:tc>
        <w:tc>
          <w:tcPr>
            <w:tcW w:w="8095" w:type="dxa"/>
            <w:tcBorders>
              <w:top w:val="single" w:sz="4" w:space="0" w:color="auto"/>
            </w:tcBorders>
          </w:tcPr>
          <w:p w14:paraId="022FD12B" w14:textId="5FCD3B28" w:rsidR="00653486" w:rsidRDefault="00773B96" w:rsidP="00C66A78">
            <w:pPr>
              <w:spacing w:before="120" w:after="120"/>
              <w:ind w:right="288"/>
              <w:jc w:val="both"/>
              <w:rPr>
                <w:rFonts w:ascii="Times New Roman" w:hAnsi="Times New Roman" w:cs="Times New Roman"/>
                <w:sz w:val="24"/>
                <w:szCs w:val="24"/>
              </w:rPr>
            </w:pPr>
            <w:r w:rsidRPr="00FE287F">
              <w:rPr>
                <w:rFonts w:ascii="Times New Roman" w:hAnsi="Times New Roman" w:cs="Times New Roman"/>
                <w:sz w:val="24"/>
                <w:szCs w:val="24"/>
              </w:rPr>
              <w:t>Different simplified procedures to determine DAPs in human hair</w:t>
            </w:r>
          </w:p>
        </w:tc>
      </w:tr>
      <w:tr w:rsidR="00653486" w14:paraId="1FEB4C28" w14:textId="77777777" w:rsidTr="0012329A">
        <w:tc>
          <w:tcPr>
            <w:tcW w:w="1687" w:type="dxa"/>
          </w:tcPr>
          <w:p w14:paraId="3D918CCA" w14:textId="2F1D4C9B" w:rsidR="00653486" w:rsidRDefault="00773B96" w:rsidP="00C66A78">
            <w:pPr>
              <w:spacing w:before="120" w:after="120"/>
              <w:ind w:right="288"/>
              <w:jc w:val="both"/>
              <w:rPr>
                <w:rFonts w:ascii="Times New Roman" w:hAnsi="Times New Roman" w:cs="Times New Roman"/>
                <w:sz w:val="24"/>
                <w:szCs w:val="24"/>
              </w:rPr>
            </w:pPr>
            <w:r>
              <w:rPr>
                <w:rFonts w:ascii="Times New Roman" w:hAnsi="Times New Roman" w:cs="Times New Roman"/>
                <w:sz w:val="24"/>
                <w:szCs w:val="24"/>
              </w:rPr>
              <w:t>Table S2</w:t>
            </w:r>
          </w:p>
        </w:tc>
        <w:tc>
          <w:tcPr>
            <w:tcW w:w="8095" w:type="dxa"/>
          </w:tcPr>
          <w:p w14:paraId="13D2FAC6" w14:textId="21D5714A" w:rsidR="00653486" w:rsidRDefault="00773B96" w:rsidP="00C66A78">
            <w:pPr>
              <w:spacing w:before="120" w:after="120"/>
              <w:ind w:right="288"/>
              <w:jc w:val="both"/>
              <w:rPr>
                <w:rFonts w:ascii="Times New Roman" w:hAnsi="Times New Roman" w:cs="Times New Roman"/>
                <w:sz w:val="24"/>
                <w:szCs w:val="24"/>
              </w:rPr>
            </w:pPr>
            <w:r w:rsidRPr="00FE287F">
              <w:rPr>
                <w:rFonts w:ascii="Times New Roman" w:hAnsi="Times New Roman" w:cs="Times New Roman"/>
                <w:sz w:val="24"/>
                <w:szCs w:val="24"/>
              </w:rPr>
              <w:t>Comparing limit of detection LOD (pg/mg) of different hair analysis methods. Our current method provides satisfactory sensitivity.</w:t>
            </w:r>
          </w:p>
        </w:tc>
      </w:tr>
      <w:tr w:rsidR="00653486" w14:paraId="66824B04" w14:textId="77777777" w:rsidTr="0012329A">
        <w:tc>
          <w:tcPr>
            <w:tcW w:w="1687" w:type="dxa"/>
            <w:tcBorders>
              <w:bottom w:val="single" w:sz="4" w:space="0" w:color="auto"/>
            </w:tcBorders>
          </w:tcPr>
          <w:p w14:paraId="20D56649" w14:textId="3F2F36A5" w:rsidR="00653486" w:rsidRDefault="00773B96" w:rsidP="00C66A78">
            <w:pPr>
              <w:spacing w:before="120" w:after="120"/>
              <w:ind w:right="288"/>
              <w:jc w:val="both"/>
              <w:rPr>
                <w:rFonts w:ascii="Times New Roman" w:hAnsi="Times New Roman" w:cs="Times New Roman"/>
                <w:sz w:val="24"/>
                <w:szCs w:val="24"/>
              </w:rPr>
            </w:pPr>
            <w:r>
              <w:rPr>
                <w:rFonts w:ascii="Times New Roman" w:hAnsi="Times New Roman" w:cs="Times New Roman"/>
                <w:sz w:val="24"/>
                <w:szCs w:val="24"/>
              </w:rPr>
              <w:t>Figure S1</w:t>
            </w:r>
          </w:p>
        </w:tc>
        <w:tc>
          <w:tcPr>
            <w:tcW w:w="8095" w:type="dxa"/>
            <w:tcBorders>
              <w:bottom w:val="single" w:sz="4" w:space="0" w:color="auto"/>
            </w:tcBorders>
          </w:tcPr>
          <w:p w14:paraId="35C1CA7F" w14:textId="0FDB4B24" w:rsidR="00653486" w:rsidRDefault="00773B96" w:rsidP="00C66A78">
            <w:pPr>
              <w:spacing w:before="120" w:after="120"/>
              <w:ind w:right="288"/>
              <w:jc w:val="both"/>
              <w:rPr>
                <w:rFonts w:ascii="Times New Roman" w:hAnsi="Times New Roman" w:cs="Times New Roman"/>
                <w:sz w:val="24"/>
                <w:szCs w:val="24"/>
              </w:rPr>
            </w:pPr>
            <w:r w:rsidRPr="00FE287F">
              <w:rPr>
                <w:rFonts w:ascii="Times New Roman" w:hAnsi="Times New Roman" w:cs="Times New Roman"/>
                <w:sz w:val="24"/>
                <w:szCs w:val="24"/>
              </w:rPr>
              <w:t>Extracted ion chromatogram MRM of DAPs their corresponding labeled internal standards</w:t>
            </w:r>
          </w:p>
        </w:tc>
      </w:tr>
    </w:tbl>
    <w:p w14:paraId="1CF05978" w14:textId="77777777" w:rsidR="00860930" w:rsidRPr="00FE287F" w:rsidRDefault="00860930" w:rsidP="00C66A78">
      <w:pPr>
        <w:spacing w:before="120" w:after="120" w:line="240" w:lineRule="auto"/>
        <w:ind w:left="288" w:right="288"/>
        <w:jc w:val="both"/>
        <w:rPr>
          <w:rFonts w:ascii="Times New Roman" w:hAnsi="Times New Roman" w:cs="Times New Roman"/>
          <w:sz w:val="24"/>
          <w:szCs w:val="24"/>
        </w:rPr>
      </w:pPr>
    </w:p>
    <w:p w14:paraId="7C5493D8" w14:textId="77777777" w:rsidR="00860930" w:rsidRPr="00FE287F" w:rsidRDefault="00860930" w:rsidP="00C66A78">
      <w:pPr>
        <w:spacing w:before="120" w:after="120" w:line="240" w:lineRule="auto"/>
        <w:ind w:left="288" w:right="288"/>
        <w:jc w:val="both"/>
        <w:rPr>
          <w:rFonts w:ascii="Times New Roman" w:hAnsi="Times New Roman" w:cs="Times New Roman"/>
          <w:sz w:val="24"/>
          <w:szCs w:val="24"/>
        </w:rPr>
      </w:pPr>
    </w:p>
    <w:p w14:paraId="6F6430B2" w14:textId="77777777" w:rsidR="00E0751C" w:rsidRDefault="00E0751C" w:rsidP="00C66A78">
      <w:pPr>
        <w:spacing w:before="120" w:after="120" w:line="240" w:lineRule="auto"/>
        <w:ind w:left="288" w:right="288"/>
        <w:jc w:val="both"/>
        <w:rPr>
          <w:rFonts w:ascii="Times New Roman" w:hAnsi="Times New Roman" w:cs="Times New Roman"/>
          <w:sz w:val="24"/>
          <w:szCs w:val="24"/>
        </w:rPr>
      </w:pPr>
    </w:p>
    <w:p w14:paraId="64E14BC4" w14:textId="77777777" w:rsidR="00E0751C" w:rsidRDefault="00E0751C" w:rsidP="00C66A78">
      <w:pPr>
        <w:spacing w:before="120" w:after="120" w:line="240" w:lineRule="auto"/>
        <w:ind w:left="288" w:right="288"/>
        <w:jc w:val="both"/>
        <w:rPr>
          <w:rFonts w:ascii="Times New Roman" w:hAnsi="Times New Roman" w:cs="Times New Roman"/>
          <w:sz w:val="24"/>
          <w:szCs w:val="24"/>
        </w:rPr>
      </w:pPr>
    </w:p>
    <w:p w14:paraId="341BBF1B" w14:textId="2144BBB1" w:rsidR="00E0751C" w:rsidRPr="00FE287F" w:rsidRDefault="00E0751C" w:rsidP="00C66A78">
      <w:pPr>
        <w:spacing w:before="120" w:after="120" w:line="240" w:lineRule="auto"/>
        <w:ind w:left="288" w:right="288"/>
        <w:jc w:val="both"/>
        <w:rPr>
          <w:rFonts w:ascii="Times New Roman" w:hAnsi="Times New Roman" w:cs="Times New Roman"/>
          <w:sz w:val="24"/>
          <w:szCs w:val="24"/>
        </w:rPr>
        <w:sectPr w:rsidR="00E0751C" w:rsidRPr="00FE287F" w:rsidSect="009571D8">
          <w:footerReference w:type="default" r:id="rId9"/>
          <w:type w:val="continuous"/>
          <w:pgSz w:w="12240" w:h="15840"/>
          <w:pgMar w:top="1080" w:right="1440" w:bottom="1080" w:left="720" w:header="720" w:footer="720" w:gutter="0"/>
          <w:lnNumType w:countBy="1" w:restart="continuous"/>
          <w:cols w:space="720"/>
          <w:docGrid w:linePitch="360"/>
        </w:sectPr>
      </w:pPr>
    </w:p>
    <w:p w14:paraId="59A0DDEA" w14:textId="77B7A9DF" w:rsidR="0030747A" w:rsidRPr="00FE287F" w:rsidRDefault="00E440DA" w:rsidP="00C66A78">
      <w:pPr>
        <w:spacing w:before="120" w:after="120" w:line="240" w:lineRule="auto"/>
        <w:ind w:left="288" w:right="288"/>
        <w:jc w:val="both"/>
        <w:rPr>
          <w:rFonts w:ascii="Times New Roman" w:hAnsi="Times New Roman" w:cs="Times New Roman"/>
          <w:sz w:val="24"/>
          <w:szCs w:val="24"/>
        </w:rPr>
      </w:pPr>
      <w:r w:rsidRPr="00FE287F">
        <w:rPr>
          <w:rFonts w:ascii="Times New Roman" w:hAnsi="Times New Roman" w:cs="Times New Roman"/>
          <w:sz w:val="24"/>
          <w:szCs w:val="24"/>
        </w:rPr>
        <w:lastRenderedPageBreak/>
        <w:t>T</w:t>
      </w:r>
      <w:r w:rsidR="00750CC6" w:rsidRPr="00FE287F">
        <w:rPr>
          <w:rFonts w:ascii="Times New Roman" w:hAnsi="Times New Roman" w:cs="Times New Roman"/>
          <w:sz w:val="24"/>
          <w:szCs w:val="24"/>
        </w:rPr>
        <w:t>able S</w:t>
      </w:r>
      <w:r w:rsidRPr="00FE287F">
        <w:rPr>
          <w:rFonts w:ascii="Times New Roman" w:hAnsi="Times New Roman" w:cs="Times New Roman"/>
          <w:sz w:val="24"/>
          <w:szCs w:val="24"/>
        </w:rPr>
        <w:t>1</w:t>
      </w:r>
      <w:r w:rsidR="00750CC6" w:rsidRPr="00FE287F">
        <w:rPr>
          <w:rFonts w:ascii="Times New Roman" w:hAnsi="Times New Roman" w:cs="Times New Roman"/>
          <w:sz w:val="24"/>
          <w:szCs w:val="24"/>
        </w:rPr>
        <w:t xml:space="preserve">: </w:t>
      </w:r>
      <w:r w:rsidR="00DE0E6B" w:rsidRPr="00FE287F">
        <w:rPr>
          <w:rFonts w:ascii="Times New Roman" w:hAnsi="Times New Roman" w:cs="Times New Roman"/>
          <w:sz w:val="24"/>
          <w:szCs w:val="24"/>
        </w:rPr>
        <w:t>Different s</w:t>
      </w:r>
      <w:r w:rsidR="00CB7439" w:rsidRPr="00FE287F">
        <w:rPr>
          <w:rFonts w:ascii="Times New Roman" w:hAnsi="Times New Roman" w:cs="Times New Roman"/>
          <w:sz w:val="24"/>
          <w:szCs w:val="24"/>
        </w:rPr>
        <w:t xml:space="preserve">implified procedures to determine DAPs in </w:t>
      </w:r>
      <w:r w:rsidR="00DE0E6B" w:rsidRPr="00FE287F">
        <w:rPr>
          <w:rFonts w:ascii="Times New Roman" w:hAnsi="Times New Roman" w:cs="Times New Roman"/>
          <w:sz w:val="24"/>
          <w:szCs w:val="24"/>
        </w:rPr>
        <w:t>human hair</w:t>
      </w:r>
      <w:r w:rsidR="005C5757" w:rsidRPr="00FE287F">
        <w:rPr>
          <w:rFonts w:ascii="Times New Roman" w:hAnsi="Times New Roman" w:cs="Times New Roman"/>
          <w:sz w:val="24"/>
          <w:szCs w:val="24"/>
        </w:rPr>
        <w:t xml:space="preserve"> </w:t>
      </w:r>
    </w:p>
    <w:tbl>
      <w:tblPr>
        <w:tblStyle w:val="TableGrid"/>
        <w:tblW w:w="1340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5"/>
        <w:gridCol w:w="1710"/>
        <w:gridCol w:w="3240"/>
        <w:gridCol w:w="2610"/>
        <w:gridCol w:w="900"/>
        <w:gridCol w:w="1260"/>
        <w:gridCol w:w="1350"/>
      </w:tblGrid>
      <w:tr w:rsidR="00FE287F" w:rsidRPr="00FE287F" w14:paraId="1C40E2BF" w14:textId="77777777" w:rsidTr="00EE2C29">
        <w:trPr>
          <w:trHeight w:val="620"/>
        </w:trPr>
        <w:tc>
          <w:tcPr>
            <w:tcW w:w="2335" w:type="dxa"/>
            <w:tcBorders>
              <w:top w:val="single" w:sz="4" w:space="0" w:color="auto"/>
              <w:bottom w:val="single" w:sz="4" w:space="0" w:color="auto"/>
            </w:tcBorders>
          </w:tcPr>
          <w:p w14:paraId="0B6E325A"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Compound(s)</w:t>
            </w:r>
          </w:p>
        </w:tc>
        <w:tc>
          <w:tcPr>
            <w:tcW w:w="1710" w:type="dxa"/>
            <w:tcBorders>
              <w:top w:val="single" w:sz="4" w:space="0" w:color="auto"/>
              <w:bottom w:val="single" w:sz="4" w:space="0" w:color="auto"/>
            </w:tcBorders>
          </w:tcPr>
          <w:p w14:paraId="1D8E6018"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External decontamination</w:t>
            </w:r>
          </w:p>
        </w:tc>
        <w:tc>
          <w:tcPr>
            <w:tcW w:w="3240" w:type="dxa"/>
            <w:tcBorders>
              <w:top w:val="single" w:sz="4" w:space="0" w:color="auto"/>
              <w:bottom w:val="single" w:sz="4" w:space="0" w:color="auto"/>
            </w:tcBorders>
          </w:tcPr>
          <w:p w14:paraId="7A093170"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Extraction procedure</w:t>
            </w:r>
          </w:p>
        </w:tc>
        <w:tc>
          <w:tcPr>
            <w:tcW w:w="2610" w:type="dxa"/>
            <w:tcBorders>
              <w:top w:val="single" w:sz="4" w:space="0" w:color="auto"/>
              <w:bottom w:val="single" w:sz="4" w:space="0" w:color="auto"/>
            </w:tcBorders>
          </w:tcPr>
          <w:p w14:paraId="4DBA82C8"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Purification</w:t>
            </w:r>
          </w:p>
        </w:tc>
        <w:tc>
          <w:tcPr>
            <w:tcW w:w="900" w:type="dxa"/>
            <w:tcBorders>
              <w:top w:val="single" w:sz="4" w:space="0" w:color="auto"/>
              <w:bottom w:val="single" w:sz="4" w:space="0" w:color="auto"/>
            </w:tcBorders>
          </w:tcPr>
          <w:p w14:paraId="07381E7B"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Derivatization</w:t>
            </w:r>
          </w:p>
        </w:tc>
        <w:tc>
          <w:tcPr>
            <w:tcW w:w="1260" w:type="dxa"/>
            <w:tcBorders>
              <w:top w:val="single" w:sz="4" w:space="0" w:color="auto"/>
              <w:bottom w:val="single" w:sz="4" w:space="0" w:color="auto"/>
            </w:tcBorders>
          </w:tcPr>
          <w:p w14:paraId="0EF616C6"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Instrument analysis</w:t>
            </w:r>
          </w:p>
        </w:tc>
        <w:tc>
          <w:tcPr>
            <w:tcW w:w="1350" w:type="dxa"/>
            <w:tcBorders>
              <w:top w:val="single" w:sz="4" w:space="0" w:color="auto"/>
              <w:bottom w:val="single" w:sz="4" w:space="0" w:color="auto"/>
            </w:tcBorders>
          </w:tcPr>
          <w:p w14:paraId="11D4655A"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References</w:t>
            </w:r>
          </w:p>
        </w:tc>
      </w:tr>
      <w:tr w:rsidR="00FE287F" w:rsidRPr="00FE287F" w14:paraId="0561E1C7" w14:textId="77777777" w:rsidTr="00EE2C29">
        <w:trPr>
          <w:trHeight w:val="725"/>
        </w:trPr>
        <w:tc>
          <w:tcPr>
            <w:tcW w:w="2335" w:type="dxa"/>
            <w:tcBorders>
              <w:top w:val="single" w:sz="4" w:space="0" w:color="auto"/>
              <w:bottom w:val="single" w:sz="4" w:space="0" w:color="auto"/>
            </w:tcBorders>
          </w:tcPr>
          <w:p w14:paraId="004783F2"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DMP,</w:t>
            </w:r>
            <w:r w:rsidR="004C32C7" w:rsidRPr="00FE287F">
              <w:rPr>
                <w:rFonts w:ascii="Times New Roman" w:hAnsi="Times New Roman" w:cs="Times New Roman"/>
                <w:sz w:val="20"/>
                <w:szCs w:val="20"/>
              </w:rPr>
              <w:t xml:space="preserve"> </w:t>
            </w:r>
            <w:r w:rsidRPr="00FE287F">
              <w:rPr>
                <w:rFonts w:ascii="Times New Roman" w:hAnsi="Times New Roman" w:cs="Times New Roman"/>
                <w:sz w:val="20"/>
                <w:szCs w:val="20"/>
              </w:rPr>
              <w:t>DMTP,</w:t>
            </w:r>
            <w:r w:rsidR="004C32C7" w:rsidRPr="00FE287F">
              <w:rPr>
                <w:rFonts w:ascii="Times New Roman" w:hAnsi="Times New Roman" w:cs="Times New Roman"/>
                <w:sz w:val="20"/>
                <w:szCs w:val="20"/>
              </w:rPr>
              <w:t xml:space="preserve"> </w:t>
            </w:r>
            <w:r w:rsidRPr="00FE287F">
              <w:rPr>
                <w:rFonts w:ascii="Times New Roman" w:hAnsi="Times New Roman" w:cs="Times New Roman"/>
                <w:sz w:val="20"/>
                <w:szCs w:val="20"/>
              </w:rPr>
              <w:t>DEP</w:t>
            </w:r>
          </w:p>
        </w:tc>
        <w:tc>
          <w:tcPr>
            <w:tcW w:w="1710" w:type="dxa"/>
            <w:tcBorders>
              <w:top w:val="single" w:sz="4" w:space="0" w:color="auto"/>
              <w:bottom w:val="single" w:sz="4" w:space="0" w:color="auto"/>
            </w:tcBorders>
          </w:tcPr>
          <w:p w14:paraId="529D8420" w14:textId="77777777" w:rsidR="00C41063" w:rsidRPr="00FE287F" w:rsidRDefault="006C68EF"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Wash with water and then methanol</w:t>
            </w:r>
          </w:p>
        </w:tc>
        <w:tc>
          <w:tcPr>
            <w:tcW w:w="3240" w:type="dxa"/>
            <w:tcBorders>
              <w:top w:val="single" w:sz="4" w:space="0" w:color="auto"/>
              <w:bottom w:val="single" w:sz="4" w:space="0" w:color="auto"/>
            </w:tcBorders>
          </w:tcPr>
          <w:p w14:paraId="7FE295B7" w14:textId="2C205DD8" w:rsidR="00C41063" w:rsidRPr="00FE287F" w:rsidRDefault="00DE6740"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5m</w:t>
            </w:r>
            <w:r w:rsidR="00E45FC0" w:rsidRPr="00FE287F">
              <w:rPr>
                <w:rFonts w:ascii="Times New Roman" w:hAnsi="Times New Roman" w:cs="Times New Roman"/>
                <w:sz w:val="20"/>
                <w:szCs w:val="20"/>
              </w:rPr>
              <w:t>L</w:t>
            </w:r>
            <w:r w:rsidRPr="00FE287F">
              <w:rPr>
                <w:rFonts w:ascii="Times New Roman" w:hAnsi="Times New Roman" w:cs="Times New Roman"/>
                <w:sz w:val="20"/>
                <w:szCs w:val="20"/>
              </w:rPr>
              <w:t xml:space="preserve"> of water</w:t>
            </w:r>
            <w:r w:rsidR="00327736" w:rsidRPr="00FE287F">
              <w:rPr>
                <w:rFonts w:ascii="Times New Roman" w:hAnsi="Times New Roman" w:cs="Times New Roman"/>
                <w:sz w:val="20"/>
                <w:szCs w:val="20"/>
              </w:rPr>
              <w:t xml:space="preserve">, sonicate for 1 hour, shake </w:t>
            </w:r>
            <w:r w:rsidR="00927518">
              <w:rPr>
                <w:rFonts w:ascii="Times New Roman" w:hAnsi="Times New Roman" w:cs="Times New Roman"/>
                <w:sz w:val="20"/>
                <w:szCs w:val="20"/>
              </w:rPr>
              <w:t xml:space="preserve">for </w:t>
            </w:r>
            <w:r w:rsidR="00327736" w:rsidRPr="00FE287F">
              <w:rPr>
                <w:rFonts w:ascii="Times New Roman" w:hAnsi="Times New Roman" w:cs="Times New Roman"/>
                <w:sz w:val="20"/>
                <w:szCs w:val="20"/>
              </w:rPr>
              <w:t>12 hour</w:t>
            </w:r>
            <w:r w:rsidR="004D0A9D" w:rsidRPr="00FE287F">
              <w:rPr>
                <w:rFonts w:ascii="Times New Roman" w:hAnsi="Times New Roman" w:cs="Times New Roman"/>
                <w:sz w:val="20"/>
                <w:szCs w:val="20"/>
              </w:rPr>
              <w:t>. Get supernatant, add 5g NaCl, 1ml of HCl (6mol/</w:t>
            </w:r>
            <w:r w:rsidR="00E45FC0" w:rsidRPr="00FE287F">
              <w:rPr>
                <w:rFonts w:ascii="Times New Roman" w:hAnsi="Times New Roman" w:cs="Times New Roman"/>
                <w:sz w:val="20"/>
                <w:szCs w:val="20"/>
              </w:rPr>
              <w:t>L</w:t>
            </w:r>
            <w:r w:rsidR="004D0A9D" w:rsidRPr="00FE287F">
              <w:rPr>
                <w:rFonts w:ascii="Times New Roman" w:hAnsi="Times New Roman" w:cs="Times New Roman"/>
                <w:sz w:val="20"/>
                <w:szCs w:val="20"/>
              </w:rPr>
              <w:t>), 50mg of Na2S2O5</w:t>
            </w:r>
            <w:r w:rsidR="00E83E3A" w:rsidRPr="00FE287F">
              <w:rPr>
                <w:rFonts w:ascii="Times New Roman" w:hAnsi="Times New Roman" w:cs="Times New Roman"/>
                <w:sz w:val="20"/>
                <w:szCs w:val="20"/>
              </w:rPr>
              <w:t xml:space="preserve"> and 5m</w:t>
            </w:r>
            <w:r w:rsidR="00E45FC0" w:rsidRPr="00FE287F">
              <w:rPr>
                <w:rFonts w:ascii="Times New Roman" w:hAnsi="Times New Roman" w:cs="Times New Roman"/>
                <w:sz w:val="20"/>
                <w:szCs w:val="20"/>
              </w:rPr>
              <w:t>L</w:t>
            </w:r>
            <w:r w:rsidR="00E83E3A" w:rsidRPr="00FE287F">
              <w:rPr>
                <w:rFonts w:ascii="Times New Roman" w:hAnsi="Times New Roman" w:cs="Times New Roman"/>
                <w:sz w:val="20"/>
                <w:szCs w:val="20"/>
              </w:rPr>
              <w:t xml:space="preserve"> of diethyl:acetonitrile (1:1 v/v)</w:t>
            </w:r>
            <w:r w:rsidR="00685F34" w:rsidRPr="00FE287F">
              <w:rPr>
                <w:rFonts w:ascii="Times New Roman" w:hAnsi="Times New Roman" w:cs="Times New Roman"/>
                <w:sz w:val="20"/>
                <w:szCs w:val="20"/>
              </w:rPr>
              <w:t xml:space="preserve"> (two times).</w:t>
            </w:r>
            <w:r w:rsidR="006315BA" w:rsidRPr="00FE287F">
              <w:rPr>
                <w:rFonts w:ascii="Times New Roman" w:hAnsi="Times New Roman" w:cs="Times New Roman"/>
                <w:sz w:val="20"/>
                <w:szCs w:val="20"/>
              </w:rPr>
              <w:t xml:space="preserve"> </w:t>
            </w:r>
            <w:r w:rsidR="00927518">
              <w:rPr>
                <w:rFonts w:ascii="Times New Roman" w:hAnsi="Times New Roman" w:cs="Times New Roman"/>
                <w:sz w:val="20"/>
                <w:szCs w:val="20"/>
              </w:rPr>
              <w:t>The c</w:t>
            </w:r>
            <w:r w:rsidR="006315BA" w:rsidRPr="00FE287F">
              <w:rPr>
                <w:rFonts w:ascii="Times New Roman" w:hAnsi="Times New Roman" w:cs="Times New Roman"/>
                <w:sz w:val="20"/>
                <w:szCs w:val="20"/>
              </w:rPr>
              <w:t>oncentrated extract was subjected to derivatization.</w:t>
            </w:r>
          </w:p>
        </w:tc>
        <w:tc>
          <w:tcPr>
            <w:tcW w:w="2610" w:type="dxa"/>
            <w:tcBorders>
              <w:top w:val="single" w:sz="4" w:space="0" w:color="auto"/>
              <w:bottom w:val="single" w:sz="4" w:space="0" w:color="auto"/>
            </w:tcBorders>
          </w:tcPr>
          <w:p w14:paraId="329690C2" w14:textId="452F58AB" w:rsidR="00C41063" w:rsidRPr="00FE287F" w:rsidRDefault="007A5650"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Pass extracts through</w:t>
            </w:r>
            <w:r w:rsidR="006315BA" w:rsidRPr="00FE287F">
              <w:rPr>
                <w:rFonts w:ascii="Times New Roman" w:hAnsi="Times New Roman" w:cs="Times New Roman"/>
                <w:sz w:val="20"/>
                <w:szCs w:val="20"/>
              </w:rPr>
              <w:t xml:space="preserve"> </w:t>
            </w:r>
            <w:r w:rsidR="00073646" w:rsidRPr="00FE287F">
              <w:rPr>
                <w:rFonts w:ascii="Times New Roman" w:hAnsi="Times New Roman" w:cs="Times New Roman"/>
                <w:sz w:val="20"/>
                <w:szCs w:val="20"/>
              </w:rPr>
              <w:t>solid phase of 3g florisil, 1g of bondesil-PSA and 0.5 g of anhydrous sodium sulfate</w:t>
            </w:r>
            <w:r w:rsidR="00DC2652" w:rsidRPr="00FE287F">
              <w:rPr>
                <w:rFonts w:ascii="Times New Roman" w:hAnsi="Times New Roman" w:cs="Times New Roman"/>
                <w:sz w:val="20"/>
                <w:szCs w:val="20"/>
              </w:rPr>
              <w:t>.</w:t>
            </w:r>
            <w:r w:rsidR="00B71836" w:rsidRPr="00FE287F">
              <w:rPr>
                <w:rFonts w:ascii="Times New Roman" w:hAnsi="Times New Roman" w:cs="Times New Roman"/>
                <w:sz w:val="20"/>
                <w:szCs w:val="20"/>
              </w:rPr>
              <w:t xml:space="preserve"> Wash with 5m</w:t>
            </w:r>
            <w:r w:rsidR="00E45FC0" w:rsidRPr="00FE287F">
              <w:rPr>
                <w:rFonts w:ascii="Times New Roman" w:hAnsi="Times New Roman" w:cs="Times New Roman"/>
                <w:sz w:val="20"/>
                <w:szCs w:val="20"/>
              </w:rPr>
              <w:t>L</w:t>
            </w:r>
            <w:r w:rsidR="00B71836" w:rsidRPr="00FE287F">
              <w:rPr>
                <w:rFonts w:ascii="Times New Roman" w:hAnsi="Times New Roman" w:cs="Times New Roman"/>
                <w:sz w:val="20"/>
                <w:szCs w:val="20"/>
              </w:rPr>
              <w:t xml:space="preserve"> of acetone:n-hexane (2:98, v/v). Elute with 5m</w:t>
            </w:r>
            <w:r w:rsidR="00E45FC0" w:rsidRPr="00FE287F">
              <w:rPr>
                <w:rFonts w:ascii="Times New Roman" w:hAnsi="Times New Roman" w:cs="Times New Roman"/>
                <w:sz w:val="20"/>
                <w:szCs w:val="20"/>
              </w:rPr>
              <w:t>L</w:t>
            </w:r>
            <w:r w:rsidR="00B71836" w:rsidRPr="00FE287F">
              <w:rPr>
                <w:rFonts w:ascii="Times New Roman" w:hAnsi="Times New Roman" w:cs="Times New Roman"/>
                <w:sz w:val="20"/>
                <w:szCs w:val="20"/>
              </w:rPr>
              <w:t xml:space="preserve"> of acetone: n-hexane (15:85, v/v).</w:t>
            </w:r>
          </w:p>
        </w:tc>
        <w:tc>
          <w:tcPr>
            <w:tcW w:w="900" w:type="dxa"/>
            <w:tcBorders>
              <w:top w:val="single" w:sz="4" w:space="0" w:color="auto"/>
              <w:bottom w:val="single" w:sz="4" w:space="0" w:color="auto"/>
            </w:tcBorders>
          </w:tcPr>
          <w:p w14:paraId="553C1EF1"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PFBBr</w:t>
            </w:r>
          </w:p>
        </w:tc>
        <w:tc>
          <w:tcPr>
            <w:tcW w:w="1260" w:type="dxa"/>
            <w:tcBorders>
              <w:top w:val="single" w:sz="4" w:space="0" w:color="auto"/>
              <w:bottom w:val="single" w:sz="4" w:space="0" w:color="auto"/>
            </w:tcBorders>
          </w:tcPr>
          <w:p w14:paraId="7E7BF3CA"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GC/MS</w:t>
            </w:r>
          </w:p>
        </w:tc>
        <w:tc>
          <w:tcPr>
            <w:tcW w:w="1350" w:type="dxa"/>
            <w:tcBorders>
              <w:top w:val="single" w:sz="4" w:space="0" w:color="auto"/>
              <w:bottom w:val="single" w:sz="4" w:space="0" w:color="auto"/>
            </w:tcBorders>
          </w:tcPr>
          <w:p w14:paraId="5D76D77A" w14:textId="20587E4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Margariti</w:t>
            </w:r>
            <w:r w:rsidR="00860930" w:rsidRPr="00FE287F">
              <w:rPr>
                <w:rFonts w:ascii="Times New Roman" w:hAnsi="Times New Roman" w:cs="Times New Roman"/>
                <w:sz w:val="20"/>
                <w:szCs w:val="20"/>
              </w:rPr>
              <w:t xml:space="preserve"> et al</w:t>
            </w:r>
          </w:p>
          <w:p w14:paraId="74449054" w14:textId="325CF37B" w:rsidR="00860930" w:rsidRPr="00FE287F" w:rsidRDefault="00860930"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fldChar w:fldCharType="begin"/>
            </w:r>
            <w:r w:rsidR="00AF689C">
              <w:rPr>
                <w:rFonts w:ascii="Times New Roman" w:hAnsi="Times New Roman" w:cs="Times New Roman"/>
                <w:sz w:val="20"/>
                <w:szCs w:val="20"/>
              </w:rPr>
              <w:instrText xml:space="preserve"> ADDIN ZOTERO_ITEM CSL_CITATION {"citationID":"aOmAwuCk","properties":{"formattedCitation":"[15]","plainCitation":"[15]","noteIndex":0},"citationItems":[{"id":1138,"uris":["http://zotero.org/users/4879172/items/CS49VFSZ"],"itemData":{"id":1138,"type":"article-journal","abstract":"The aim of our study was to develop and validate an analytical approach for the quantitative determination of three dialkyl phosphate (DAP) metabolites, dimethyl phosphate (DMP), dimethyl thiophosphate (DMTP) and diethyl phosphate (DEP), of organophosphate pesticides (OPs) in hair samples. The proposed methodology comprises a decontamination step, solid-liquid extraction, followed by liquid-liquid extraction, pentafluorobenzyl bromide derivatization, clean-up on Florisil/PSA column and analysis by gas chromatography-mass spectrometry (GC-MS). Extraction recovery, obtained from 50 mg hair samples spiked at two concentration levels, ranged from 56.1 to 107.9% and the within-day precision ranged from 13.5 to 17.5%. Limits of detection (LODs) ranged from 0.02 to 0.10 ng mg(-1). The results obtained from the analysis of hair samples of 30 agricultural workers show the suitability of the proposed method for monitoring people occupationally exposed to OPs. The most frequently detected compound was DEP followed by DMP. This is the first report on the detection of dialkyl phosphates in human hair which reflects the ability of hair testing to assess chronic exposure to OPs.","container-title":"Biomarkers: Biochemical Indicators of Exposure, Response, and Susceptibility to Chemicals","DOI":"10.1080/13547500902792912","ISSN":"1366-5804","issue":"3","journalAbbreviation":"Biomarkers","language":"eng","note":"PMID: 19399659","page":"137-147","source":"PubMed","title":"Analysis of dialkyl phosphate metabolites in hair using gas chromatography-mass spectrometry: a biomarker of chronic exposure to organophosphate pesticides","title-short":"Analysis of dialkyl phosphate metabolites in hair using gas chromatography-mass spectrometry","volume":"14","author":[{"family":"Margariti","given":"Maria G."},{"family":"Tsatsakis","given":"Aristidis M."}],"issued":{"date-parts":[["2009",5]]}}}],"schema":"https://github.com/citation-style-language/schema/raw/master/csl-citation.json"} </w:instrText>
            </w:r>
            <w:r w:rsidRPr="00FE287F">
              <w:rPr>
                <w:rFonts w:ascii="Times New Roman" w:hAnsi="Times New Roman" w:cs="Times New Roman"/>
                <w:sz w:val="20"/>
                <w:szCs w:val="20"/>
              </w:rPr>
              <w:fldChar w:fldCharType="separate"/>
            </w:r>
            <w:r w:rsidR="00AF689C" w:rsidRPr="00AF689C">
              <w:rPr>
                <w:rFonts w:ascii="Times New Roman" w:hAnsi="Times New Roman" w:cs="Times New Roman"/>
                <w:sz w:val="20"/>
              </w:rPr>
              <w:t>[15]</w:t>
            </w:r>
            <w:r w:rsidRPr="00FE287F">
              <w:rPr>
                <w:rFonts w:ascii="Times New Roman" w:hAnsi="Times New Roman" w:cs="Times New Roman"/>
                <w:sz w:val="20"/>
                <w:szCs w:val="20"/>
              </w:rPr>
              <w:fldChar w:fldCharType="end"/>
            </w:r>
          </w:p>
        </w:tc>
      </w:tr>
      <w:tr w:rsidR="00FE287F" w:rsidRPr="00FE287F" w14:paraId="6C5C8C68" w14:textId="77777777" w:rsidTr="00EE2C29">
        <w:trPr>
          <w:trHeight w:val="690"/>
        </w:trPr>
        <w:tc>
          <w:tcPr>
            <w:tcW w:w="2335" w:type="dxa"/>
            <w:tcBorders>
              <w:top w:val="single" w:sz="4" w:space="0" w:color="auto"/>
              <w:bottom w:val="single" w:sz="4" w:space="0" w:color="auto"/>
            </w:tcBorders>
          </w:tcPr>
          <w:p w14:paraId="171F3B21"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DMP,</w:t>
            </w:r>
            <w:r w:rsidR="00732821" w:rsidRPr="00FE287F">
              <w:rPr>
                <w:rFonts w:ascii="Times New Roman" w:hAnsi="Times New Roman" w:cs="Times New Roman"/>
                <w:sz w:val="20"/>
                <w:szCs w:val="20"/>
              </w:rPr>
              <w:t xml:space="preserve"> </w:t>
            </w:r>
            <w:r w:rsidRPr="00FE287F">
              <w:rPr>
                <w:rFonts w:ascii="Times New Roman" w:hAnsi="Times New Roman" w:cs="Times New Roman"/>
                <w:sz w:val="20"/>
                <w:szCs w:val="20"/>
              </w:rPr>
              <w:t>DEP,</w:t>
            </w:r>
            <w:r w:rsidR="00732821" w:rsidRPr="00FE287F">
              <w:rPr>
                <w:rFonts w:ascii="Times New Roman" w:hAnsi="Times New Roman" w:cs="Times New Roman"/>
                <w:sz w:val="20"/>
                <w:szCs w:val="20"/>
              </w:rPr>
              <w:t xml:space="preserve"> </w:t>
            </w:r>
            <w:r w:rsidRPr="00FE287F">
              <w:rPr>
                <w:rFonts w:ascii="Times New Roman" w:hAnsi="Times New Roman" w:cs="Times New Roman"/>
                <w:sz w:val="20"/>
                <w:szCs w:val="20"/>
              </w:rPr>
              <w:t>DETP,</w:t>
            </w:r>
            <w:r w:rsidR="00732821" w:rsidRPr="00FE287F">
              <w:rPr>
                <w:rFonts w:ascii="Times New Roman" w:hAnsi="Times New Roman" w:cs="Times New Roman"/>
                <w:sz w:val="20"/>
                <w:szCs w:val="20"/>
              </w:rPr>
              <w:t xml:space="preserve"> </w:t>
            </w:r>
            <w:r w:rsidRPr="00FE287F">
              <w:rPr>
                <w:rFonts w:ascii="Times New Roman" w:hAnsi="Times New Roman" w:cs="Times New Roman"/>
                <w:sz w:val="20"/>
                <w:szCs w:val="20"/>
              </w:rPr>
              <w:t>DEDTP</w:t>
            </w:r>
          </w:p>
        </w:tc>
        <w:tc>
          <w:tcPr>
            <w:tcW w:w="1710" w:type="dxa"/>
            <w:tcBorders>
              <w:top w:val="single" w:sz="4" w:space="0" w:color="auto"/>
              <w:bottom w:val="single" w:sz="4" w:space="0" w:color="auto"/>
            </w:tcBorders>
          </w:tcPr>
          <w:p w14:paraId="242C1E6E" w14:textId="77777777" w:rsidR="00C41063" w:rsidRPr="00FE287F" w:rsidRDefault="006C68EF"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 xml:space="preserve">Wash </w:t>
            </w:r>
            <w:r w:rsidR="00F6126F" w:rsidRPr="00FE287F">
              <w:rPr>
                <w:rFonts w:ascii="Times New Roman" w:hAnsi="Times New Roman" w:cs="Times New Roman"/>
                <w:sz w:val="20"/>
                <w:szCs w:val="20"/>
              </w:rPr>
              <w:t>twice with water and then methanol</w:t>
            </w:r>
          </w:p>
        </w:tc>
        <w:tc>
          <w:tcPr>
            <w:tcW w:w="3240" w:type="dxa"/>
            <w:tcBorders>
              <w:top w:val="single" w:sz="4" w:space="0" w:color="auto"/>
              <w:bottom w:val="single" w:sz="4" w:space="0" w:color="auto"/>
            </w:tcBorders>
          </w:tcPr>
          <w:p w14:paraId="4B9839B4" w14:textId="1B642258" w:rsidR="00C41063" w:rsidRPr="00FE287F" w:rsidRDefault="00E7160D"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 xml:space="preserve"> </w:t>
            </w:r>
            <w:r w:rsidR="00BA56C0" w:rsidRPr="00FE287F">
              <w:rPr>
                <w:rFonts w:ascii="Times New Roman" w:hAnsi="Times New Roman" w:cs="Times New Roman"/>
                <w:sz w:val="20"/>
                <w:szCs w:val="20"/>
              </w:rPr>
              <w:t>2m</w:t>
            </w:r>
            <w:r w:rsidR="00E45FC0" w:rsidRPr="00FE287F">
              <w:rPr>
                <w:rFonts w:ascii="Times New Roman" w:hAnsi="Times New Roman" w:cs="Times New Roman"/>
                <w:sz w:val="20"/>
                <w:szCs w:val="20"/>
              </w:rPr>
              <w:t>L</w:t>
            </w:r>
            <w:r w:rsidR="00BA56C0" w:rsidRPr="00FE287F">
              <w:rPr>
                <w:rFonts w:ascii="Times New Roman" w:hAnsi="Times New Roman" w:cs="Times New Roman"/>
                <w:sz w:val="20"/>
                <w:szCs w:val="20"/>
              </w:rPr>
              <w:t xml:space="preserve"> of methanol for 50mg hair; </w:t>
            </w:r>
            <w:r w:rsidR="00A35966" w:rsidRPr="00FE287F">
              <w:rPr>
                <w:rFonts w:ascii="Times New Roman" w:hAnsi="Times New Roman" w:cs="Times New Roman"/>
                <w:sz w:val="20"/>
                <w:szCs w:val="20"/>
              </w:rPr>
              <w:t>incubate in</w:t>
            </w:r>
            <w:r w:rsidR="00F30E90">
              <w:rPr>
                <w:rFonts w:ascii="Times New Roman" w:hAnsi="Times New Roman" w:cs="Times New Roman"/>
                <w:sz w:val="20"/>
                <w:szCs w:val="20"/>
              </w:rPr>
              <w:t xml:space="preserve"> an</w:t>
            </w:r>
            <w:r w:rsidR="00A35966" w:rsidRPr="00FE287F">
              <w:rPr>
                <w:rFonts w:ascii="Times New Roman" w:hAnsi="Times New Roman" w:cs="Times New Roman"/>
                <w:sz w:val="20"/>
                <w:szCs w:val="20"/>
              </w:rPr>
              <w:t xml:space="preserve"> ultrasonic bath for 4hrs, </w:t>
            </w:r>
            <w:r w:rsidR="00B47A1B" w:rsidRPr="00FE287F">
              <w:rPr>
                <w:rFonts w:ascii="Times New Roman" w:hAnsi="Times New Roman" w:cs="Times New Roman"/>
                <w:sz w:val="20"/>
                <w:szCs w:val="20"/>
              </w:rPr>
              <w:t>centrifuge</w:t>
            </w:r>
            <w:r w:rsidR="005457BE" w:rsidRPr="00FE287F">
              <w:rPr>
                <w:rFonts w:ascii="Times New Roman" w:hAnsi="Times New Roman" w:cs="Times New Roman"/>
                <w:sz w:val="20"/>
                <w:szCs w:val="20"/>
              </w:rPr>
              <w:t xml:space="preserve">. </w:t>
            </w:r>
            <w:r w:rsidR="00F30E90">
              <w:rPr>
                <w:rFonts w:ascii="Times New Roman" w:hAnsi="Times New Roman" w:cs="Times New Roman"/>
                <w:sz w:val="20"/>
                <w:szCs w:val="20"/>
              </w:rPr>
              <w:t>The</w:t>
            </w:r>
            <w:r w:rsidR="00E8371F">
              <w:rPr>
                <w:rFonts w:ascii="Times New Roman" w:hAnsi="Times New Roman" w:cs="Times New Roman"/>
                <w:sz w:val="20"/>
                <w:szCs w:val="20"/>
              </w:rPr>
              <w:t xml:space="preserve"> s</w:t>
            </w:r>
            <w:r w:rsidR="005457BE" w:rsidRPr="00FE287F">
              <w:rPr>
                <w:rFonts w:ascii="Times New Roman" w:hAnsi="Times New Roman" w:cs="Times New Roman"/>
                <w:sz w:val="20"/>
                <w:szCs w:val="20"/>
              </w:rPr>
              <w:t xml:space="preserve">upernatant was filtered </w:t>
            </w:r>
            <w:r w:rsidR="00E8371F">
              <w:rPr>
                <w:rFonts w:ascii="Times New Roman" w:hAnsi="Times New Roman" w:cs="Times New Roman"/>
                <w:sz w:val="20"/>
                <w:szCs w:val="20"/>
              </w:rPr>
              <w:t>before</w:t>
            </w:r>
            <w:r w:rsidR="005457BE" w:rsidRPr="00FE287F">
              <w:rPr>
                <w:rFonts w:ascii="Times New Roman" w:hAnsi="Times New Roman" w:cs="Times New Roman"/>
                <w:sz w:val="20"/>
                <w:szCs w:val="20"/>
              </w:rPr>
              <w:t xml:space="preserve"> derivatization step. </w:t>
            </w:r>
            <w:r w:rsidR="00FA2202" w:rsidRPr="00FE287F">
              <w:rPr>
                <w:rFonts w:ascii="Times New Roman" w:hAnsi="Times New Roman" w:cs="Times New Roman"/>
                <w:sz w:val="20"/>
                <w:szCs w:val="20"/>
              </w:rPr>
              <w:t xml:space="preserve">Derivatized extracts were </w:t>
            </w:r>
            <w:r w:rsidR="00D060C7" w:rsidRPr="00FE287F">
              <w:rPr>
                <w:rFonts w:ascii="Times New Roman" w:hAnsi="Times New Roman" w:cs="Times New Roman"/>
                <w:sz w:val="20"/>
                <w:szCs w:val="20"/>
              </w:rPr>
              <w:t>concentrated and reconstituted in toluene.</w:t>
            </w:r>
          </w:p>
        </w:tc>
        <w:tc>
          <w:tcPr>
            <w:tcW w:w="2610" w:type="dxa"/>
            <w:tcBorders>
              <w:top w:val="single" w:sz="4" w:space="0" w:color="auto"/>
              <w:bottom w:val="single" w:sz="4" w:space="0" w:color="auto"/>
            </w:tcBorders>
          </w:tcPr>
          <w:p w14:paraId="29EA7CC4" w14:textId="77777777" w:rsidR="00C41063" w:rsidRPr="00FE287F" w:rsidRDefault="00D060C7"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No</w:t>
            </w:r>
          </w:p>
        </w:tc>
        <w:tc>
          <w:tcPr>
            <w:tcW w:w="900" w:type="dxa"/>
            <w:tcBorders>
              <w:top w:val="single" w:sz="4" w:space="0" w:color="auto"/>
              <w:bottom w:val="single" w:sz="4" w:space="0" w:color="auto"/>
            </w:tcBorders>
          </w:tcPr>
          <w:p w14:paraId="23C144E5"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PFBBr</w:t>
            </w:r>
          </w:p>
        </w:tc>
        <w:tc>
          <w:tcPr>
            <w:tcW w:w="1260" w:type="dxa"/>
            <w:tcBorders>
              <w:top w:val="single" w:sz="4" w:space="0" w:color="auto"/>
              <w:bottom w:val="single" w:sz="4" w:space="0" w:color="auto"/>
            </w:tcBorders>
          </w:tcPr>
          <w:p w14:paraId="487CC8ED"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GC/MS</w:t>
            </w:r>
          </w:p>
        </w:tc>
        <w:tc>
          <w:tcPr>
            <w:tcW w:w="1350" w:type="dxa"/>
            <w:tcBorders>
              <w:top w:val="single" w:sz="4" w:space="0" w:color="auto"/>
              <w:bottom w:val="single" w:sz="4" w:space="0" w:color="auto"/>
            </w:tcBorders>
          </w:tcPr>
          <w:p w14:paraId="63955745" w14:textId="4D5E3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Tsatsaki</w:t>
            </w:r>
            <w:r w:rsidR="00732821" w:rsidRPr="00FE287F">
              <w:rPr>
                <w:rFonts w:ascii="Times New Roman" w:hAnsi="Times New Roman" w:cs="Times New Roman"/>
                <w:sz w:val="20"/>
                <w:szCs w:val="20"/>
              </w:rPr>
              <w:t>s</w:t>
            </w:r>
            <w:r w:rsidR="00860930" w:rsidRPr="00FE287F">
              <w:rPr>
                <w:rFonts w:ascii="Times New Roman" w:hAnsi="Times New Roman" w:cs="Times New Roman"/>
                <w:sz w:val="20"/>
                <w:szCs w:val="20"/>
              </w:rPr>
              <w:t xml:space="preserve"> et al</w:t>
            </w:r>
          </w:p>
          <w:p w14:paraId="76350DBA" w14:textId="2431C18A" w:rsidR="00860930" w:rsidRPr="00FE287F" w:rsidRDefault="00860930"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fldChar w:fldCharType="begin"/>
            </w:r>
            <w:r w:rsidR="00AF689C">
              <w:rPr>
                <w:rFonts w:ascii="Times New Roman" w:hAnsi="Times New Roman" w:cs="Times New Roman"/>
                <w:sz w:val="20"/>
                <w:szCs w:val="20"/>
              </w:rPr>
              <w:instrText xml:space="preserve"> ADDIN ZOTERO_ITEM CSL_CITATION {"citationID":"bMEZxfFw","properties":{"formattedCitation":"[18]","plainCitation":"[18]","noteIndex":0},"citationItems":[{"id":330,"uris":["http://zotero.org/users/4879172/items/59RGN6T8"],"itemData":{"id":330,"type":"article-journal","abstract":"A new, simple, fast and sensitive method that enables the measurement of four dialkyl phosphates (DAPs) in human head hair is presented in the current study. The dialkyl phosphates, dimethyl phosphate (DMP), diethyl phosphate (DEP), diethyl thiophosphate (DETP) and diethyl dithiophosphate (DEDTP) are non-selective metabolites of the organophosphate pesticides (OPs). The extraction of DAPs from hair matrix was achieved by one step methanolic extraction. Head hair samples from general population and population occupationally exposed to OPs were analysed using gas chromatography–mass spectrometry (GC–MS) after derivatization with pentafluorobenzylbromide. The recovery of the target compounds was estimated at 84.3% for DMP, 116.1% for DEP, 109.0% for DETP and 91.5% for DEDTP. The limit of quantitation (LOQ) and detection (LOD) was 20 and 6pg/mg for DMP, 10 and 5pg/mg for DEP and DETP and 5 and 3pg/mg for DEDTP, respectively. With-run and between-run precision as well as accuracy was estimated. The percentage of positive hair samples for DMP, DEP, DETP and DEDTP for the group of general population was 63.0%, 96.3%, 66.7%, and 70.4% respectively. The samples from the group with occupational exposure were positive for all dialkyl phosphates analysed. The median concentrations for DMP were 165.0 and 181.7pg/mg, for DEP were 51.2 and 812.9pg/mg, for DETP were 54.0 and 660.1pg/mg, and for DEDTP were 40.0 and 60.6pg/mg for the general population group and the group with occupational exposure respectively. Significant differences in the levels of the total dialkyl phosphates amongst exposed and not exposed groups were observed (p&lt;0.001). More specifically, the total ethyl phosphate (DEPs) and DAPs median concentrations were 119.5 and 301.5pg/mg for the general population group and 1498.8 and 1694.4pg/mg for the group with occupational exposure.","collection-title":"BIOANALYSIS OF ORGANOPHOSPHORUS TOXICANTS AND CORRESPONDING ANTIDOTES","container-title":"Journal of Chromatography B","DOI":"10.1016/j.jchromb.2010.02.021","ISSN":"1570-0232","issue":"17","journalAbbreviation":"Journal of Chromatography B","language":"en","page":"1246-1252","source":"ScienceDirect","title":"Determination of dialkyl phosphates in human hair for the biomonitoring of exposure to organophosphate pesticides","volume":"878","author":[{"family":"Tsatsakis","given":"A. M."},{"family":"Barbounis","given":"M. G."},{"family":"Kavalakis","given":"M."},{"family":"Kokkinakis","given":"M."},{"family":"Terzi","given":"I."},{"family":"Tzatzarakis","given":"M. N."}],"issued":{"date-parts":[["2010",5,15]]}}}],"schema":"https://github.com/citation-style-language/schema/raw/master/csl-citation.json"} </w:instrText>
            </w:r>
            <w:r w:rsidRPr="00FE287F">
              <w:rPr>
                <w:rFonts w:ascii="Times New Roman" w:hAnsi="Times New Roman" w:cs="Times New Roman"/>
                <w:sz w:val="20"/>
                <w:szCs w:val="20"/>
              </w:rPr>
              <w:fldChar w:fldCharType="separate"/>
            </w:r>
            <w:r w:rsidR="00AF689C" w:rsidRPr="00AF689C">
              <w:rPr>
                <w:rFonts w:ascii="Times New Roman" w:hAnsi="Times New Roman" w:cs="Times New Roman"/>
                <w:sz w:val="20"/>
              </w:rPr>
              <w:t>[18]</w:t>
            </w:r>
            <w:r w:rsidRPr="00FE287F">
              <w:rPr>
                <w:rFonts w:ascii="Times New Roman" w:hAnsi="Times New Roman" w:cs="Times New Roman"/>
                <w:sz w:val="20"/>
                <w:szCs w:val="20"/>
              </w:rPr>
              <w:fldChar w:fldCharType="end"/>
            </w:r>
          </w:p>
        </w:tc>
      </w:tr>
      <w:tr w:rsidR="00FE287F" w:rsidRPr="00FE287F" w14:paraId="2957E64F" w14:textId="77777777" w:rsidTr="00EE2C29">
        <w:trPr>
          <w:trHeight w:val="725"/>
        </w:trPr>
        <w:tc>
          <w:tcPr>
            <w:tcW w:w="2335" w:type="dxa"/>
            <w:tcBorders>
              <w:top w:val="single" w:sz="4" w:space="0" w:color="auto"/>
              <w:bottom w:val="single" w:sz="4" w:space="0" w:color="auto"/>
            </w:tcBorders>
          </w:tcPr>
          <w:p w14:paraId="35836B17"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DMP,</w:t>
            </w:r>
            <w:r w:rsidR="00732821" w:rsidRPr="00FE287F">
              <w:rPr>
                <w:rFonts w:ascii="Times New Roman" w:hAnsi="Times New Roman" w:cs="Times New Roman"/>
                <w:sz w:val="20"/>
                <w:szCs w:val="20"/>
              </w:rPr>
              <w:t xml:space="preserve"> </w:t>
            </w:r>
            <w:r w:rsidRPr="00FE287F">
              <w:rPr>
                <w:rFonts w:ascii="Times New Roman" w:hAnsi="Times New Roman" w:cs="Times New Roman"/>
                <w:sz w:val="20"/>
                <w:szCs w:val="20"/>
              </w:rPr>
              <w:t>DMTP,</w:t>
            </w:r>
            <w:r w:rsidR="00732821" w:rsidRPr="00FE287F">
              <w:rPr>
                <w:rFonts w:ascii="Times New Roman" w:hAnsi="Times New Roman" w:cs="Times New Roman"/>
                <w:sz w:val="20"/>
                <w:szCs w:val="20"/>
              </w:rPr>
              <w:t xml:space="preserve"> </w:t>
            </w:r>
            <w:r w:rsidRPr="00FE287F">
              <w:rPr>
                <w:rFonts w:ascii="Times New Roman" w:hAnsi="Times New Roman" w:cs="Times New Roman"/>
                <w:sz w:val="20"/>
                <w:szCs w:val="20"/>
              </w:rPr>
              <w:t>DMDTP,</w:t>
            </w:r>
            <w:r w:rsidR="00732821" w:rsidRPr="00FE287F">
              <w:rPr>
                <w:rFonts w:ascii="Times New Roman" w:hAnsi="Times New Roman" w:cs="Times New Roman"/>
                <w:sz w:val="20"/>
                <w:szCs w:val="20"/>
              </w:rPr>
              <w:t xml:space="preserve"> </w:t>
            </w:r>
            <w:r w:rsidRPr="00FE287F">
              <w:rPr>
                <w:rFonts w:ascii="Times New Roman" w:hAnsi="Times New Roman" w:cs="Times New Roman"/>
                <w:sz w:val="20"/>
                <w:szCs w:val="20"/>
              </w:rPr>
              <w:t>DEP,</w:t>
            </w:r>
            <w:r w:rsidR="00732821" w:rsidRPr="00FE287F">
              <w:rPr>
                <w:rFonts w:ascii="Times New Roman" w:hAnsi="Times New Roman" w:cs="Times New Roman"/>
                <w:sz w:val="20"/>
                <w:szCs w:val="20"/>
              </w:rPr>
              <w:t xml:space="preserve"> </w:t>
            </w:r>
            <w:r w:rsidRPr="00FE287F">
              <w:rPr>
                <w:rFonts w:ascii="Times New Roman" w:hAnsi="Times New Roman" w:cs="Times New Roman"/>
                <w:sz w:val="20"/>
                <w:szCs w:val="20"/>
              </w:rPr>
              <w:t>DETP,</w:t>
            </w:r>
            <w:r w:rsidR="00732821" w:rsidRPr="00FE287F">
              <w:rPr>
                <w:rFonts w:ascii="Times New Roman" w:hAnsi="Times New Roman" w:cs="Times New Roman"/>
                <w:sz w:val="20"/>
                <w:szCs w:val="20"/>
              </w:rPr>
              <w:t xml:space="preserve"> </w:t>
            </w:r>
            <w:r w:rsidRPr="00FE287F">
              <w:rPr>
                <w:rFonts w:ascii="Times New Roman" w:hAnsi="Times New Roman" w:cs="Times New Roman"/>
                <w:sz w:val="20"/>
                <w:szCs w:val="20"/>
              </w:rPr>
              <w:t>DEDTP, and others</w:t>
            </w:r>
          </w:p>
        </w:tc>
        <w:tc>
          <w:tcPr>
            <w:tcW w:w="1710" w:type="dxa"/>
            <w:tcBorders>
              <w:top w:val="single" w:sz="4" w:space="0" w:color="auto"/>
              <w:bottom w:val="single" w:sz="4" w:space="0" w:color="auto"/>
            </w:tcBorders>
          </w:tcPr>
          <w:p w14:paraId="0DB02E32" w14:textId="77777777" w:rsidR="00C41063" w:rsidRPr="00FE287F" w:rsidRDefault="00F6126F"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Wash with water and then acetonitrile</w:t>
            </w:r>
          </w:p>
        </w:tc>
        <w:tc>
          <w:tcPr>
            <w:tcW w:w="3240" w:type="dxa"/>
            <w:tcBorders>
              <w:top w:val="single" w:sz="4" w:space="0" w:color="auto"/>
              <w:bottom w:val="single" w:sz="4" w:space="0" w:color="auto"/>
            </w:tcBorders>
          </w:tcPr>
          <w:p w14:paraId="3AE8E9AA" w14:textId="4EB6A168" w:rsidR="00C41063" w:rsidRPr="00FE287F" w:rsidRDefault="009124A8"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1m</w:t>
            </w:r>
            <w:r w:rsidR="00E45FC0" w:rsidRPr="00FE287F">
              <w:rPr>
                <w:rFonts w:ascii="Times New Roman" w:hAnsi="Times New Roman" w:cs="Times New Roman"/>
                <w:sz w:val="20"/>
                <w:szCs w:val="20"/>
              </w:rPr>
              <w:t>L</w:t>
            </w:r>
            <w:r w:rsidRPr="00FE287F">
              <w:rPr>
                <w:rFonts w:ascii="Times New Roman" w:hAnsi="Times New Roman" w:cs="Times New Roman"/>
                <w:sz w:val="20"/>
                <w:szCs w:val="20"/>
              </w:rPr>
              <w:t xml:space="preserve"> of </w:t>
            </w:r>
            <w:r w:rsidR="009D02F6" w:rsidRPr="00FE287F">
              <w:rPr>
                <w:rFonts w:ascii="Times New Roman" w:hAnsi="Times New Roman" w:cs="Times New Roman"/>
                <w:sz w:val="20"/>
                <w:szCs w:val="20"/>
              </w:rPr>
              <w:t>acetonitrile/water (80:20) and shake overnight at 40C</w:t>
            </w:r>
            <w:r w:rsidR="004301A8" w:rsidRPr="00FE287F">
              <w:rPr>
                <w:rFonts w:ascii="Times New Roman" w:hAnsi="Times New Roman" w:cs="Times New Roman"/>
                <w:sz w:val="20"/>
                <w:szCs w:val="20"/>
              </w:rPr>
              <w:t>. The mixture was centrifuged</w:t>
            </w:r>
            <w:r w:rsidR="00DA5AC5" w:rsidRPr="00FE287F">
              <w:rPr>
                <w:rFonts w:ascii="Times New Roman" w:hAnsi="Times New Roman" w:cs="Times New Roman"/>
                <w:sz w:val="20"/>
                <w:szCs w:val="20"/>
              </w:rPr>
              <w:t>. 300</w:t>
            </w:r>
            <w:r w:rsidR="00E45FC0" w:rsidRPr="00FE287F">
              <w:rPr>
                <w:rFonts w:ascii="Times New Roman" w:hAnsi="Times New Roman" w:cs="Times New Roman"/>
                <w:sz w:val="20"/>
                <w:szCs w:val="20"/>
              </w:rPr>
              <w:t>µL</w:t>
            </w:r>
            <w:r w:rsidR="00DA5AC5" w:rsidRPr="00FE287F">
              <w:rPr>
                <w:rFonts w:ascii="Times New Roman" w:hAnsi="Times New Roman" w:cs="Times New Roman"/>
                <w:sz w:val="20"/>
                <w:szCs w:val="20"/>
              </w:rPr>
              <w:t xml:space="preserve"> of supernatant was evaporated, then </w:t>
            </w:r>
            <w:r w:rsidR="009861ED" w:rsidRPr="00FE287F">
              <w:rPr>
                <w:rFonts w:ascii="Times New Roman" w:hAnsi="Times New Roman" w:cs="Times New Roman"/>
                <w:sz w:val="20"/>
                <w:szCs w:val="20"/>
              </w:rPr>
              <w:t xml:space="preserve">derivatized. The derivatized solution was </w:t>
            </w:r>
            <w:r w:rsidR="00E2468E" w:rsidRPr="00FE287F">
              <w:rPr>
                <w:rFonts w:ascii="Times New Roman" w:hAnsi="Times New Roman" w:cs="Times New Roman"/>
                <w:sz w:val="20"/>
                <w:szCs w:val="20"/>
              </w:rPr>
              <w:t>concentrated and reconstituted in ethyl acetate</w:t>
            </w:r>
            <w:r w:rsidR="00BC5A71" w:rsidRPr="00FE287F">
              <w:rPr>
                <w:rFonts w:ascii="Times New Roman" w:hAnsi="Times New Roman" w:cs="Times New Roman"/>
                <w:sz w:val="20"/>
                <w:szCs w:val="20"/>
              </w:rPr>
              <w:t xml:space="preserve">. </w:t>
            </w:r>
          </w:p>
        </w:tc>
        <w:tc>
          <w:tcPr>
            <w:tcW w:w="2610" w:type="dxa"/>
            <w:tcBorders>
              <w:top w:val="single" w:sz="4" w:space="0" w:color="auto"/>
              <w:bottom w:val="single" w:sz="4" w:space="0" w:color="auto"/>
            </w:tcBorders>
          </w:tcPr>
          <w:p w14:paraId="1458ECC3" w14:textId="539A88DC" w:rsidR="00C41063" w:rsidRPr="00FE287F" w:rsidRDefault="00935668"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The solution was centrifuged to remove particle</w:t>
            </w:r>
            <w:r w:rsidR="00E8371F">
              <w:rPr>
                <w:rFonts w:ascii="Times New Roman" w:hAnsi="Times New Roman" w:cs="Times New Roman"/>
                <w:sz w:val="20"/>
                <w:szCs w:val="20"/>
              </w:rPr>
              <w:t>s</w:t>
            </w:r>
            <w:r w:rsidRPr="00FE287F">
              <w:rPr>
                <w:rFonts w:ascii="Times New Roman" w:hAnsi="Times New Roman" w:cs="Times New Roman"/>
                <w:sz w:val="20"/>
                <w:szCs w:val="20"/>
              </w:rPr>
              <w:t xml:space="preserve">. Transferred this solution to a vial, repeat concentration step to dryness and reconstitute </w:t>
            </w:r>
            <w:r w:rsidR="00E8371F">
              <w:rPr>
                <w:rFonts w:ascii="Times New Roman" w:hAnsi="Times New Roman" w:cs="Times New Roman"/>
                <w:sz w:val="20"/>
                <w:szCs w:val="20"/>
              </w:rPr>
              <w:t xml:space="preserve">the </w:t>
            </w:r>
            <w:r w:rsidRPr="00FE287F">
              <w:rPr>
                <w:rFonts w:ascii="Times New Roman" w:hAnsi="Times New Roman" w:cs="Times New Roman"/>
                <w:sz w:val="20"/>
                <w:szCs w:val="20"/>
              </w:rPr>
              <w:t>solution into 20</w:t>
            </w:r>
            <w:r w:rsidR="00E45FC0" w:rsidRPr="00FE287F">
              <w:rPr>
                <w:rFonts w:ascii="Times New Roman" w:hAnsi="Times New Roman" w:cs="Times New Roman"/>
                <w:sz w:val="20"/>
                <w:szCs w:val="20"/>
              </w:rPr>
              <w:t>µL</w:t>
            </w:r>
            <w:r w:rsidRPr="00FE287F">
              <w:rPr>
                <w:rFonts w:ascii="Times New Roman" w:hAnsi="Times New Roman" w:cs="Times New Roman"/>
                <w:sz w:val="20"/>
                <w:szCs w:val="20"/>
              </w:rPr>
              <w:t xml:space="preserve"> of ethyl acetate.</w:t>
            </w:r>
          </w:p>
        </w:tc>
        <w:tc>
          <w:tcPr>
            <w:tcW w:w="900" w:type="dxa"/>
            <w:tcBorders>
              <w:top w:val="single" w:sz="4" w:space="0" w:color="auto"/>
              <w:bottom w:val="single" w:sz="4" w:space="0" w:color="auto"/>
            </w:tcBorders>
          </w:tcPr>
          <w:p w14:paraId="327FABB0"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PFBBr</w:t>
            </w:r>
          </w:p>
        </w:tc>
        <w:tc>
          <w:tcPr>
            <w:tcW w:w="1260" w:type="dxa"/>
            <w:tcBorders>
              <w:top w:val="single" w:sz="4" w:space="0" w:color="auto"/>
              <w:bottom w:val="single" w:sz="4" w:space="0" w:color="auto"/>
            </w:tcBorders>
          </w:tcPr>
          <w:p w14:paraId="66EA5747"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GC/MS</w:t>
            </w:r>
          </w:p>
        </w:tc>
        <w:tc>
          <w:tcPr>
            <w:tcW w:w="1350" w:type="dxa"/>
            <w:tcBorders>
              <w:top w:val="single" w:sz="4" w:space="0" w:color="auto"/>
              <w:bottom w:val="single" w:sz="4" w:space="0" w:color="auto"/>
            </w:tcBorders>
          </w:tcPr>
          <w:p w14:paraId="47231E8D" w14:textId="3B1F8401"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Hardy</w:t>
            </w:r>
            <w:r w:rsidR="00860930" w:rsidRPr="00FE287F">
              <w:rPr>
                <w:rFonts w:ascii="Times New Roman" w:hAnsi="Times New Roman" w:cs="Times New Roman"/>
                <w:sz w:val="20"/>
                <w:szCs w:val="20"/>
              </w:rPr>
              <w:t xml:space="preserve"> et al </w:t>
            </w:r>
            <w:r w:rsidR="00860930" w:rsidRPr="00FE287F">
              <w:rPr>
                <w:rFonts w:ascii="Times New Roman" w:hAnsi="Times New Roman" w:cs="Times New Roman"/>
                <w:sz w:val="20"/>
                <w:szCs w:val="20"/>
              </w:rPr>
              <w:fldChar w:fldCharType="begin"/>
            </w:r>
            <w:r w:rsidR="00AF689C">
              <w:rPr>
                <w:rFonts w:ascii="Times New Roman" w:hAnsi="Times New Roman" w:cs="Times New Roman"/>
                <w:sz w:val="20"/>
                <w:szCs w:val="20"/>
              </w:rPr>
              <w:instrText xml:space="preserve"> ADDIN ZOTERO_ITEM CSL_CITATION {"citationID":"K23D66Xg","properties":{"formattedCitation":"[16]","plainCitation":"[16]","noteIndex":0},"citationItems":[{"id":828,"uris":["http://zotero.org/users/4879172/items/XYVP2LPB"],"itemData":{"id":828,"type":"article-journal","abstract":"Urine being currently the most classically used matrix for the assessment of human exposure to pesticides, a growing interest is yet observed in hair analysis for the detection of organic pollutants. The aim of the present work was to develop and to validate multi-residue analytical methods, as similar as possible, in order to determine pesticides and their metabolites in these two biological matrices despite their different nature. The list of parent compounds and their metabolites investigated here consisted of 56 compounds, including organochlorines, organophosphates, pyrethroids, carbamates, other pesticides and polychlorinated biphenyls (PCBs). Two different approaches were necessary for the analysis of non-polar compounds (mainly parents) on one hand and polar analytes (mainly metabolites) on the other hand. In the final procedure, extraction from hair was carried out with acetonitrile/water after sample decontamination and pulverization. Extract was split into two fractions, which were analyzed directly with solid phase microextraction (SPME) injection for non-polar compounds and after derivatization with liquid injection for polar compounds. In urine, non-polar compounds were analyzed directly using SPME. Polar compounds were analyzed after acidic hydrolysis, liquid–liquid extraction with acetonitrile–cyclohexane–ethyl acetate, derivatization and liquid injection. Analysis was performed with gas chromatography tandem mass spectrometry operating in negative chemical ionization (GC–MS/MS-NCI) for all the compounds (non-polar and polar) in the two matrices. In hair, limits of quantification (LOQ) ranged from 0.02pg/mg for trifluralin to 5.5pg/mg for diethylphosphate. In urine, LOQ ranged from 0.4pg/mL for α-endosulfan to 4ng/mL for dimethyldithiophosphate. The analysis of samples supplemented with standards and samples collected from an animal previously submitted to chronic exposure to pesticides confirmed that all the compounds were analyzable in both hair and urine. In addition, the levels of sensitivity reached with these methods were quite satisfactory with regard to previously published studies, and also considering the number of compounds investigated.","container-title":"Forensic Science International","DOI":"10.1016/j.forsciint.2014.12.003","ISSN":"0379-0738","journalAbbreviation":"Forensic Science International","language":"en","page":"6-19","source":"ScienceDirect","title":"Multi-residue analysis of organic pollutants in hair and urine for matrices comparison","volume":"249","author":[{"family":"Hardy","given":"Emilie M."},{"family":"Duca","given":"Radu C."},{"family":"Salquebre","given":"Guillaume"},{"family":"Appenzeller","given":"Brice M. R."}],"issued":{"date-parts":[["2015",4,1]]}}}],"schema":"https://github.com/citation-style-language/schema/raw/master/csl-citation.json"} </w:instrText>
            </w:r>
            <w:r w:rsidR="00860930" w:rsidRPr="00FE287F">
              <w:rPr>
                <w:rFonts w:ascii="Times New Roman" w:hAnsi="Times New Roman" w:cs="Times New Roman"/>
                <w:sz w:val="20"/>
                <w:szCs w:val="20"/>
              </w:rPr>
              <w:fldChar w:fldCharType="separate"/>
            </w:r>
            <w:r w:rsidR="00AF689C" w:rsidRPr="00AF689C">
              <w:rPr>
                <w:rFonts w:ascii="Times New Roman" w:hAnsi="Times New Roman" w:cs="Times New Roman"/>
                <w:sz w:val="20"/>
              </w:rPr>
              <w:t>[16]</w:t>
            </w:r>
            <w:r w:rsidR="00860930" w:rsidRPr="00FE287F">
              <w:rPr>
                <w:rFonts w:ascii="Times New Roman" w:hAnsi="Times New Roman" w:cs="Times New Roman"/>
                <w:sz w:val="20"/>
                <w:szCs w:val="20"/>
              </w:rPr>
              <w:fldChar w:fldCharType="end"/>
            </w:r>
          </w:p>
        </w:tc>
      </w:tr>
      <w:tr w:rsidR="00C41063" w:rsidRPr="00FE287F" w14:paraId="6F780C8A" w14:textId="77777777" w:rsidTr="00EE2C29">
        <w:trPr>
          <w:trHeight w:val="725"/>
        </w:trPr>
        <w:tc>
          <w:tcPr>
            <w:tcW w:w="2335" w:type="dxa"/>
            <w:tcBorders>
              <w:top w:val="single" w:sz="4" w:space="0" w:color="auto"/>
              <w:bottom w:val="single" w:sz="4" w:space="0" w:color="auto"/>
            </w:tcBorders>
          </w:tcPr>
          <w:p w14:paraId="2C2B2B6F"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DMP, DMTP, DMDTP, DEP, DETP, DEDTP</w:t>
            </w:r>
          </w:p>
        </w:tc>
        <w:tc>
          <w:tcPr>
            <w:tcW w:w="1710" w:type="dxa"/>
            <w:tcBorders>
              <w:top w:val="single" w:sz="4" w:space="0" w:color="auto"/>
              <w:bottom w:val="single" w:sz="4" w:space="0" w:color="auto"/>
            </w:tcBorders>
          </w:tcPr>
          <w:p w14:paraId="0F2E06C9" w14:textId="77777777" w:rsidR="00C41063" w:rsidRPr="00FE287F" w:rsidRDefault="00F6126F"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Wash twice with water and then methanol</w:t>
            </w:r>
          </w:p>
        </w:tc>
        <w:tc>
          <w:tcPr>
            <w:tcW w:w="3240" w:type="dxa"/>
            <w:tcBorders>
              <w:top w:val="single" w:sz="4" w:space="0" w:color="auto"/>
              <w:bottom w:val="single" w:sz="4" w:space="0" w:color="auto"/>
            </w:tcBorders>
          </w:tcPr>
          <w:p w14:paraId="73C70F1A" w14:textId="18408C78" w:rsidR="00C41063" w:rsidRPr="00FE287F" w:rsidRDefault="00935668"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1m</w:t>
            </w:r>
            <w:r w:rsidR="00E45FC0" w:rsidRPr="00FE287F">
              <w:rPr>
                <w:rFonts w:ascii="Times New Roman" w:hAnsi="Times New Roman" w:cs="Times New Roman"/>
                <w:sz w:val="20"/>
                <w:szCs w:val="20"/>
              </w:rPr>
              <w:t>L</w:t>
            </w:r>
            <w:r w:rsidRPr="00FE287F">
              <w:rPr>
                <w:rFonts w:ascii="Times New Roman" w:hAnsi="Times New Roman" w:cs="Times New Roman"/>
                <w:sz w:val="20"/>
                <w:szCs w:val="20"/>
              </w:rPr>
              <w:t xml:space="preserve"> of </w:t>
            </w:r>
            <w:r w:rsidR="007A7744" w:rsidRPr="00FE287F">
              <w:rPr>
                <w:rFonts w:ascii="Times New Roman" w:hAnsi="Times New Roman" w:cs="Times New Roman"/>
                <w:sz w:val="20"/>
                <w:szCs w:val="20"/>
              </w:rPr>
              <w:t>2% NH4OH</w:t>
            </w:r>
            <w:r w:rsidR="00AB43CF" w:rsidRPr="00FE287F">
              <w:rPr>
                <w:rFonts w:ascii="Times New Roman" w:hAnsi="Times New Roman" w:cs="Times New Roman"/>
                <w:sz w:val="20"/>
                <w:szCs w:val="20"/>
              </w:rPr>
              <w:t xml:space="preserve"> </w:t>
            </w:r>
            <w:r w:rsidR="00AB43CF">
              <w:rPr>
                <w:rFonts w:ascii="Times New Roman" w:hAnsi="Times New Roman" w:cs="Times New Roman"/>
                <w:sz w:val="20"/>
                <w:szCs w:val="20"/>
              </w:rPr>
              <w:t xml:space="preserve">in </w:t>
            </w:r>
            <w:r w:rsidR="00AB43CF" w:rsidRPr="00FE287F">
              <w:rPr>
                <w:rFonts w:ascii="Times New Roman" w:hAnsi="Times New Roman" w:cs="Times New Roman"/>
                <w:sz w:val="20"/>
                <w:szCs w:val="20"/>
              </w:rPr>
              <w:t>methanol ,</w:t>
            </w:r>
            <w:r w:rsidR="007A7744" w:rsidRPr="00FE287F">
              <w:rPr>
                <w:rFonts w:ascii="Times New Roman" w:hAnsi="Times New Roman" w:cs="Times New Roman"/>
                <w:sz w:val="20"/>
                <w:szCs w:val="20"/>
              </w:rPr>
              <w:t xml:space="preserve">; shake overnight at room temperature; </w:t>
            </w:r>
            <w:r w:rsidR="00CB7A6F" w:rsidRPr="00FE287F">
              <w:rPr>
                <w:rFonts w:ascii="Times New Roman" w:hAnsi="Times New Roman" w:cs="Times New Roman"/>
                <w:sz w:val="20"/>
                <w:szCs w:val="20"/>
              </w:rPr>
              <w:t xml:space="preserve">sonicate in </w:t>
            </w:r>
            <w:r w:rsidR="00F30E90">
              <w:rPr>
                <w:rFonts w:ascii="Times New Roman" w:hAnsi="Times New Roman" w:cs="Times New Roman"/>
                <w:sz w:val="20"/>
                <w:szCs w:val="20"/>
              </w:rPr>
              <w:t xml:space="preserve">a </w:t>
            </w:r>
            <w:r w:rsidR="00CB7A6F" w:rsidRPr="00FE287F">
              <w:rPr>
                <w:rFonts w:ascii="Times New Roman" w:hAnsi="Times New Roman" w:cs="Times New Roman"/>
                <w:sz w:val="20"/>
                <w:szCs w:val="20"/>
              </w:rPr>
              <w:t>water</w:t>
            </w:r>
            <w:r w:rsidR="00AB43CF">
              <w:rPr>
                <w:rFonts w:ascii="Times New Roman" w:hAnsi="Times New Roman" w:cs="Times New Roman"/>
                <w:sz w:val="20"/>
                <w:szCs w:val="20"/>
              </w:rPr>
              <w:t xml:space="preserve"> </w:t>
            </w:r>
            <w:r w:rsidR="00CB7A6F" w:rsidRPr="00FE287F">
              <w:rPr>
                <w:rFonts w:ascii="Times New Roman" w:hAnsi="Times New Roman" w:cs="Times New Roman"/>
                <w:sz w:val="20"/>
                <w:szCs w:val="20"/>
              </w:rPr>
              <w:t>bath at 40</w:t>
            </w:r>
            <w:r w:rsidR="00E45FC0" w:rsidRPr="00FE287F">
              <w:rPr>
                <w:rFonts w:ascii="Times New Roman" w:hAnsi="Times New Roman" w:cs="Times New Roman"/>
                <w:sz w:val="20"/>
                <w:szCs w:val="20"/>
              </w:rPr>
              <w:t>°</w:t>
            </w:r>
            <w:r w:rsidR="00CB7A6F" w:rsidRPr="00FE287F">
              <w:rPr>
                <w:rFonts w:ascii="Times New Roman" w:hAnsi="Times New Roman" w:cs="Times New Roman"/>
                <w:sz w:val="20"/>
                <w:szCs w:val="20"/>
              </w:rPr>
              <w:t>C for 1 hour. Take out 0.6m</w:t>
            </w:r>
            <w:r w:rsidR="00E45FC0" w:rsidRPr="00FE287F">
              <w:rPr>
                <w:rFonts w:ascii="Times New Roman" w:hAnsi="Times New Roman" w:cs="Times New Roman"/>
                <w:sz w:val="20"/>
                <w:szCs w:val="20"/>
              </w:rPr>
              <w:t>L</w:t>
            </w:r>
            <w:r w:rsidR="00CB7A6F" w:rsidRPr="00FE287F">
              <w:rPr>
                <w:rFonts w:ascii="Times New Roman" w:hAnsi="Times New Roman" w:cs="Times New Roman"/>
                <w:sz w:val="20"/>
                <w:szCs w:val="20"/>
              </w:rPr>
              <w:t xml:space="preserve"> of extract</w:t>
            </w:r>
            <w:r w:rsidR="00CC609A" w:rsidRPr="00FE287F">
              <w:rPr>
                <w:rFonts w:ascii="Times New Roman" w:hAnsi="Times New Roman" w:cs="Times New Roman"/>
                <w:sz w:val="20"/>
                <w:szCs w:val="20"/>
              </w:rPr>
              <w:t>. Concentrate the extract to dryness. Reconstitute in 150</w:t>
            </w:r>
            <w:r w:rsidR="00E45FC0" w:rsidRPr="00FE287F">
              <w:rPr>
                <w:rFonts w:ascii="Times New Roman" w:hAnsi="Times New Roman" w:cs="Times New Roman"/>
                <w:sz w:val="20"/>
                <w:szCs w:val="20"/>
              </w:rPr>
              <w:t>µL</w:t>
            </w:r>
            <w:r w:rsidR="00CC609A" w:rsidRPr="00FE287F">
              <w:rPr>
                <w:rFonts w:ascii="Times New Roman" w:hAnsi="Times New Roman" w:cs="Times New Roman"/>
                <w:sz w:val="20"/>
                <w:szCs w:val="20"/>
              </w:rPr>
              <w:t xml:space="preserve"> of methanol</w:t>
            </w:r>
            <w:r w:rsidR="00F3084B" w:rsidRPr="00FE287F">
              <w:rPr>
                <w:rFonts w:ascii="Times New Roman" w:hAnsi="Times New Roman" w:cs="Times New Roman"/>
                <w:sz w:val="20"/>
                <w:szCs w:val="20"/>
              </w:rPr>
              <w:t xml:space="preserve">. </w:t>
            </w:r>
          </w:p>
        </w:tc>
        <w:tc>
          <w:tcPr>
            <w:tcW w:w="2610" w:type="dxa"/>
            <w:tcBorders>
              <w:top w:val="single" w:sz="4" w:space="0" w:color="auto"/>
              <w:bottom w:val="single" w:sz="4" w:space="0" w:color="auto"/>
            </w:tcBorders>
          </w:tcPr>
          <w:p w14:paraId="369B6097" w14:textId="0C98A4A6" w:rsidR="00C41063" w:rsidRPr="00FE287F" w:rsidRDefault="00F3084B"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 xml:space="preserve">Centrifuge the solution to remove the </w:t>
            </w:r>
            <w:r w:rsidR="00017449" w:rsidRPr="00FE287F">
              <w:rPr>
                <w:rFonts w:ascii="Times New Roman" w:hAnsi="Times New Roman" w:cs="Times New Roman"/>
                <w:sz w:val="20"/>
                <w:szCs w:val="20"/>
              </w:rPr>
              <w:t>solid and particle</w:t>
            </w:r>
            <w:r w:rsidR="00E8371F">
              <w:rPr>
                <w:rFonts w:ascii="Times New Roman" w:hAnsi="Times New Roman" w:cs="Times New Roman"/>
                <w:sz w:val="20"/>
                <w:szCs w:val="20"/>
              </w:rPr>
              <w:t>s</w:t>
            </w:r>
            <w:r w:rsidR="00017449" w:rsidRPr="00FE287F">
              <w:rPr>
                <w:rFonts w:ascii="Times New Roman" w:hAnsi="Times New Roman" w:cs="Times New Roman"/>
                <w:sz w:val="20"/>
                <w:szCs w:val="20"/>
              </w:rPr>
              <w:t>. Transferred the ex</w:t>
            </w:r>
            <w:r w:rsidR="0068634B" w:rsidRPr="00FE287F">
              <w:rPr>
                <w:rFonts w:ascii="Times New Roman" w:hAnsi="Times New Roman" w:cs="Times New Roman"/>
                <w:sz w:val="20"/>
                <w:szCs w:val="20"/>
              </w:rPr>
              <w:t xml:space="preserve">tract to filter vials. </w:t>
            </w:r>
          </w:p>
        </w:tc>
        <w:tc>
          <w:tcPr>
            <w:tcW w:w="900" w:type="dxa"/>
            <w:tcBorders>
              <w:top w:val="single" w:sz="4" w:space="0" w:color="auto"/>
              <w:bottom w:val="single" w:sz="4" w:space="0" w:color="auto"/>
            </w:tcBorders>
          </w:tcPr>
          <w:p w14:paraId="01D55C59"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no</w:t>
            </w:r>
          </w:p>
        </w:tc>
        <w:tc>
          <w:tcPr>
            <w:tcW w:w="1260" w:type="dxa"/>
            <w:tcBorders>
              <w:top w:val="single" w:sz="4" w:space="0" w:color="auto"/>
              <w:bottom w:val="single" w:sz="4" w:space="0" w:color="auto"/>
            </w:tcBorders>
          </w:tcPr>
          <w:p w14:paraId="144D6DDC"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LC</w:t>
            </w:r>
            <w:r w:rsidR="004C7747" w:rsidRPr="00FE287F">
              <w:rPr>
                <w:rFonts w:ascii="Times New Roman" w:hAnsi="Times New Roman" w:cs="Times New Roman"/>
                <w:sz w:val="20"/>
                <w:szCs w:val="20"/>
              </w:rPr>
              <w:t>-</w:t>
            </w:r>
            <w:r w:rsidRPr="00FE287F">
              <w:rPr>
                <w:rFonts w:ascii="Times New Roman" w:hAnsi="Times New Roman" w:cs="Times New Roman"/>
                <w:sz w:val="20"/>
                <w:szCs w:val="20"/>
              </w:rPr>
              <w:t>MS</w:t>
            </w:r>
            <w:r w:rsidR="004C7747" w:rsidRPr="00FE287F">
              <w:rPr>
                <w:rFonts w:ascii="Times New Roman" w:hAnsi="Times New Roman" w:cs="Times New Roman"/>
                <w:sz w:val="20"/>
                <w:szCs w:val="20"/>
              </w:rPr>
              <w:t>/MS</w:t>
            </w:r>
          </w:p>
          <w:p w14:paraId="71446D7D" w14:textId="6B633D49" w:rsidR="004C7747" w:rsidRPr="00FE287F" w:rsidRDefault="004C7747"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ESI(-)</w:t>
            </w:r>
          </w:p>
        </w:tc>
        <w:tc>
          <w:tcPr>
            <w:tcW w:w="1350" w:type="dxa"/>
            <w:tcBorders>
              <w:top w:val="single" w:sz="4" w:space="0" w:color="auto"/>
              <w:bottom w:val="single" w:sz="4" w:space="0" w:color="auto"/>
            </w:tcBorders>
          </w:tcPr>
          <w:p w14:paraId="6929463A" w14:textId="77777777" w:rsidR="00C41063" w:rsidRPr="00FE287F" w:rsidRDefault="00C41063" w:rsidP="00456B63">
            <w:pPr>
              <w:pStyle w:val="ListParagraph"/>
              <w:ind w:left="0"/>
              <w:jc w:val="both"/>
              <w:rPr>
                <w:rFonts w:ascii="Times New Roman" w:hAnsi="Times New Roman" w:cs="Times New Roman"/>
                <w:sz w:val="20"/>
                <w:szCs w:val="20"/>
              </w:rPr>
            </w:pPr>
            <w:r w:rsidRPr="00FE287F">
              <w:rPr>
                <w:rFonts w:ascii="Times New Roman" w:hAnsi="Times New Roman" w:cs="Times New Roman"/>
                <w:sz w:val="20"/>
                <w:szCs w:val="20"/>
              </w:rPr>
              <w:t>This study</w:t>
            </w:r>
          </w:p>
        </w:tc>
      </w:tr>
    </w:tbl>
    <w:p w14:paraId="39FD58E6" w14:textId="77777777" w:rsidR="00EC0D45" w:rsidRDefault="00EC0D45" w:rsidP="009F4FC0">
      <w:pPr>
        <w:spacing w:before="120" w:after="120" w:line="240" w:lineRule="auto"/>
        <w:ind w:right="288"/>
        <w:jc w:val="both"/>
        <w:rPr>
          <w:rFonts w:ascii="Times New Roman" w:hAnsi="Times New Roman" w:cs="Times New Roman"/>
          <w:sz w:val="24"/>
          <w:szCs w:val="24"/>
        </w:rPr>
      </w:pPr>
    </w:p>
    <w:p w14:paraId="461382C9"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1AA0E12A"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34F7DD99"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63E43AAF" w14:textId="77777777" w:rsidR="00135447" w:rsidRPr="00FE287F" w:rsidRDefault="00135447" w:rsidP="00135447">
      <w:pPr>
        <w:pStyle w:val="ListParagraph"/>
        <w:spacing w:before="120" w:after="120"/>
        <w:jc w:val="both"/>
        <w:rPr>
          <w:rFonts w:ascii="Times New Roman" w:hAnsi="Times New Roman" w:cs="Times New Roman"/>
          <w:sz w:val="24"/>
          <w:szCs w:val="24"/>
        </w:rPr>
      </w:pPr>
      <w:r w:rsidRPr="00FE287F">
        <w:rPr>
          <w:rFonts w:ascii="Times New Roman" w:hAnsi="Times New Roman" w:cs="Times New Roman"/>
          <w:sz w:val="24"/>
          <w:szCs w:val="24"/>
        </w:rPr>
        <w:lastRenderedPageBreak/>
        <w:t xml:space="preserve">Table </w:t>
      </w:r>
      <w:r>
        <w:rPr>
          <w:rFonts w:ascii="Times New Roman" w:hAnsi="Times New Roman" w:cs="Times New Roman"/>
          <w:sz w:val="24"/>
          <w:szCs w:val="24"/>
        </w:rPr>
        <w:t>S2</w:t>
      </w:r>
      <w:r w:rsidRPr="00FE287F">
        <w:rPr>
          <w:rFonts w:ascii="Times New Roman" w:hAnsi="Times New Roman" w:cs="Times New Roman"/>
          <w:sz w:val="24"/>
          <w:szCs w:val="24"/>
        </w:rPr>
        <w:t xml:space="preserve">: Comparing limit of detection LOD (pg/mg) of different hair analysis methods. Our current method provides satisfactory sensitivity. </w:t>
      </w:r>
    </w:p>
    <w:tbl>
      <w:tblPr>
        <w:tblStyle w:val="TableGrid"/>
        <w:tblW w:w="6893" w:type="dxa"/>
        <w:tblInd w:w="1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1378"/>
        <w:gridCol w:w="1379"/>
        <w:gridCol w:w="1379"/>
        <w:gridCol w:w="1379"/>
      </w:tblGrid>
      <w:tr w:rsidR="00135447" w:rsidRPr="00FE287F" w14:paraId="3C17C19C" w14:textId="77777777" w:rsidTr="00951707">
        <w:trPr>
          <w:trHeight w:val="785"/>
        </w:trPr>
        <w:tc>
          <w:tcPr>
            <w:tcW w:w="1378" w:type="dxa"/>
            <w:tcBorders>
              <w:top w:val="single" w:sz="4" w:space="0" w:color="auto"/>
              <w:bottom w:val="single" w:sz="4" w:space="0" w:color="auto"/>
            </w:tcBorders>
          </w:tcPr>
          <w:p w14:paraId="45AC45C8" w14:textId="77777777" w:rsidR="00135447" w:rsidRPr="00FE287F" w:rsidRDefault="00135447" w:rsidP="00951707">
            <w:pPr>
              <w:pStyle w:val="ListParagraph"/>
              <w:spacing w:before="120" w:after="120"/>
              <w:ind w:left="0"/>
              <w:jc w:val="both"/>
              <w:rPr>
                <w:rFonts w:ascii="Times New Roman" w:hAnsi="Times New Roman" w:cs="Times New Roman"/>
                <w:sz w:val="24"/>
                <w:szCs w:val="24"/>
              </w:rPr>
            </w:pPr>
          </w:p>
        </w:tc>
        <w:tc>
          <w:tcPr>
            <w:tcW w:w="1378" w:type="dxa"/>
            <w:tcBorders>
              <w:top w:val="single" w:sz="4" w:space="0" w:color="auto"/>
              <w:bottom w:val="single" w:sz="4" w:space="0" w:color="auto"/>
            </w:tcBorders>
          </w:tcPr>
          <w:p w14:paraId="7CFDED4F"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This study</w:t>
            </w:r>
          </w:p>
        </w:tc>
        <w:tc>
          <w:tcPr>
            <w:tcW w:w="1379" w:type="dxa"/>
            <w:tcBorders>
              <w:top w:val="single" w:sz="4" w:space="0" w:color="auto"/>
              <w:bottom w:val="single" w:sz="4" w:space="0" w:color="auto"/>
            </w:tcBorders>
          </w:tcPr>
          <w:p w14:paraId="3485DFDE"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{"citationID":"cwzqWAbz","properties":{"formattedCitation":"[18]","plainCitation":"[18]","noteIndex":0},"citationItems":[{"id":330,"uris":["http://zotero.org/users/4879172/items/59RGN6T8"],"itemData":{"id":330,"type":"article-journal","abstract":"A new, simple, fast and sensitive method that enables the measurement of four dialkyl phosphates (DAPs) in human head hair is presented in the current study. The dialkyl phosphates, dimethyl phosphate (DMP), diethyl phosphate (DEP), diethyl thiophosphate (DETP) and diethyl dithiophosphate (DEDTP) are non-selective metabolites of the organophosphate pesticides (OPs). The extraction of DAPs from hair matrix was achieved by one step methanolic extraction. Head hair samples from general population and population occupationally exposed to OPs were analysed using gas chromatography–mass spectrometry (GC–MS) after derivatization with pentafluorobenzylbromide. The recovery of the target compounds was estimated at 84.3% for DMP, 116.1% for DEP, 109.0% for DETP and 91.5% for DEDTP. The limit of quantitation (LOQ) and detection (LOD) was 20 and 6pg/mg for DMP, 10 and 5pg/mg for DEP and DETP and 5 and 3pg/mg for DEDTP, respectively. With-run and between-run precision as well as accuracy was estimated. The percentage of positive hair samples for DMP, DEP, DETP and DEDTP for the group of general population was 63.0%, 96.3%, 66.7%, and 70.4% respectively. The samples from the group with occupational exposure were positive for all dialkyl phosphates analysed. The median concentrations for DMP were 165.0 and 181.7pg/mg, for DEP were 51.2 and 812.9pg/mg, for DETP were 54.0 and 660.1pg/mg, and for DEDTP were 40.0 and 60.6pg/mg for the general population group and the group with occupational exposure respectively. Significant differences in the levels of the total dialkyl phosphates amongst exposed and not exposed groups were observed (p&lt;0.001). More specifically, the total ethyl phosphate (DEPs) and DAPs median concentrations were 119.5 and 301.5pg/mg for the general population group and 1498.8 and 1694.4pg/mg for the group with occupational exposure.","collection-title":"BIOANALYSIS OF ORGANOPHOSPHORUS TOXICANTS AND CORRESPONDING ANTIDOTES","container-title":"Journal of Chromatography B","DOI":"10.1016/j.jchromb.2010.02.021","ISSN":"1570-0232","issue":"17","journalAbbreviation":"Journal of Chromatography B","language":"en","page":"1246-1252","source":"ScienceDirect","title":"Determination of dialkyl phosphates in human hair for the biomonitoring of exposure to organophosphate pesticides","volume":"878","author":[{"family":"Tsatsakis","given":"A. M."},{"family":"Barbounis","given":"M. G."},{"family":"Kavalakis","given":"M."},{"family":"Kokkinakis","given":"M."},{"family":"Terzi","given":"I."},{"family":"Tzatzarakis","given":"M. N."}],"issued":{"date-parts":[["2010",5,15]]}}}],"schema":"https://github.com/citation-style-language/schema/raw/master/csl-citation.json"} </w:instrText>
            </w:r>
            <w:r w:rsidRPr="00FE287F">
              <w:rPr>
                <w:rFonts w:ascii="Times New Roman" w:hAnsi="Times New Roman" w:cs="Times New Roman"/>
                <w:sz w:val="24"/>
                <w:szCs w:val="24"/>
              </w:rPr>
              <w:fldChar w:fldCharType="separate"/>
            </w:r>
            <w:r w:rsidRPr="00AF689C">
              <w:rPr>
                <w:rFonts w:ascii="Times New Roman" w:hAnsi="Times New Roman" w:cs="Times New Roman"/>
                <w:sz w:val="24"/>
              </w:rPr>
              <w:t>[18]</w:t>
            </w:r>
            <w:r w:rsidRPr="00FE287F">
              <w:rPr>
                <w:rFonts w:ascii="Times New Roman" w:hAnsi="Times New Roman" w:cs="Times New Roman"/>
                <w:sz w:val="24"/>
                <w:szCs w:val="24"/>
              </w:rPr>
              <w:fldChar w:fldCharType="end"/>
            </w:r>
          </w:p>
        </w:tc>
        <w:tc>
          <w:tcPr>
            <w:tcW w:w="1379" w:type="dxa"/>
            <w:tcBorders>
              <w:top w:val="single" w:sz="4" w:space="0" w:color="auto"/>
              <w:bottom w:val="single" w:sz="4" w:space="0" w:color="auto"/>
            </w:tcBorders>
          </w:tcPr>
          <w:p w14:paraId="0EEA1E58"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 xml:space="preserve"> </w:t>
            </w:r>
            <w:r w:rsidRPr="00FE287F">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{"citationID":"nmIYO08s","properties":{"formattedCitation":"[16]","plainCitation":"[16]","noteIndex":0},"citationItems":[{"id":828,"uris":["http://zotero.org/users/4879172/items/XYVP2LPB"],"itemData":{"id":828,"type":"article-journal","abstract":"Urine being currently the most classically used matrix for the assessment of human exposure to pesticides, a growing interest is yet observed in hair analysis for the detection of organic pollutants. The aim of the present work was to develop and to validate multi-residue analytical methods, as similar as possible, in order to determine pesticides and their metabolites in these two biological matrices despite their different nature. The list of parent compounds and their metabolites investigated here consisted of 56 compounds, including organochlorines, organophosphates, pyrethroids, carbamates, other pesticides and polychlorinated biphenyls (PCBs). Two different approaches were necessary for the analysis of non-polar compounds (mainly parents) on one hand and polar analytes (mainly metabolites) on the other hand. In the final procedure, extraction from hair was carried out with acetonitrile/water after sample decontamination and pulverization. Extract was split into two fractions, which were analyzed directly with solid phase microextraction (SPME) injection for non-polar compounds and after derivatization with liquid injection for polar compounds. In urine, non-polar compounds were analyzed directly using SPME. Polar compounds were analyzed after acidic hydrolysis, liquid–liquid extraction with acetonitrile–cyclohexane–ethyl acetate, derivatization and liquid injection. Analysis was performed with gas chromatography tandem mass spectrometry operating in negative chemical ionization (GC–MS/MS-NCI) for all the compounds (non-polar and polar) in the two matrices. In hair, limits of quantification (LOQ) ranged from 0.02pg/mg for trifluralin to 5.5pg/mg for diethylphosphate. In urine, LOQ ranged from 0.4pg/mL for α-endosulfan to 4ng/mL for dimethyldithiophosphate. The analysis of samples supplemented with standards and samples collected from an animal previously submitted to chronic exposure to pesticides confirmed that all the compounds were analyzable in both hair and urine. In addition, the levels of sensitivity reached with these methods were quite satisfactory with regard to previously published studies, and also considering the number of compounds investigated.","container-title":"Forensic Science International","DOI":"10.1016/j.forsciint.2014.12.003","ISSN":"0379-0738","journalAbbreviation":"Forensic Science International","language":"en","page":"6-19","source":"ScienceDirect","title":"Multi-residue analysis of organic pollutants in hair and urine for matrices comparison","volume":"249","author":[{"family":"Hardy","given":"Emilie M."},{"family":"Duca","given":"Radu C."},{"family":"Salquebre","given":"Guillaume"},{"family":"Appenzeller","given":"Brice M. R."}],"issued":{"date-parts":[["2015",4,1]]}}}],"schema":"https://github.com/citation-style-language/schema/raw/master/csl-citation.json"} </w:instrText>
            </w:r>
            <w:r w:rsidRPr="00FE287F">
              <w:rPr>
                <w:rFonts w:ascii="Times New Roman" w:hAnsi="Times New Roman" w:cs="Times New Roman"/>
                <w:sz w:val="24"/>
                <w:szCs w:val="24"/>
              </w:rPr>
              <w:fldChar w:fldCharType="separate"/>
            </w:r>
            <w:r w:rsidRPr="00AF689C">
              <w:rPr>
                <w:rFonts w:ascii="Times New Roman" w:hAnsi="Times New Roman" w:cs="Times New Roman"/>
                <w:sz w:val="24"/>
              </w:rPr>
              <w:t>[16]</w:t>
            </w:r>
            <w:r w:rsidRPr="00FE287F">
              <w:rPr>
                <w:rFonts w:ascii="Times New Roman" w:hAnsi="Times New Roman" w:cs="Times New Roman"/>
                <w:sz w:val="24"/>
                <w:szCs w:val="24"/>
              </w:rPr>
              <w:fldChar w:fldCharType="end"/>
            </w:r>
          </w:p>
        </w:tc>
        <w:tc>
          <w:tcPr>
            <w:tcW w:w="1379" w:type="dxa"/>
            <w:tcBorders>
              <w:top w:val="single" w:sz="4" w:space="0" w:color="auto"/>
              <w:bottom w:val="single" w:sz="4" w:space="0" w:color="auto"/>
            </w:tcBorders>
          </w:tcPr>
          <w:p w14:paraId="469ACF83"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{"citationID":"EzdrrymD","properties":{"formattedCitation":"[15]","plainCitation":"[15]","noteIndex":0},"citationItems":[{"id":1138,"uris":["http://zotero.org/users/4879172/items/CS49VFSZ"],"itemData":{"id":1138,"type":"article-journal","abstract":"The aim of our study was to develop and validate an analytical approach for the quantitative determination of three dialkyl phosphate (DAP) metabolites, dimethyl phosphate (DMP), dimethyl thiophosphate (DMTP) and diethyl phosphate (DEP), of organophosphate pesticides (OPs) in hair samples. The proposed methodology comprises a decontamination step, solid-liquid extraction, followed by liquid-liquid extraction, pentafluorobenzyl bromide derivatization, clean-up on Florisil/PSA column and analysis by gas chromatography-mass spectrometry (GC-MS). Extraction recovery, obtained from 50 mg hair samples spiked at two concentration levels, ranged from 56.1 to 107.9% and the within-day precision ranged from 13.5 to 17.5%. Limits of detection (LODs) ranged from 0.02 to 0.10 ng mg(-1). The results obtained from the analysis of hair samples of 30 agricultural workers show the suitability of the proposed method for monitoring people occupationally exposed to OPs. The most frequently detected compound was DEP followed by DMP. This is the first report on the detection of dialkyl phosphates in human hair which reflects the ability of hair testing to assess chronic exposure to OPs.","container-title":"Biomarkers: Biochemical Indicators of Exposure, Response, and Susceptibility to Chemicals","DOI":"10.1080/13547500902792912","ISSN":"1366-5804","issue":"3","journalAbbreviation":"Biomarkers","language":"eng","note":"PMID: 19399659","page":"137-147","source":"PubMed","title":"Analysis of dialkyl phosphate metabolites in hair using gas chromatography-mass spectrometry: a biomarker of chronic exposure to organophosphate pesticides","title-short":"Analysis of dialkyl phosphate metabolites in hair using gas chromatography-mass spectrometry","volume":"14","author":[{"family":"Margariti","given":"Maria G."},{"family":"Tsatsakis","given":"Aristidis M."}],"issued":{"date-parts":[["2009",5]]}}}],"schema":"https://github.com/citation-style-language/schema/raw/master/csl-citation.json"} </w:instrText>
            </w:r>
            <w:r w:rsidRPr="00FE287F">
              <w:rPr>
                <w:rFonts w:ascii="Times New Roman" w:hAnsi="Times New Roman" w:cs="Times New Roman"/>
                <w:sz w:val="24"/>
                <w:szCs w:val="24"/>
              </w:rPr>
              <w:fldChar w:fldCharType="separate"/>
            </w:r>
            <w:r w:rsidRPr="00AF689C">
              <w:rPr>
                <w:rFonts w:ascii="Times New Roman" w:hAnsi="Times New Roman" w:cs="Times New Roman"/>
                <w:sz w:val="24"/>
              </w:rPr>
              <w:t>[15]</w:t>
            </w:r>
            <w:r w:rsidRPr="00FE287F">
              <w:rPr>
                <w:rFonts w:ascii="Times New Roman" w:hAnsi="Times New Roman" w:cs="Times New Roman"/>
                <w:sz w:val="24"/>
                <w:szCs w:val="24"/>
              </w:rPr>
              <w:fldChar w:fldCharType="end"/>
            </w:r>
          </w:p>
        </w:tc>
      </w:tr>
      <w:tr w:rsidR="00135447" w:rsidRPr="00FE287F" w14:paraId="270EE8BC" w14:textId="77777777" w:rsidTr="00951707">
        <w:trPr>
          <w:trHeight w:val="388"/>
        </w:trPr>
        <w:tc>
          <w:tcPr>
            <w:tcW w:w="1378" w:type="dxa"/>
            <w:tcBorders>
              <w:top w:val="single" w:sz="4" w:space="0" w:color="auto"/>
            </w:tcBorders>
          </w:tcPr>
          <w:p w14:paraId="766B6286" w14:textId="77777777" w:rsidR="00135447" w:rsidRPr="00FE287F" w:rsidRDefault="00135447" w:rsidP="00951707">
            <w:pPr>
              <w:pStyle w:val="ListParagraph"/>
              <w:spacing w:before="120" w:after="120"/>
              <w:ind w:left="0"/>
              <w:jc w:val="both"/>
              <w:rPr>
                <w:rFonts w:ascii="Times New Roman" w:hAnsi="Times New Roman" w:cs="Times New Roman"/>
                <w:sz w:val="24"/>
                <w:szCs w:val="24"/>
              </w:rPr>
            </w:pPr>
            <w:r w:rsidRPr="00FE287F">
              <w:rPr>
                <w:rFonts w:ascii="Times New Roman" w:hAnsi="Times New Roman" w:cs="Times New Roman"/>
                <w:sz w:val="24"/>
                <w:szCs w:val="24"/>
              </w:rPr>
              <w:t>DMP</w:t>
            </w:r>
          </w:p>
        </w:tc>
        <w:tc>
          <w:tcPr>
            <w:tcW w:w="1378" w:type="dxa"/>
            <w:tcBorders>
              <w:top w:val="single" w:sz="4" w:space="0" w:color="auto"/>
            </w:tcBorders>
          </w:tcPr>
          <w:p w14:paraId="10AF9B41"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0.82</w:t>
            </w:r>
          </w:p>
        </w:tc>
        <w:tc>
          <w:tcPr>
            <w:tcW w:w="1379" w:type="dxa"/>
            <w:tcBorders>
              <w:top w:val="single" w:sz="4" w:space="0" w:color="auto"/>
            </w:tcBorders>
          </w:tcPr>
          <w:p w14:paraId="3BE3C7BB"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6</w:t>
            </w:r>
          </w:p>
        </w:tc>
        <w:tc>
          <w:tcPr>
            <w:tcW w:w="1379" w:type="dxa"/>
            <w:tcBorders>
              <w:top w:val="single" w:sz="4" w:space="0" w:color="auto"/>
            </w:tcBorders>
          </w:tcPr>
          <w:p w14:paraId="2C7236D6"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0.5</w:t>
            </w:r>
          </w:p>
        </w:tc>
        <w:tc>
          <w:tcPr>
            <w:tcW w:w="1379" w:type="dxa"/>
            <w:tcBorders>
              <w:top w:val="single" w:sz="4" w:space="0" w:color="auto"/>
            </w:tcBorders>
          </w:tcPr>
          <w:p w14:paraId="34AE8AC8"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100</w:t>
            </w:r>
          </w:p>
        </w:tc>
      </w:tr>
      <w:tr w:rsidR="00135447" w:rsidRPr="00FE287F" w14:paraId="1FA23CD6" w14:textId="77777777" w:rsidTr="00951707">
        <w:trPr>
          <w:trHeight w:val="397"/>
        </w:trPr>
        <w:tc>
          <w:tcPr>
            <w:tcW w:w="1378" w:type="dxa"/>
          </w:tcPr>
          <w:p w14:paraId="0203321E" w14:textId="77777777" w:rsidR="00135447" w:rsidRPr="00FE287F" w:rsidRDefault="00135447" w:rsidP="00951707">
            <w:pPr>
              <w:pStyle w:val="ListParagraph"/>
              <w:spacing w:before="120" w:after="120"/>
              <w:ind w:left="0"/>
              <w:jc w:val="both"/>
              <w:rPr>
                <w:rFonts w:ascii="Times New Roman" w:hAnsi="Times New Roman" w:cs="Times New Roman"/>
                <w:sz w:val="24"/>
                <w:szCs w:val="24"/>
              </w:rPr>
            </w:pPr>
            <w:r w:rsidRPr="00FE287F">
              <w:rPr>
                <w:rFonts w:ascii="Times New Roman" w:hAnsi="Times New Roman" w:cs="Times New Roman"/>
                <w:sz w:val="24"/>
                <w:szCs w:val="24"/>
              </w:rPr>
              <w:t>DMTP</w:t>
            </w:r>
          </w:p>
        </w:tc>
        <w:tc>
          <w:tcPr>
            <w:tcW w:w="1378" w:type="dxa"/>
          </w:tcPr>
          <w:p w14:paraId="4FA656C1"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0.41</w:t>
            </w:r>
          </w:p>
        </w:tc>
        <w:tc>
          <w:tcPr>
            <w:tcW w:w="1379" w:type="dxa"/>
          </w:tcPr>
          <w:p w14:paraId="3B5B0A40" w14:textId="635DB03D" w:rsidR="00135447" w:rsidRPr="00FE287F" w:rsidRDefault="00CD635E" w:rsidP="00951707">
            <w:pPr>
              <w:pStyle w:val="ListParagraph"/>
              <w:spacing w:before="120" w:after="12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79" w:type="dxa"/>
          </w:tcPr>
          <w:p w14:paraId="2EA50574"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0.5</w:t>
            </w:r>
          </w:p>
        </w:tc>
        <w:tc>
          <w:tcPr>
            <w:tcW w:w="1379" w:type="dxa"/>
          </w:tcPr>
          <w:p w14:paraId="0BCF0291"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100</w:t>
            </w:r>
          </w:p>
        </w:tc>
      </w:tr>
      <w:tr w:rsidR="00135447" w:rsidRPr="00FE287F" w14:paraId="25EACEB0" w14:textId="77777777" w:rsidTr="00951707">
        <w:trPr>
          <w:trHeight w:val="388"/>
        </w:trPr>
        <w:tc>
          <w:tcPr>
            <w:tcW w:w="1378" w:type="dxa"/>
          </w:tcPr>
          <w:p w14:paraId="2E048E26" w14:textId="77777777" w:rsidR="00135447" w:rsidRPr="00FE287F" w:rsidRDefault="00135447" w:rsidP="00951707">
            <w:pPr>
              <w:pStyle w:val="ListParagraph"/>
              <w:spacing w:before="120" w:after="120"/>
              <w:ind w:left="0"/>
              <w:jc w:val="both"/>
              <w:rPr>
                <w:rFonts w:ascii="Times New Roman" w:hAnsi="Times New Roman" w:cs="Times New Roman"/>
                <w:sz w:val="24"/>
                <w:szCs w:val="24"/>
              </w:rPr>
            </w:pPr>
            <w:r w:rsidRPr="00FE287F">
              <w:rPr>
                <w:rFonts w:ascii="Times New Roman" w:hAnsi="Times New Roman" w:cs="Times New Roman"/>
                <w:sz w:val="24"/>
                <w:szCs w:val="24"/>
              </w:rPr>
              <w:t>DMDTP</w:t>
            </w:r>
          </w:p>
        </w:tc>
        <w:tc>
          <w:tcPr>
            <w:tcW w:w="1378" w:type="dxa"/>
          </w:tcPr>
          <w:p w14:paraId="7FCE0850"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0.3</w:t>
            </w:r>
          </w:p>
        </w:tc>
        <w:tc>
          <w:tcPr>
            <w:tcW w:w="1379" w:type="dxa"/>
          </w:tcPr>
          <w:p w14:paraId="1E21F454" w14:textId="6AD1925A" w:rsidR="00135447" w:rsidRPr="00FE287F" w:rsidRDefault="00CD635E" w:rsidP="00951707">
            <w:pPr>
              <w:pStyle w:val="ListParagraph"/>
              <w:spacing w:before="120" w:after="12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79" w:type="dxa"/>
          </w:tcPr>
          <w:p w14:paraId="17A6F962"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1.3</w:t>
            </w:r>
          </w:p>
        </w:tc>
        <w:tc>
          <w:tcPr>
            <w:tcW w:w="1379" w:type="dxa"/>
          </w:tcPr>
          <w:p w14:paraId="7BB9E749"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w:t>
            </w:r>
          </w:p>
        </w:tc>
      </w:tr>
      <w:tr w:rsidR="00135447" w:rsidRPr="00FE287F" w14:paraId="65B17557" w14:textId="77777777" w:rsidTr="00951707">
        <w:trPr>
          <w:trHeight w:val="388"/>
        </w:trPr>
        <w:tc>
          <w:tcPr>
            <w:tcW w:w="1378" w:type="dxa"/>
          </w:tcPr>
          <w:p w14:paraId="3C07F075" w14:textId="77777777" w:rsidR="00135447" w:rsidRPr="00FE287F" w:rsidRDefault="00135447" w:rsidP="00951707">
            <w:pPr>
              <w:pStyle w:val="ListParagraph"/>
              <w:spacing w:before="120" w:after="120"/>
              <w:ind w:left="0"/>
              <w:jc w:val="both"/>
              <w:rPr>
                <w:rFonts w:ascii="Times New Roman" w:hAnsi="Times New Roman" w:cs="Times New Roman"/>
                <w:sz w:val="24"/>
                <w:szCs w:val="24"/>
              </w:rPr>
            </w:pPr>
            <w:r w:rsidRPr="00FE287F">
              <w:rPr>
                <w:rFonts w:ascii="Times New Roman" w:hAnsi="Times New Roman" w:cs="Times New Roman"/>
                <w:sz w:val="24"/>
                <w:szCs w:val="24"/>
              </w:rPr>
              <w:t>DEP</w:t>
            </w:r>
          </w:p>
        </w:tc>
        <w:tc>
          <w:tcPr>
            <w:tcW w:w="1378" w:type="dxa"/>
          </w:tcPr>
          <w:p w14:paraId="17A08D07"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0.24</w:t>
            </w:r>
          </w:p>
        </w:tc>
        <w:tc>
          <w:tcPr>
            <w:tcW w:w="1379" w:type="dxa"/>
          </w:tcPr>
          <w:p w14:paraId="054EF4D4"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3</w:t>
            </w:r>
          </w:p>
        </w:tc>
        <w:tc>
          <w:tcPr>
            <w:tcW w:w="1379" w:type="dxa"/>
          </w:tcPr>
          <w:p w14:paraId="41130DBB"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5.5</w:t>
            </w:r>
          </w:p>
        </w:tc>
        <w:tc>
          <w:tcPr>
            <w:tcW w:w="1379" w:type="dxa"/>
          </w:tcPr>
          <w:p w14:paraId="130298ED"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20</w:t>
            </w:r>
          </w:p>
        </w:tc>
      </w:tr>
      <w:tr w:rsidR="00135447" w:rsidRPr="00FE287F" w14:paraId="53B19362" w14:textId="77777777" w:rsidTr="00951707">
        <w:trPr>
          <w:trHeight w:val="397"/>
        </w:trPr>
        <w:tc>
          <w:tcPr>
            <w:tcW w:w="1378" w:type="dxa"/>
          </w:tcPr>
          <w:p w14:paraId="63EF821D" w14:textId="77777777" w:rsidR="00135447" w:rsidRPr="00FE287F" w:rsidRDefault="00135447" w:rsidP="00951707">
            <w:pPr>
              <w:pStyle w:val="ListParagraph"/>
              <w:spacing w:before="120" w:after="120"/>
              <w:ind w:left="0"/>
              <w:jc w:val="both"/>
              <w:rPr>
                <w:rFonts w:ascii="Times New Roman" w:hAnsi="Times New Roman" w:cs="Times New Roman"/>
                <w:sz w:val="24"/>
                <w:szCs w:val="24"/>
              </w:rPr>
            </w:pPr>
            <w:r w:rsidRPr="00FE287F">
              <w:rPr>
                <w:rFonts w:ascii="Times New Roman" w:hAnsi="Times New Roman" w:cs="Times New Roman"/>
                <w:sz w:val="24"/>
                <w:szCs w:val="24"/>
              </w:rPr>
              <w:t>DETP</w:t>
            </w:r>
          </w:p>
        </w:tc>
        <w:tc>
          <w:tcPr>
            <w:tcW w:w="1378" w:type="dxa"/>
          </w:tcPr>
          <w:p w14:paraId="765F87DF"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0.24</w:t>
            </w:r>
          </w:p>
        </w:tc>
        <w:tc>
          <w:tcPr>
            <w:tcW w:w="1379" w:type="dxa"/>
          </w:tcPr>
          <w:p w14:paraId="49EC6115" w14:textId="674F9A17" w:rsidR="00135447" w:rsidRPr="00FE287F" w:rsidRDefault="00CD635E" w:rsidP="00951707">
            <w:pPr>
              <w:pStyle w:val="ListParagraph"/>
              <w:spacing w:before="120" w:after="12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79" w:type="dxa"/>
          </w:tcPr>
          <w:p w14:paraId="0C555233"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1.5</w:t>
            </w:r>
          </w:p>
        </w:tc>
        <w:tc>
          <w:tcPr>
            <w:tcW w:w="1379" w:type="dxa"/>
          </w:tcPr>
          <w:p w14:paraId="403F33C3"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w:t>
            </w:r>
          </w:p>
        </w:tc>
      </w:tr>
      <w:tr w:rsidR="00135447" w:rsidRPr="00FE287F" w14:paraId="41A23D22" w14:textId="77777777" w:rsidTr="00951707">
        <w:trPr>
          <w:trHeight w:val="388"/>
        </w:trPr>
        <w:tc>
          <w:tcPr>
            <w:tcW w:w="1378" w:type="dxa"/>
            <w:tcBorders>
              <w:bottom w:val="single" w:sz="4" w:space="0" w:color="auto"/>
            </w:tcBorders>
          </w:tcPr>
          <w:p w14:paraId="5E7004BF" w14:textId="77777777" w:rsidR="00135447" w:rsidRPr="00FE287F" w:rsidRDefault="00135447" w:rsidP="00951707">
            <w:pPr>
              <w:pStyle w:val="ListParagraph"/>
              <w:spacing w:before="120" w:after="120"/>
              <w:ind w:left="0"/>
              <w:jc w:val="both"/>
              <w:rPr>
                <w:rFonts w:ascii="Times New Roman" w:hAnsi="Times New Roman" w:cs="Times New Roman"/>
                <w:sz w:val="24"/>
                <w:szCs w:val="24"/>
              </w:rPr>
            </w:pPr>
            <w:r w:rsidRPr="00FE287F">
              <w:rPr>
                <w:rFonts w:ascii="Times New Roman" w:hAnsi="Times New Roman" w:cs="Times New Roman"/>
                <w:sz w:val="24"/>
                <w:szCs w:val="24"/>
              </w:rPr>
              <w:t>DEDTP</w:t>
            </w:r>
          </w:p>
        </w:tc>
        <w:tc>
          <w:tcPr>
            <w:tcW w:w="1378" w:type="dxa"/>
            <w:tcBorders>
              <w:bottom w:val="single" w:sz="4" w:space="0" w:color="auto"/>
            </w:tcBorders>
          </w:tcPr>
          <w:p w14:paraId="0A72EDAE"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0.23</w:t>
            </w:r>
          </w:p>
        </w:tc>
        <w:tc>
          <w:tcPr>
            <w:tcW w:w="1379" w:type="dxa"/>
            <w:tcBorders>
              <w:bottom w:val="single" w:sz="4" w:space="0" w:color="auto"/>
            </w:tcBorders>
          </w:tcPr>
          <w:p w14:paraId="7614DAF7" w14:textId="26F7CD9E" w:rsidR="00135447" w:rsidRPr="00FE287F" w:rsidRDefault="00CD635E" w:rsidP="00951707">
            <w:pPr>
              <w:pStyle w:val="ListParagraph"/>
              <w:spacing w:before="120" w:after="12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79" w:type="dxa"/>
            <w:tcBorders>
              <w:bottom w:val="single" w:sz="4" w:space="0" w:color="auto"/>
            </w:tcBorders>
          </w:tcPr>
          <w:p w14:paraId="19211CC2"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w:t>
            </w:r>
          </w:p>
        </w:tc>
        <w:tc>
          <w:tcPr>
            <w:tcW w:w="1379" w:type="dxa"/>
            <w:tcBorders>
              <w:bottom w:val="single" w:sz="4" w:space="0" w:color="auto"/>
            </w:tcBorders>
          </w:tcPr>
          <w:p w14:paraId="26590F07" w14:textId="77777777" w:rsidR="00135447" w:rsidRPr="00FE287F" w:rsidRDefault="00135447" w:rsidP="00951707">
            <w:pPr>
              <w:pStyle w:val="ListParagraph"/>
              <w:spacing w:before="120" w:after="120"/>
              <w:ind w:left="0"/>
              <w:jc w:val="center"/>
              <w:rPr>
                <w:rFonts w:ascii="Times New Roman" w:hAnsi="Times New Roman" w:cs="Times New Roman"/>
                <w:sz w:val="24"/>
                <w:szCs w:val="24"/>
              </w:rPr>
            </w:pPr>
            <w:r w:rsidRPr="00FE287F">
              <w:rPr>
                <w:rFonts w:ascii="Times New Roman" w:hAnsi="Times New Roman" w:cs="Times New Roman"/>
                <w:sz w:val="24"/>
                <w:szCs w:val="24"/>
              </w:rPr>
              <w:t>-</w:t>
            </w:r>
          </w:p>
        </w:tc>
      </w:tr>
    </w:tbl>
    <w:p w14:paraId="08102708" w14:textId="77777777" w:rsidR="00135447" w:rsidRPr="00FE287F" w:rsidRDefault="00135447" w:rsidP="00135447">
      <w:pPr>
        <w:spacing w:before="120" w:after="120" w:line="240" w:lineRule="auto"/>
        <w:ind w:left="288" w:right="288"/>
        <w:jc w:val="both"/>
        <w:rPr>
          <w:rFonts w:ascii="Times New Roman" w:hAnsi="Times New Roman" w:cs="Times New Roman"/>
          <w:sz w:val="24"/>
          <w:szCs w:val="24"/>
        </w:rPr>
      </w:pPr>
    </w:p>
    <w:p w14:paraId="6EB62409" w14:textId="77777777" w:rsidR="00135447" w:rsidRPr="00FE287F" w:rsidRDefault="00135447" w:rsidP="00135447">
      <w:pPr>
        <w:spacing w:before="120" w:after="120" w:line="240" w:lineRule="auto"/>
        <w:ind w:left="288" w:right="288"/>
        <w:jc w:val="both"/>
        <w:rPr>
          <w:rFonts w:ascii="Times New Roman" w:hAnsi="Times New Roman" w:cs="Times New Roman"/>
          <w:sz w:val="24"/>
          <w:szCs w:val="24"/>
        </w:rPr>
      </w:pPr>
    </w:p>
    <w:p w14:paraId="640D9BA2"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66C77E45"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635C5C97"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6E71D5FE"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2C166CC6"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1BC3B4E9"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3B57C6CC"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5FA10E01"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4EADCCC7"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02EC75BF"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1B72B544" w14:textId="77777777" w:rsidR="00135447" w:rsidRDefault="00135447" w:rsidP="009F4FC0">
      <w:pPr>
        <w:spacing w:before="120" w:after="120" w:line="240" w:lineRule="auto"/>
        <w:ind w:right="288"/>
        <w:jc w:val="both"/>
        <w:rPr>
          <w:rFonts w:ascii="Times New Roman" w:hAnsi="Times New Roman" w:cs="Times New Roman"/>
          <w:sz w:val="24"/>
          <w:szCs w:val="24"/>
        </w:rPr>
      </w:pPr>
    </w:p>
    <w:p w14:paraId="0638F98B" w14:textId="77777777" w:rsidR="00135447" w:rsidRDefault="00135447" w:rsidP="009F4FC0">
      <w:pPr>
        <w:spacing w:before="120" w:after="120" w:line="240" w:lineRule="auto"/>
        <w:ind w:right="288"/>
        <w:jc w:val="both"/>
        <w:rPr>
          <w:rFonts w:ascii="Times New Roman" w:hAnsi="Times New Roman" w:cs="Times New Roman"/>
          <w:sz w:val="24"/>
          <w:szCs w:val="24"/>
        </w:rPr>
      </w:pPr>
    </w:p>
    <w:tbl>
      <w:tblPr>
        <w:tblStyle w:val="TableGrid"/>
        <w:tblW w:w="12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60"/>
        <w:gridCol w:w="5872"/>
      </w:tblGrid>
      <w:tr w:rsidR="00135447" w:rsidRPr="00FE287F" w14:paraId="022B6168" w14:textId="77777777" w:rsidTr="002E59F5">
        <w:trPr>
          <w:trHeight w:val="5028"/>
        </w:trPr>
        <w:tc>
          <w:tcPr>
            <w:tcW w:w="6160" w:type="dxa"/>
          </w:tcPr>
          <w:p w14:paraId="13F3FBE4" w14:textId="77777777" w:rsidR="00135447" w:rsidRPr="00FE287F" w:rsidRDefault="00135447" w:rsidP="00951707">
            <w:pPr>
              <w:spacing w:before="120" w:after="120"/>
              <w:jc w:val="both"/>
              <w:rPr>
                <w:rFonts w:ascii="Times New Roman" w:hAnsi="Times New Roman" w:cs="Times New Roman"/>
                <w:sz w:val="24"/>
                <w:szCs w:val="24"/>
              </w:rPr>
            </w:pPr>
            <w:r w:rsidRPr="00FE287F">
              <w:rPr>
                <w:rFonts w:ascii="Times New Roman" w:hAnsi="Times New Roman" w:cs="Times New Roman"/>
                <w:noProof/>
                <w:sz w:val="24"/>
                <w:szCs w:val="24"/>
              </w:rPr>
              <w:lastRenderedPageBreak/>
              <w:drawing>
                <wp:inline distT="0" distB="0" distL="0" distR="0" wp14:anchorId="4D633771" wp14:editId="2AE67816">
                  <wp:extent cx="3613150" cy="3650229"/>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0845" cy="3688311"/>
                          </a:xfrm>
                          <a:prstGeom prst="rect">
                            <a:avLst/>
                          </a:prstGeom>
                        </pic:spPr>
                      </pic:pic>
                    </a:graphicData>
                  </a:graphic>
                </wp:inline>
              </w:drawing>
            </w:r>
          </w:p>
        </w:tc>
        <w:tc>
          <w:tcPr>
            <w:tcW w:w="5872" w:type="dxa"/>
          </w:tcPr>
          <w:p w14:paraId="12131C25" w14:textId="77777777" w:rsidR="00135447" w:rsidRPr="00FE287F" w:rsidRDefault="00135447" w:rsidP="00951707">
            <w:pPr>
              <w:spacing w:before="120" w:after="120"/>
              <w:jc w:val="both"/>
              <w:rPr>
                <w:rFonts w:ascii="Times New Roman" w:hAnsi="Times New Roman" w:cs="Times New Roman"/>
                <w:sz w:val="24"/>
                <w:szCs w:val="24"/>
              </w:rPr>
            </w:pPr>
            <w:r w:rsidRPr="00FE287F">
              <w:rPr>
                <w:rFonts w:ascii="Times New Roman" w:hAnsi="Times New Roman" w:cs="Times New Roman"/>
                <w:noProof/>
                <w:sz w:val="24"/>
                <w:szCs w:val="24"/>
              </w:rPr>
              <w:drawing>
                <wp:inline distT="0" distB="0" distL="0" distR="0" wp14:anchorId="6C824FE0" wp14:editId="640D5D45">
                  <wp:extent cx="3403600" cy="3641778"/>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5866" cy="3783300"/>
                          </a:xfrm>
                          <a:prstGeom prst="rect">
                            <a:avLst/>
                          </a:prstGeom>
                        </pic:spPr>
                      </pic:pic>
                    </a:graphicData>
                  </a:graphic>
                </wp:inline>
              </w:drawing>
            </w:r>
          </w:p>
        </w:tc>
      </w:tr>
      <w:tr w:rsidR="00135447" w:rsidRPr="00FE287F" w14:paraId="3F417646" w14:textId="77777777" w:rsidTr="00AE459F">
        <w:trPr>
          <w:trHeight w:val="388"/>
        </w:trPr>
        <w:tc>
          <w:tcPr>
            <w:tcW w:w="12032" w:type="dxa"/>
            <w:gridSpan w:val="2"/>
          </w:tcPr>
          <w:p w14:paraId="13A384E5" w14:textId="77777777" w:rsidR="00135447" w:rsidRDefault="00135447" w:rsidP="00951707">
            <w:pPr>
              <w:spacing w:before="120" w:after="120"/>
              <w:jc w:val="both"/>
              <w:rPr>
                <w:rFonts w:ascii="Times New Roman" w:hAnsi="Times New Roman" w:cs="Times New Roman"/>
                <w:sz w:val="24"/>
                <w:szCs w:val="24"/>
              </w:rPr>
            </w:pPr>
            <w:r w:rsidRPr="00FE287F">
              <w:rPr>
                <w:rFonts w:ascii="Times New Roman" w:hAnsi="Times New Roman" w:cs="Times New Roman"/>
                <w:sz w:val="24"/>
                <w:szCs w:val="24"/>
              </w:rPr>
              <w:t>Figure S</w:t>
            </w:r>
            <w:r>
              <w:rPr>
                <w:rFonts w:ascii="Times New Roman" w:hAnsi="Times New Roman" w:cs="Times New Roman"/>
                <w:sz w:val="24"/>
                <w:szCs w:val="24"/>
              </w:rPr>
              <w:t>1</w:t>
            </w:r>
            <w:r w:rsidRPr="00FE287F">
              <w:rPr>
                <w:rFonts w:ascii="Times New Roman" w:hAnsi="Times New Roman" w:cs="Times New Roman"/>
                <w:sz w:val="24"/>
                <w:szCs w:val="24"/>
              </w:rPr>
              <w:t>: Extracted ion chromatogram MRM of DAPs their corresponding labeled internal standards</w:t>
            </w:r>
          </w:p>
          <w:p w14:paraId="1D847A4B" w14:textId="77777777" w:rsidR="00E0751C" w:rsidRDefault="00E0751C" w:rsidP="00951707">
            <w:pPr>
              <w:spacing w:before="120" w:after="120"/>
              <w:jc w:val="both"/>
              <w:rPr>
                <w:rFonts w:ascii="Times New Roman" w:hAnsi="Times New Roman" w:cs="Times New Roman"/>
                <w:sz w:val="24"/>
                <w:szCs w:val="24"/>
              </w:rPr>
            </w:pPr>
          </w:p>
          <w:p w14:paraId="0A61CFB9" w14:textId="77777777" w:rsidR="00E0751C" w:rsidRDefault="00E0751C" w:rsidP="00951707">
            <w:pPr>
              <w:spacing w:before="120" w:after="120"/>
              <w:jc w:val="both"/>
              <w:rPr>
                <w:rFonts w:ascii="Times New Roman" w:hAnsi="Times New Roman" w:cs="Times New Roman"/>
                <w:sz w:val="24"/>
                <w:szCs w:val="24"/>
              </w:rPr>
            </w:pPr>
          </w:p>
          <w:p w14:paraId="480C7343" w14:textId="77777777" w:rsidR="00E0751C" w:rsidRDefault="00E0751C" w:rsidP="00951707">
            <w:pPr>
              <w:spacing w:before="120" w:after="120"/>
              <w:jc w:val="both"/>
              <w:rPr>
                <w:rFonts w:ascii="Times New Roman" w:hAnsi="Times New Roman" w:cs="Times New Roman"/>
                <w:sz w:val="24"/>
                <w:szCs w:val="24"/>
              </w:rPr>
            </w:pPr>
          </w:p>
          <w:p w14:paraId="6A56B972" w14:textId="77777777" w:rsidR="00E0751C" w:rsidRDefault="00E0751C" w:rsidP="00951707">
            <w:pPr>
              <w:spacing w:before="120" w:after="120"/>
              <w:jc w:val="both"/>
              <w:rPr>
                <w:rFonts w:ascii="Times New Roman" w:hAnsi="Times New Roman" w:cs="Times New Roman"/>
                <w:sz w:val="24"/>
                <w:szCs w:val="24"/>
              </w:rPr>
            </w:pPr>
          </w:p>
          <w:p w14:paraId="76A02F4B" w14:textId="77777777" w:rsidR="00E0751C" w:rsidRDefault="00E0751C" w:rsidP="00951707">
            <w:pPr>
              <w:spacing w:before="120" w:after="120"/>
              <w:jc w:val="both"/>
              <w:rPr>
                <w:rFonts w:ascii="Times New Roman" w:hAnsi="Times New Roman" w:cs="Times New Roman"/>
                <w:sz w:val="24"/>
                <w:szCs w:val="24"/>
              </w:rPr>
            </w:pPr>
          </w:p>
          <w:p w14:paraId="55447B77" w14:textId="588C263B" w:rsidR="00E0751C" w:rsidRPr="00FE287F" w:rsidRDefault="00E0751C" w:rsidP="00951707">
            <w:pPr>
              <w:spacing w:before="120" w:after="120"/>
              <w:jc w:val="both"/>
              <w:rPr>
                <w:rFonts w:ascii="Times New Roman" w:hAnsi="Times New Roman" w:cs="Times New Roman"/>
                <w:sz w:val="24"/>
                <w:szCs w:val="24"/>
              </w:rPr>
            </w:pPr>
          </w:p>
        </w:tc>
      </w:tr>
      <w:tr w:rsidR="00E0751C" w:rsidRPr="00FE287F" w14:paraId="171A5F53" w14:textId="77777777" w:rsidTr="002E59F5">
        <w:tc>
          <w:tcPr>
            <w:tcW w:w="12032" w:type="dxa"/>
            <w:gridSpan w:val="2"/>
          </w:tcPr>
          <w:p w14:paraId="3B6E720E" w14:textId="77777777" w:rsidR="00E0751C" w:rsidRPr="00FE287F" w:rsidRDefault="00E0751C" w:rsidP="001715CE">
            <w:pPr>
              <w:pStyle w:val="ListParagraph"/>
              <w:spacing w:before="120" w:after="120"/>
              <w:ind w:left="0"/>
              <w:jc w:val="both"/>
              <w:rPr>
                <w:rFonts w:ascii="Times New Roman" w:hAnsi="Times New Roman" w:cs="Times New Roman"/>
                <w:sz w:val="24"/>
                <w:szCs w:val="24"/>
              </w:rPr>
            </w:pPr>
            <w:bookmarkStart w:id="0" w:name="_Hlk120007636"/>
            <w:r w:rsidRPr="00FE287F">
              <w:rPr>
                <w:rFonts w:ascii="Times New Roman" w:hAnsi="Times New Roman" w:cs="Times New Roman"/>
                <w:sz w:val="24"/>
                <w:szCs w:val="24"/>
              </w:rPr>
              <w:lastRenderedPageBreak/>
              <w:t>Table 2: Method validation data for DAPs</w:t>
            </w:r>
          </w:p>
        </w:tc>
      </w:tr>
      <w:tr w:rsidR="00E0751C" w:rsidRPr="00FE287F" w14:paraId="1BF735B5" w14:textId="77777777" w:rsidTr="002E59F5">
        <w:tc>
          <w:tcPr>
            <w:tcW w:w="12032" w:type="dxa"/>
            <w:gridSpan w:val="2"/>
          </w:tcPr>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9"/>
              <w:gridCol w:w="1209"/>
              <w:gridCol w:w="1210"/>
              <w:gridCol w:w="1209"/>
              <w:gridCol w:w="1210"/>
              <w:gridCol w:w="1209"/>
              <w:gridCol w:w="1210"/>
              <w:gridCol w:w="1209"/>
              <w:gridCol w:w="1210"/>
            </w:tblGrid>
            <w:tr w:rsidR="00AE459F" w:rsidRPr="00FE287F" w14:paraId="445AF6F3" w14:textId="7CF903E3" w:rsidTr="00C62129">
              <w:trPr>
                <w:trHeight w:val="1070"/>
              </w:trPr>
              <w:tc>
                <w:tcPr>
                  <w:tcW w:w="1209" w:type="dxa"/>
                  <w:vAlign w:val="center"/>
                </w:tcPr>
                <w:p w14:paraId="69C7BDA1" w14:textId="77777777" w:rsidR="00AE459F" w:rsidRPr="00FE287F" w:rsidRDefault="00AE459F"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Analytes</w:t>
                  </w:r>
                </w:p>
              </w:tc>
              <w:tc>
                <w:tcPr>
                  <w:tcW w:w="1209" w:type="dxa"/>
                </w:tcPr>
                <w:p w14:paraId="2EC2B875" w14:textId="77777777" w:rsidR="00AE459F" w:rsidRPr="00FE287F" w:rsidRDefault="00AE459F" w:rsidP="00AE459F">
                  <w:pPr>
                    <w:pStyle w:val="ListParagraph"/>
                    <w:spacing w:before="120"/>
                    <w:ind w:left="0"/>
                    <w:jc w:val="both"/>
                    <w:rPr>
                      <w:rFonts w:ascii="Times New Roman" w:hAnsi="Times New Roman" w:cs="Times New Roman"/>
                      <w:sz w:val="24"/>
                      <w:szCs w:val="24"/>
                    </w:rPr>
                  </w:pPr>
                  <w:r w:rsidRPr="00FE287F">
                    <w:rPr>
                      <w:rFonts w:ascii="Times New Roman" w:hAnsi="Times New Roman" w:cs="Times New Roman"/>
                      <w:sz w:val="24"/>
                      <w:szCs w:val="24"/>
                    </w:rPr>
                    <w:t>R2 of calibration curve</w:t>
                  </w:r>
                </w:p>
              </w:tc>
              <w:tc>
                <w:tcPr>
                  <w:tcW w:w="1210" w:type="dxa"/>
                </w:tcPr>
                <w:p w14:paraId="3E7CC897" w14:textId="77777777" w:rsidR="00AE459F" w:rsidRDefault="00AE459F" w:rsidP="00AE459F">
                  <w:pPr>
                    <w:pStyle w:val="ListParagraph"/>
                    <w:spacing w:before="120"/>
                    <w:ind w:left="0"/>
                    <w:jc w:val="both"/>
                    <w:rPr>
                      <w:rFonts w:ascii="Times New Roman" w:hAnsi="Times New Roman" w:cs="Times New Roman"/>
                      <w:sz w:val="24"/>
                      <w:szCs w:val="24"/>
                    </w:rPr>
                  </w:pPr>
                  <w:r w:rsidRPr="00FE287F">
                    <w:rPr>
                      <w:rFonts w:ascii="Times New Roman" w:hAnsi="Times New Roman" w:cs="Times New Roman"/>
                      <w:sz w:val="24"/>
                      <w:szCs w:val="24"/>
                    </w:rPr>
                    <w:t>LOD (pg/mg)</w:t>
                  </w:r>
                </w:p>
                <w:p w14:paraId="7F2B3AB7" w14:textId="0A2F23D5" w:rsidR="00AE459F" w:rsidRPr="00FE287F" w:rsidRDefault="00AE459F" w:rsidP="00AE459F">
                  <w:pPr>
                    <w:pStyle w:val="ListParagraph"/>
                    <w:spacing w:before="120"/>
                    <w:ind w:left="0"/>
                    <w:jc w:val="both"/>
                    <w:rPr>
                      <w:rFonts w:ascii="Times New Roman" w:hAnsi="Times New Roman" w:cs="Times New Roman"/>
                      <w:sz w:val="24"/>
                      <w:szCs w:val="24"/>
                    </w:rPr>
                  </w:pPr>
                  <w:r>
                    <w:rPr>
                      <w:rFonts w:ascii="Times New Roman" w:hAnsi="Times New Roman" w:cs="Times New Roman"/>
                      <w:sz w:val="24"/>
                      <w:szCs w:val="24"/>
                    </w:rPr>
                    <w:t>(S/N= 3)</w:t>
                  </w:r>
                </w:p>
              </w:tc>
              <w:tc>
                <w:tcPr>
                  <w:tcW w:w="1209" w:type="dxa"/>
                </w:tcPr>
                <w:p w14:paraId="70090A8D" w14:textId="77777777" w:rsidR="00AE459F" w:rsidRDefault="00AE459F" w:rsidP="00AE459F">
                  <w:pPr>
                    <w:pStyle w:val="ListParagraph"/>
                    <w:spacing w:before="120"/>
                    <w:ind w:left="0"/>
                    <w:jc w:val="both"/>
                    <w:rPr>
                      <w:rFonts w:ascii="Times New Roman" w:hAnsi="Times New Roman" w:cs="Times New Roman"/>
                      <w:sz w:val="24"/>
                      <w:szCs w:val="24"/>
                    </w:rPr>
                  </w:pPr>
                  <w:r>
                    <w:rPr>
                      <w:rFonts w:ascii="Times New Roman" w:hAnsi="Times New Roman" w:cs="Times New Roman"/>
                      <w:sz w:val="24"/>
                      <w:szCs w:val="24"/>
                    </w:rPr>
                    <w:t>LOQ (pg/mg)</w:t>
                  </w:r>
                </w:p>
                <w:p w14:paraId="69C6F92B" w14:textId="02B923D9" w:rsidR="00AE459F" w:rsidRPr="00FE287F" w:rsidRDefault="00AE459F" w:rsidP="00AE459F">
                  <w:pPr>
                    <w:pStyle w:val="ListParagraph"/>
                    <w:spacing w:before="120"/>
                    <w:ind w:left="0"/>
                    <w:jc w:val="both"/>
                    <w:rPr>
                      <w:rFonts w:ascii="Times New Roman" w:hAnsi="Times New Roman" w:cs="Times New Roman"/>
                      <w:sz w:val="24"/>
                      <w:szCs w:val="24"/>
                    </w:rPr>
                  </w:pPr>
                  <w:r>
                    <w:rPr>
                      <w:rFonts w:ascii="Times New Roman" w:hAnsi="Times New Roman" w:cs="Times New Roman"/>
                      <w:sz w:val="24"/>
                      <w:szCs w:val="24"/>
                    </w:rPr>
                    <w:t>(S/N= 10)</w:t>
                  </w:r>
                </w:p>
              </w:tc>
              <w:tc>
                <w:tcPr>
                  <w:tcW w:w="1210" w:type="dxa"/>
                </w:tcPr>
                <w:p w14:paraId="387872FF" w14:textId="20C612AB" w:rsidR="00AE459F" w:rsidRPr="00FE287F" w:rsidRDefault="00AE459F" w:rsidP="00AE459F">
                  <w:pPr>
                    <w:pStyle w:val="ListParagraph"/>
                    <w:spacing w:before="120"/>
                    <w:ind w:left="0"/>
                    <w:jc w:val="both"/>
                    <w:rPr>
                      <w:rFonts w:ascii="Times New Roman" w:hAnsi="Times New Roman" w:cs="Times New Roman"/>
                      <w:sz w:val="24"/>
                      <w:szCs w:val="24"/>
                    </w:rPr>
                  </w:pPr>
                  <w:r w:rsidRPr="00FE287F">
                    <w:rPr>
                      <w:rFonts w:ascii="Times New Roman" w:hAnsi="Times New Roman" w:cs="Times New Roman"/>
                      <w:sz w:val="24"/>
                      <w:szCs w:val="24"/>
                    </w:rPr>
                    <w:t xml:space="preserve">Extraction </w:t>
                  </w:r>
                  <w:r>
                    <w:rPr>
                      <w:rFonts w:ascii="Times New Roman" w:hAnsi="Times New Roman" w:cs="Times New Roman"/>
                      <w:sz w:val="24"/>
                      <w:szCs w:val="24"/>
                    </w:rPr>
                    <w:t>efficiency</w:t>
                  </w:r>
                </w:p>
              </w:tc>
              <w:tc>
                <w:tcPr>
                  <w:tcW w:w="1209" w:type="dxa"/>
                </w:tcPr>
                <w:p w14:paraId="7FE0657E" w14:textId="77777777" w:rsidR="00AE459F" w:rsidRPr="00FE287F" w:rsidRDefault="00AE459F" w:rsidP="00AE459F">
                  <w:pPr>
                    <w:pStyle w:val="ListParagraph"/>
                    <w:spacing w:before="120"/>
                    <w:ind w:left="0"/>
                    <w:jc w:val="both"/>
                    <w:rPr>
                      <w:rFonts w:ascii="Times New Roman" w:hAnsi="Times New Roman" w:cs="Times New Roman"/>
                      <w:sz w:val="24"/>
                      <w:szCs w:val="24"/>
                    </w:rPr>
                  </w:pPr>
                  <w:r w:rsidRPr="00FE287F">
                    <w:rPr>
                      <w:rFonts w:ascii="Times New Roman" w:hAnsi="Times New Roman" w:cs="Times New Roman"/>
                      <w:sz w:val="24"/>
                      <w:szCs w:val="24"/>
                    </w:rPr>
                    <w:t>Intra-day precision</w:t>
                  </w:r>
                </w:p>
                <w:p w14:paraId="5EA29034" w14:textId="547BCDCD" w:rsidR="00AE459F" w:rsidRPr="00FE287F" w:rsidRDefault="00AE459F" w:rsidP="00AE459F">
                  <w:pPr>
                    <w:pStyle w:val="ListParagraph"/>
                    <w:spacing w:before="120"/>
                    <w:ind w:left="0"/>
                    <w:jc w:val="both"/>
                    <w:rPr>
                      <w:rFonts w:ascii="Times New Roman" w:hAnsi="Times New Roman" w:cs="Times New Roman"/>
                      <w:sz w:val="24"/>
                      <w:szCs w:val="24"/>
                    </w:rPr>
                  </w:pPr>
                  <w:r>
                    <w:rPr>
                      <w:rFonts w:ascii="Times New Roman" w:hAnsi="Times New Roman" w:cs="Times New Roman"/>
                      <w:sz w:val="24"/>
                      <w:szCs w:val="24"/>
                    </w:rPr>
                    <w:t>(n=2)</w:t>
                  </w:r>
                </w:p>
              </w:tc>
              <w:tc>
                <w:tcPr>
                  <w:tcW w:w="1210" w:type="dxa"/>
                </w:tcPr>
                <w:p w14:paraId="0EE870AD" w14:textId="77777777" w:rsidR="00AE459F" w:rsidRDefault="00AE459F" w:rsidP="00AE459F">
                  <w:pPr>
                    <w:pStyle w:val="ListParagraph"/>
                    <w:spacing w:before="120"/>
                    <w:ind w:left="0"/>
                    <w:jc w:val="both"/>
                    <w:rPr>
                      <w:rFonts w:ascii="Times New Roman" w:hAnsi="Times New Roman" w:cs="Times New Roman"/>
                      <w:sz w:val="24"/>
                      <w:szCs w:val="24"/>
                    </w:rPr>
                  </w:pPr>
                  <w:r w:rsidRPr="00FE287F">
                    <w:rPr>
                      <w:rFonts w:ascii="Times New Roman" w:hAnsi="Times New Roman" w:cs="Times New Roman"/>
                      <w:sz w:val="24"/>
                      <w:szCs w:val="24"/>
                    </w:rPr>
                    <w:t>Inter-day precision</w:t>
                  </w:r>
                </w:p>
                <w:p w14:paraId="1D82F76E" w14:textId="7381F2D7" w:rsidR="00AE459F" w:rsidRPr="00FE287F" w:rsidRDefault="00AE459F" w:rsidP="00AE459F">
                  <w:pPr>
                    <w:pStyle w:val="ListParagraph"/>
                    <w:spacing w:before="120"/>
                    <w:ind w:left="0"/>
                    <w:jc w:val="both"/>
                    <w:rPr>
                      <w:rFonts w:ascii="Times New Roman" w:hAnsi="Times New Roman" w:cs="Times New Roman"/>
                      <w:sz w:val="24"/>
                      <w:szCs w:val="24"/>
                    </w:rPr>
                  </w:pPr>
                  <w:r>
                    <w:rPr>
                      <w:rFonts w:ascii="Times New Roman" w:hAnsi="Times New Roman" w:cs="Times New Roman"/>
                      <w:sz w:val="24"/>
                      <w:szCs w:val="24"/>
                    </w:rPr>
                    <w:t>(n=4)</w:t>
                  </w:r>
                </w:p>
              </w:tc>
              <w:tc>
                <w:tcPr>
                  <w:tcW w:w="2419" w:type="dxa"/>
                  <w:gridSpan w:val="2"/>
                </w:tcPr>
                <w:p w14:paraId="7313794B" w14:textId="58FDBE14" w:rsidR="00AE459F" w:rsidRDefault="00AE459F"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Accuracy</w:t>
                  </w:r>
                </w:p>
              </w:tc>
            </w:tr>
            <w:tr w:rsidR="002E59F5" w:rsidRPr="00FE287F" w14:paraId="026C1581" w14:textId="77777777" w:rsidTr="00AE459F">
              <w:trPr>
                <w:trHeight w:val="440"/>
              </w:trPr>
              <w:tc>
                <w:tcPr>
                  <w:tcW w:w="1209" w:type="dxa"/>
                  <w:vAlign w:val="center"/>
                </w:tcPr>
                <w:p w14:paraId="378A9C70" w14:textId="0DBB7BAC" w:rsidR="009710AA" w:rsidRPr="00FE287F" w:rsidRDefault="009710AA" w:rsidP="00AE459F">
                  <w:pPr>
                    <w:pStyle w:val="ListParagraph"/>
                    <w:spacing w:before="120"/>
                    <w:ind w:left="0"/>
                    <w:jc w:val="center"/>
                    <w:rPr>
                      <w:rFonts w:ascii="Times New Roman" w:hAnsi="Times New Roman" w:cs="Times New Roman"/>
                      <w:sz w:val="24"/>
                      <w:szCs w:val="24"/>
                    </w:rPr>
                  </w:pPr>
                </w:p>
              </w:tc>
              <w:tc>
                <w:tcPr>
                  <w:tcW w:w="1209" w:type="dxa"/>
                </w:tcPr>
                <w:p w14:paraId="5BA04DC7" w14:textId="77777777" w:rsidR="009710AA" w:rsidRPr="00FE287F" w:rsidRDefault="009710AA" w:rsidP="00AE459F">
                  <w:pPr>
                    <w:pStyle w:val="ListParagraph"/>
                    <w:spacing w:before="120"/>
                    <w:ind w:left="0"/>
                    <w:jc w:val="both"/>
                    <w:rPr>
                      <w:rFonts w:ascii="Times New Roman" w:hAnsi="Times New Roman" w:cs="Times New Roman"/>
                      <w:sz w:val="24"/>
                      <w:szCs w:val="24"/>
                    </w:rPr>
                  </w:pPr>
                </w:p>
              </w:tc>
              <w:tc>
                <w:tcPr>
                  <w:tcW w:w="1210" w:type="dxa"/>
                </w:tcPr>
                <w:p w14:paraId="2FD4A402" w14:textId="77777777" w:rsidR="009710AA" w:rsidRPr="00FE287F" w:rsidRDefault="009710AA" w:rsidP="00AE459F">
                  <w:pPr>
                    <w:pStyle w:val="ListParagraph"/>
                    <w:spacing w:before="120"/>
                    <w:ind w:left="0"/>
                    <w:jc w:val="both"/>
                    <w:rPr>
                      <w:rFonts w:ascii="Times New Roman" w:hAnsi="Times New Roman" w:cs="Times New Roman"/>
                      <w:sz w:val="24"/>
                      <w:szCs w:val="24"/>
                    </w:rPr>
                  </w:pPr>
                </w:p>
              </w:tc>
              <w:tc>
                <w:tcPr>
                  <w:tcW w:w="1209" w:type="dxa"/>
                </w:tcPr>
                <w:p w14:paraId="0BA4BCF8" w14:textId="77777777" w:rsidR="009710AA" w:rsidRDefault="009710AA" w:rsidP="00AE459F">
                  <w:pPr>
                    <w:pStyle w:val="ListParagraph"/>
                    <w:spacing w:before="120"/>
                    <w:ind w:left="0"/>
                    <w:jc w:val="both"/>
                    <w:rPr>
                      <w:rFonts w:ascii="Times New Roman" w:hAnsi="Times New Roman" w:cs="Times New Roman"/>
                      <w:sz w:val="24"/>
                      <w:szCs w:val="24"/>
                    </w:rPr>
                  </w:pPr>
                </w:p>
              </w:tc>
              <w:tc>
                <w:tcPr>
                  <w:tcW w:w="1210" w:type="dxa"/>
                </w:tcPr>
                <w:p w14:paraId="49F21A35" w14:textId="77777777" w:rsidR="009710AA" w:rsidRPr="00FE287F" w:rsidRDefault="009710AA" w:rsidP="00AE459F">
                  <w:pPr>
                    <w:pStyle w:val="ListParagraph"/>
                    <w:spacing w:before="120"/>
                    <w:ind w:left="0"/>
                    <w:jc w:val="both"/>
                    <w:rPr>
                      <w:rFonts w:ascii="Times New Roman" w:hAnsi="Times New Roman" w:cs="Times New Roman"/>
                      <w:sz w:val="24"/>
                      <w:szCs w:val="24"/>
                    </w:rPr>
                  </w:pPr>
                </w:p>
              </w:tc>
              <w:tc>
                <w:tcPr>
                  <w:tcW w:w="1209" w:type="dxa"/>
                </w:tcPr>
                <w:p w14:paraId="67E45238" w14:textId="77777777" w:rsidR="009710AA" w:rsidRPr="00FE287F" w:rsidRDefault="009710AA" w:rsidP="00AE459F">
                  <w:pPr>
                    <w:pStyle w:val="ListParagraph"/>
                    <w:spacing w:before="120"/>
                    <w:ind w:left="0"/>
                    <w:jc w:val="both"/>
                    <w:rPr>
                      <w:rFonts w:ascii="Times New Roman" w:hAnsi="Times New Roman" w:cs="Times New Roman"/>
                      <w:sz w:val="24"/>
                      <w:szCs w:val="24"/>
                    </w:rPr>
                  </w:pPr>
                </w:p>
              </w:tc>
              <w:tc>
                <w:tcPr>
                  <w:tcW w:w="1210" w:type="dxa"/>
                </w:tcPr>
                <w:p w14:paraId="3D332EEC" w14:textId="77777777" w:rsidR="009710AA" w:rsidRPr="00FE287F" w:rsidRDefault="009710AA" w:rsidP="00AE459F">
                  <w:pPr>
                    <w:pStyle w:val="ListParagraph"/>
                    <w:spacing w:before="120"/>
                    <w:ind w:left="0"/>
                    <w:jc w:val="both"/>
                    <w:rPr>
                      <w:rFonts w:ascii="Times New Roman" w:hAnsi="Times New Roman" w:cs="Times New Roman"/>
                      <w:sz w:val="24"/>
                      <w:szCs w:val="24"/>
                    </w:rPr>
                  </w:pPr>
                </w:p>
              </w:tc>
              <w:tc>
                <w:tcPr>
                  <w:tcW w:w="1209" w:type="dxa"/>
                </w:tcPr>
                <w:p w14:paraId="0C4A538F" w14:textId="2C12616C" w:rsidR="009710AA" w:rsidRDefault="009710AA" w:rsidP="00AE459F">
                  <w:pPr>
                    <w:pStyle w:val="ListParagraph"/>
                    <w:spacing w:before="120"/>
                    <w:ind w:left="0"/>
                    <w:jc w:val="both"/>
                    <w:rPr>
                      <w:rFonts w:ascii="Times New Roman" w:hAnsi="Times New Roman" w:cs="Times New Roman"/>
                      <w:sz w:val="24"/>
                      <w:szCs w:val="24"/>
                    </w:rPr>
                  </w:pPr>
                  <w:r>
                    <w:rPr>
                      <w:rFonts w:ascii="Times New Roman" w:hAnsi="Times New Roman" w:cs="Times New Roman"/>
                      <w:sz w:val="24"/>
                      <w:szCs w:val="24"/>
                    </w:rPr>
                    <w:t>0.1 ng/mg</w:t>
                  </w:r>
                </w:p>
              </w:tc>
              <w:tc>
                <w:tcPr>
                  <w:tcW w:w="1210" w:type="dxa"/>
                </w:tcPr>
                <w:p w14:paraId="57771D50" w14:textId="11075169" w:rsidR="009710AA" w:rsidRDefault="009710AA" w:rsidP="00AE459F">
                  <w:pPr>
                    <w:pStyle w:val="ListParagraph"/>
                    <w:spacing w:before="120"/>
                    <w:ind w:left="0"/>
                    <w:jc w:val="both"/>
                    <w:rPr>
                      <w:rFonts w:ascii="Times New Roman" w:hAnsi="Times New Roman" w:cs="Times New Roman"/>
                      <w:sz w:val="24"/>
                      <w:szCs w:val="24"/>
                    </w:rPr>
                  </w:pPr>
                  <w:r>
                    <w:rPr>
                      <w:rFonts w:ascii="Times New Roman" w:hAnsi="Times New Roman" w:cs="Times New Roman"/>
                      <w:sz w:val="24"/>
                      <w:szCs w:val="24"/>
                    </w:rPr>
                    <w:t>0.2 ng/mg</w:t>
                  </w:r>
                </w:p>
              </w:tc>
            </w:tr>
            <w:tr w:rsidR="002E59F5" w:rsidRPr="00FE287F" w14:paraId="22F7C6C1" w14:textId="2D25EA2C" w:rsidTr="00AE459F">
              <w:trPr>
                <w:trHeight w:val="144"/>
              </w:trPr>
              <w:tc>
                <w:tcPr>
                  <w:tcW w:w="1209" w:type="dxa"/>
                  <w:vAlign w:val="center"/>
                </w:tcPr>
                <w:p w14:paraId="70C0A6C2"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DMP</w:t>
                  </w:r>
                </w:p>
              </w:tc>
              <w:tc>
                <w:tcPr>
                  <w:tcW w:w="1209" w:type="dxa"/>
                  <w:vAlign w:val="bottom"/>
                </w:tcPr>
                <w:p w14:paraId="29CA628E" w14:textId="4033B3C4"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0.998</w:t>
                  </w:r>
                </w:p>
              </w:tc>
              <w:tc>
                <w:tcPr>
                  <w:tcW w:w="1210" w:type="dxa"/>
                  <w:vAlign w:val="bottom"/>
                </w:tcPr>
                <w:p w14:paraId="5433A1A6"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0.82</w:t>
                  </w:r>
                </w:p>
              </w:tc>
              <w:tc>
                <w:tcPr>
                  <w:tcW w:w="1209" w:type="dxa"/>
                  <w:vAlign w:val="bottom"/>
                </w:tcPr>
                <w:p w14:paraId="5DAD5F66" w14:textId="11FC28CD" w:rsidR="009710AA" w:rsidRPr="00FE287F"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2.46</w:t>
                  </w:r>
                </w:p>
              </w:tc>
              <w:tc>
                <w:tcPr>
                  <w:tcW w:w="1210" w:type="dxa"/>
                  <w:vAlign w:val="bottom"/>
                </w:tcPr>
                <w:p w14:paraId="5BCD42C2" w14:textId="52FD6235"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113</w:t>
                  </w:r>
                </w:p>
              </w:tc>
              <w:tc>
                <w:tcPr>
                  <w:tcW w:w="1209" w:type="dxa"/>
                  <w:vAlign w:val="bottom"/>
                </w:tcPr>
                <w:p w14:paraId="6C86E411"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5</w:t>
                  </w:r>
                </w:p>
              </w:tc>
              <w:tc>
                <w:tcPr>
                  <w:tcW w:w="1210" w:type="dxa"/>
                  <w:vAlign w:val="bottom"/>
                </w:tcPr>
                <w:p w14:paraId="0DE846FB"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24</w:t>
                  </w:r>
                </w:p>
              </w:tc>
              <w:tc>
                <w:tcPr>
                  <w:tcW w:w="1209" w:type="dxa"/>
                  <w:vAlign w:val="bottom"/>
                </w:tcPr>
                <w:p w14:paraId="5A8B7B2F" w14:textId="09D57BB5"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108</w:t>
                  </w:r>
                </w:p>
              </w:tc>
              <w:tc>
                <w:tcPr>
                  <w:tcW w:w="1210" w:type="dxa"/>
                  <w:vAlign w:val="bottom"/>
                </w:tcPr>
                <w:p w14:paraId="2EDC931D" w14:textId="367F01C5"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111</w:t>
                  </w:r>
                </w:p>
              </w:tc>
            </w:tr>
            <w:tr w:rsidR="002E59F5" w:rsidRPr="00FE287F" w14:paraId="3C35EBF7" w14:textId="29C30F6C" w:rsidTr="00AE459F">
              <w:trPr>
                <w:trHeight w:val="144"/>
              </w:trPr>
              <w:tc>
                <w:tcPr>
                  <w:tcW w:w="1209" w:type="dxa"/>
                  <w:vAlign w:val="center"/>
                </w:tcPr>
                <w:p w14:paraId="16909D1A"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DMTP</w:t>
                  </w:r>
                </w:p>
              </w:tc>
              <w:tc>
                <w:tcPr>
                  <w:tcW w:w="1209" w:type="dxa"/>
                  <w:vAlign w:val="bottom"/>
                </w:tcPr>
                <w:p w14:paraId="44E7B0C2"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0.994</w:t>
                  </w:r>
                </w:p>
              </w:tc>
              <w:tc>
                <w:tcPr>
                  <w:tcW w:w="1210" w:type="dxa"/>
                  <w:vAlign w:val="bottom"/>
                </w:tcPr>
                <w:p w14:paraId="0774D2CE"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0.41</w:t>
                  </w:r>
                </w:p>
              </w:tc>
              <w:tc>
                <w:tcPr>
                  <w:tcW w:w="1209" w:type="dxa"/>
                  <w:vAlign w:val="bottom"/>
                </w:tcPr>
                <w:p w14:paraId="55D08F3F" w14:textId="1B590CE3" w:rsidR="009710AA" w:rsidRPr="00FE287F"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1.23</w:t>
                  </w:r>
                </w:p>
              </w:tc>
              <w:tc>
                <w:tcPr>
                  <w:tcW w:w="1210" w:type="dxa"/>
                  <w:vAlign w:val="bottom"/>
                </w:tcPr>
                <w:p w14:paraId="27C7D186" w14:textId="19AB25A9"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89</w:t>
                  </w:r>
                </w:p>
              </w:tc>
              <w:tc>
                <w:tcPr>
                  <w:tcW w:w="1209" w:type="dxa"/>
                  <w:vAlign w:val="bottom"/>
                </w:tcPr>
                <w:p w14:paraId="37BDCD5C"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7</w:t>
                  </w:r>
                </w:p>
              </w:tc>
              <w:tc>
                <w:tcPr>
                  <w:tcW w:w="1210" w:type="dxa"/>
                  <w:vAlign w:val="bottom"/>
                </w:tcPr>
                <w:p w14:paraId="077C076F"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13</w:t>
                  </w:r>
                </w:p>
              </w:tc>
              <w:tc>
                <w:tcPr>
                  <w:tcW w:w="1209" w:type="dxa"/>
                  <w:vAlign w:val="bottom"/>
                </w:tcPr>
                <w:p w14:paraId="73FF2DA3" w14:textId="213C5784"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106</w:t>
                  </w:r>
                </w:p>
              </w:tc>
              <w:tc>
                <w:tcPr>
                  <w:tcW w:w="1210" w:type="dxa"/>
                  <w:vAlign w:val="bottom"/>
                </w:tcPr>
                <w:p w14:paraId="472C545B" w14:textId="1106C0C2"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111</w:t>
                  </w:r>
                </w:p>
              </w:tc>
            </w:tr>
            <w:tr w:rsidR="002E59F5" w:rsidRPr="00FE287F" w14:paraId="40290949" w14:textId="753C797B" w:rsidTr="00AE459F">
              <w:trPr>
                <w:trHeight w:val="144"/>
              </w:trPr>
              <w:tc>
                <w:tcPr>
                  <w:tcW w:w="1209" w:type="dxa"/>
                  <w:vAlign w:val="center"/>
                </w:tcPr>
                <w:p w14:paraId="7BAA36DF"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DMDTP</w:t>
                  </w:r>
                </w:p>
              </w:tc>
              <w:tc>
                <w:tcPr>
                  <w:tcW w:w="1209" w:type="dxa"/>
                  <w:vAlign w:val="bottom"/>
                </w:tcPr>
                <w:p w14:paraId="4C08088A"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0.997</w:t>
                  </w:r>
                </w:p>
              </w:tc>
              <w:tc>
                <w:tcPr>
                  <w:tcW w:w="1210" w:type="dxa"/>
                  <w:vAlign w:val="bottom"/>
                </w:tcPr>
                <w:p w14:paraId="6B3C75F7"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0.30</w:t>
                  </w:r>
                </w:p>
              </w:tc>
              <w:tc>
                <w:tcPr>
                  <w:tcW w:w="1209" w:type="dxa"/>
                  <w:vAlign w:val="bottom"/>
                </w:tcPr>
                <w:p w14:paraId="77275FE1" w14:textId="638CEA2B" w:rsidR="009710AA" w:rsidRPr="00FE287F"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1210" w:type="dxa"/>
                  <w:vAlign w:val="bottom"/>
                </w:tcPr>
                <w:p w14:paraId="09866AC9" w14:textId="26B48A38"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152</w:t>
                  </w:r>
                </w:p>
              </w:tc>
              <w:tc>
                <w:tcPr>
                  <w:tcW w:w="1209" w:type="dxa"/>
                  <w:vAlign w:val="bottom"/>
                </w:tcPr>
                <w:p w14:paraId="04BB63C9"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9</w:t>
                  </w:r>
                </w:p>
              </w:tc>
              <w:tc>
                <w:tcPr>
                  <w:tcW w:w="1210" w:type="dxa"/>
                  <w:vAlign w:val="bottom"/>
                </w:tcPr>
                <w:p w14:paraId="23EFC36E"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10</w:t>
                  </w:r>
                </w:p>
              </w:tc>
              <w:tc>
                <w:tcPr>
                  <w:tcW w:w="1209" w:type="dxa"/>
                  <w:vAlign w:val="bottom"/>
                </w:tcPr>
                <w:p w14:paraId="73FBA8EF" w14:textId="5AD994AA"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1210" w:type="dxa"/>
                  <w:vAlign w:val="bottom"/>
                </w:tcPr>
                <w:p w14:paraId="012264BE" w14:textId="6069382D"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109</w:t>
                  </w:r>
                </w:p>
              </w:tc>
            </w:tr>
            <w:tr w:rsidR="002E59F5" w:rsidRPr="00FE287F" w14:paraId="0B39DEB3" w14:textId="39440451" w:rsidTr="00AE459F">
              <w:trPr>
                <w:trHeight w:val="144"/>
              </w:trPr>
              <w:tc>
                <w:tcPr>
                  <w:tcW w:w="1209" w:type="dxa"/>
                  <w:vAlign w:val="center"/>
                </w:tcPr>
                <w:p w14:paraId="01560373"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DEP</w:t>
                  </w:r>
                </w:p>
              </w:tc>
              <w:tc>
                <w:tcPr>
                  <w:tcW w:w="1209" w:type="dxa"/>
                  <w:vAlign w:val="bottom"/>
                </w:tcPr>
                <w:p w14:paraId="5BCF02A8"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0.999</w:t>
                  </w:r>
                </w:p>
              </w:tc>
              <w:tc>
                <w:tcPr>
                  <w:tcW w:w="1210" w:type="dxa"/>
                  <w:vAlign w:val="bottom"/>
                </w:tcPr>
                <w:p w14:paraId="2FA5C37F"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0.24</w:t>
                  </w:r>
                </w:p>
              </w:tc>
              <w:tc>
                <w:tcPr>
                  <w:tcW w:w="1209" w:type="dxa"/>
                  <w:vAlign w:val="bottom"/>
                </w:tcPr>
                <w:p w14:paraId="06963461" w14:textId="01B8F7E3" w:rsidR="009710AA" w:rsidRPr="00FE287F"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0.72</w:t>
                  </w:r>
                </w:p>
              </w:tc>
              <w:tc>
                <w:tcPr>
                  <w:tcW w:w="1210" w:type="dxa"/>
                  <w:vAlign w:val="bottom"/>
                </w:tcPr>
                <w:p w14:paraId="0549A3A0" w14:textId="5AA85372"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86</w:t>
                  </w:r>
                </w:p>
              </w:tc>
              <w:tc>
                <w:tcPr>
                  <w:tcW w:w="1209" w:type="dxa"/>
                  <w:vAlign w:val="bottom"/>
                </w:tcPr>
                <w:p w14:paraId="7516E559"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6</w:t>
                  </w:r>
                </w:p>
              </w:tc>
              <w:tc>
                <w:tcPr>
                  <w:tcW w:w="1210" w:type="dxa"/>
                  <w:vAlign w:val="bottom"/>
                </w:tcPr>
                <w:p w14:paraId="0A697854"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12</w:t>
                  </w:r>
                </w:p>
              </w:tc>
              <w:tc>
                <w:tcPr>
                  <w:tcW w:w="1209" w:type="dxa"/>
                  <w:vAlign w:val="bottom"/>
                </w:tcPr>
                <w:p w14:paraId="463C0D2E" w14:textId="1A96D6FD"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1210" w:type="dxa"/>
                  <w:vAlign w:val="bottom"/>
                </w:tcPr>
                <w:p w14:paraId="7CB3A2D6" w14:textId="4505731D"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115</w:t>
                  </w:r>
                </w:p>
              </w:tc>
            </w:tr>
            <w:tr w:rsidR="002E59F5" w:rsidRPr="00FE287F" w14:paraId="50D389D7" w14:textId="6244ECC4" w:rsidTr="00AE459F">
              <w:trPr>
                <w:trHeight w:val="144"/>
              </w:trPr>
              <w:tc>
                <w:tcPr>
                  <w:tcW w:w="1209" w:type="dxa"/>
                  <w:vAlign w:val="center"/>
                </w:tcPr>
                <w:p w14:paraId="462124A3"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DETP</w:t>
                  </w:r>
                </w:p>
              </w:tc>
              <w:tc>
                <w:tcPr>
                  <w:tcW w:w="1209" w:type="dxa"/>
                  <w:vAlign w:val="bottom"/>
                </w:tcPr>
                <w:p w14:paraId="0087501E"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0.999</w:t>
                  </w:r>
                </w:p>
              </w:tc>
              <w:tc>
                <w:tcPr>
                  <w:tcW w:w="1210" w:type="dxa"/>
                  <w:vAlign w:val="bottom"/>
                </w:tcPr>
                <w:p w14:paraId="62194CA3"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0.24</w:t>
                  </w:r>
                </w:p>
              </w:tc>
              <w:tc>
                <w:tcPr>
                  <w:tcW w:w="1209" w:type="dxa"/>
                  <w:vAlign w:val="bottom"/>
                </w:tcPr>
                <w:p w14:paraId="4D02D31A" w14:textId="6A8539C6" w:rsidR="009710AA" w:rsidRPr="00FE287F"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0.72</w:t>
                  </w:r>
                </w:p>
              </w:tc>
              <w:tc>
                <w:tcPr>
                  <w:tcW w:w="1210" w:type="dxa"/>
                  <w:vAlign w:val="bottom"/>
                </w:tcPr>
                <w:p w14:paraId="7F9DFCD4" w14:textId="49E76462"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92</w:t>
                  </w:r>
                </w:p>
              </w:tc>
              <w:tc>
                <w:tcPr>
                  <w:tcW w:w="1209" w:type="dxa"/>
                  <w:vAlign w:val="bottom"/>
                </w:tcPr>
                <w:p w14:paraId="6AF940BB"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5</w:t>
                  </w:r>
                </w:p>
              </w:tc>
              <w:tc>
                <w:tcPr>
                  <w:tcW w:w="1210" w:type="dxa"/>
                  <w:vAlign w:val="bottom"/>
                </w:tcPr>
                <w:p w14:paraId="77353F8A"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11</w:t>
                  </w:r>
                </w:p>
              </w:tc>
              <w:tc>
                <w:tcPr>
                  <w:tcW w:w="1209" w:type="dxa"/>
                  <w:vAlign w:val="bottom"/>
                </w:tcPr>
                <w:p w14:paraId="3F9B9354" w14:textId="3690157B"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1210" w:type="dxa"/>
                  <w:vAlign w:val="bottom"/>
                </w:tcPr>
                <w:p w14:paraId="78353E04" w14:textId="3BCBB716"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106</w:t>
                  </w:r>
                </w:p>
              </w:tc>
            </w:tr>
            <w:tr w:rsidR="002E59F5" w:rsidRPr="00FE287F" w14:paraId="5F19D774" w14:textId="0566C7C0" w:rsidTr="00AE459F">
              <w:trPr>
                <w:trHeight w:val="144"/>
              </w:trPr>
              <w:tc>
                <w:tcPr>
                  <w:tcW w:w="1209" w:type="dxa"/>
                  <w:vAlign w:val="center"/>
                </w:tcPr>
                <w:p w14:paraId="5E5BEEEC"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DEDTP</w:t>
                  </w:r>
                </w:p>
              </w:tc>
              <w:tc>
                <w:tcPr>
                  <w:tcW w:w="1209" w:type="dxa"/>
                  <w:vAlign w:val="bottom"/>
                </w:tcPr>
                <w:p w14:paraId="07E9AA35"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0.999</w:t>
                  </w:r>
                </w:p>
              </w:tc>
              <w:tc>
                <w:tcPr>
                  <w:tcW w:w="1210" w:type="dxa"/>
                  <w:vAlign w:val="bottom"/>
                </w:tcPr>
                <w:p w14:paraId="2A3357E5"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0.23</w:t>
                  </w:r>
                </w:p>
              </w:tc>
              <w:tc>
                <w:tcPr>
                  <w:tcW w:w="1209" w:type="dxa"/>
                  <w:vAlign w:val="bottom"/>
                </w:tcPr>
                <w:p w14:paraId="12AF846B" w14:textId="101902ED" w:rsidR="009710AA" w:rsidRPr="00FE287F"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0.69</w:t>
                  </w:r>
                </w:p>
              </w:tc>
              <w:tc>
                <w:tcPr>
                  <w:tcW w:w="1210" w:type="dxa"/>
                  <w:vAlign w:val="bottom"/>
                </w:tcPr>
                <w:p w14:paraId="0EBFBF37" w14:textId="1D3B9AD4"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72</w:t>
                  </w:r>
                </w:p>
              </w:tc>
              <w:tc>
                <w:tcPr>
                  <w:tcW w:w="1209" w:type="dxa"/>
                  <w:vAlign w:val="bottom"/>
                </w:tcPr>
                <w:p w14:paraId="6D175E58"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0</w:t>
                  </w:r>
                </w:p>
              </w:tc>
              <w:tc>
                <w:tcPr>
                  <w:tcW w:w="1210" w:type="dxa"/>
                  <w:vAlign w:val="bottom"/>
                </w:tcPr>
                <w:p w14:paraId="348B4D1B" w14:textId="77777777" w:rsidR="009710AA" w:rsidRPr="00FE287F" w:rsidRDefault="009710AA" w:rsidP="00AE459F">
                  <w:pPr>
                    <w:pStyle w:val="ListParagraph"/>
                    <w:spacing w:before="120"/>
                    <w:ind w:left="0"/>
                    <w:jc w:val="center"/>
                    <w:rPr>
                      <w:rFonts w:ascii="Times New Roman" w:hAnsi="Times New Roman" w:cs="Times New Roman"/>
                      <w:sz w:val="24"/>
                      <w:szCs w:val="24"/>
                    </w:rPr>
                  </w:pPr>
                  <w:r w:rsidRPr="00FE287F">
                    <w:rPr>
                      <w:rFonts w:ascii="Times New Roman" w:hAnsi="Times New Roman" w:cs="Times New Roman"/>
                      <w:sz w:val="24"/>
                      <w:szCs w:val="24"/>
                    </w:rPr>
                    <w:t>19</w:t>
                  </w:r>
                </w:p>
              </w:tc>
              <w:tc>
                <w:tcPr>
                  <w:tcW w:w="1209" w:type="dxa"/>
                  <w:vAlign w:val="bottom"/>
                </w:tcPr>
                <w:p w14:paraId="1345520F" w14:textId="647F2C67"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101</w:t>
                  </w:r>
                </w:p>
              </w:tc>
              <w:tc>
                <w:tcPr>
                  <w:tcW w:w="1210" w:type="dxa"/>
                  <w:vAlign w:val="bottom"/>
                </w:tcPr>
                <w:p w14:paraId="34DA80B9" w14:textId="6809285C" w:rsidR="009710AA" w:rsidRDefault="009710AA" w:rsidP="00AE459F">
                  <w:pPr>
                    <w:pStyle w:val="ListParagraph"/>
                    <w:spacing w:before="120"/>
                    <w:ind w:left="0"/>
                    <w:jc w:val="center"/>
                    <w:rPr>
                      <w:rFonts w:ascii="Times New Roman" w:hAnsi="Times New Roman" w:cs="Times New Roman"/>
                      <w:sz w:val="24"/>
                      <w:szCs w:val="24"/>
                    </w:rPr>
                  </w:pPr>
                  <w:r>
                    <w:rPr>
                      <w:rFonts w:ascii="Times New Roman" w:hAnsi="Times New Roman" w:cs="Times New Roman"/>
                      <w:sz w:val="24"/>
                      <w:szCs w:val="24"/>
                    </w:rPr>
                    <w:t>108</w:t>
                  </w:r>
                </w:p>
              </w:tc>
            </w:tr>
          </w:tbl>
          <w:p w14:paraId="7D6B6463" w14:textId="77777777" w:rsidR="00E0751C" w:rsidRPr="00FE287F" w:rsidRDefault="00E0751C" w:rsidP="00AE459F">
            <w:pPr>
              <w:pStyle w:val="ListParagraph"/>
              <w:spacing w:before="120"/>
              <w:ind w:left="0"/>
              <w:jc w:val="both"/>
              <w:rPr>
                <w:rFonts w:ascii="Times New Roman" w:hAnsi="Times New Roman" w:cs="Times New Roman"/>
                <w:sz w:val="24"/>
                <w:szCs w:val="24"/>
              </w:rPr>
            </w:pPr>
          </w:p>
        </w:tc>
      </w:tr>
      <w:bookmarkEnd w:id="0"/>
    </w:tbl>
    <w:p w14:paraId="7DC49B68" w14:textId="77777777" w:rsidR="00135447" w:rsidRPr="00FE287F" w:rsidRDefault="00135447" w:rsidP="00AE459F">
      <w:pPr>
        <w:spacing w:before="120" w:after="0" w:line="240" w:lineRule="auto"/>
        <w:ind w:right="288"/>
        <w:jc w:val="both"/>
        <w:rPr>
          <w:rFonts w:ascii="Times New Roman" w:hAnsi="Times New Roman" w:cs="Times New Roman"/>
          <w:sz w:val="24"/>
          <w:szCs w:val="24"/>
        </w:rPr>
      </w:pPr>
    </w:p>
    <w:sectPr w:rsidR="00135447" w:rsidRPr="00FE287F" w:rsidSect="00314DF3">
      <w:pgSz w:w="15840" w:h="12240" w:orient="landscape"/>
      <w:pgMar w:top="1440" w:right="1080" w:bottom="1440" w:left="108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67C4" w14:textId="77777777" w:rsidR="00CB2C62" w:rsidRDefault="00CB2C62" w:rsidP="007E3238">
      <w:pPr>
        <w:spacing w:after="0" w:line="240" w:lineRule="auto"/>
      </w:pPr>
      <w:r>
        <w:separator/>
      </w:r>
    </w:p>
  </w:endnote>
  <w:endnote w:type="continuationSeparator" w:id="0">
    <w:p w14:paraId="70163C3C" w14:textId="77777777" w:rsidR="00CB2C62" w:rsidRDefault="00CB2C62" w:rsidP="007E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0832"/>
      <w:docPartObj>
        <w:docPartGallery w:val="Page Numbers (Bottom of Page)"/>
        <w:docPartUnique/>
      </w:docPartObj>
    </w:sdtPr>
    <w:sdtEndPr>
      <w:rPr>
        <w:noProof/>
      </w:rPr>
    </w:sdtEndPr>
    <w:sdtContent>
      <w:p w14:paraId="3B4D3D8B" w14:textId="77777777" w:rsidR="00740D4A" w:rsidRDefault="00740D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3EDED5" w14:textId="77777777" w:rsidR="00740D4A" w:rsidRDefault="0074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65DC" w14:textId="77777777" w:rsidR="00CB2C62" w:rsidRDefault="00CB2C62" w:rsidP="007E3238">
      <w:pPr>
        <w:spacing w:after="0" w:line="240" w:lineRule="auto"/>
      </w:pPr>
      <w:r>
        <w:separator/>
      </w:r>
    </w:p>
  </w:footnote>
  <w:footnote w:type="continuationSeparator" w:id="0">
    <w:p w14:paraId="492C099D" w14:textId="77777777" w:rsidR="00CB2C62" w:rsidRDefault="00CB2C62" w:rsidP="007E3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B58"/>
    <w:multiLevelType w:val="hybridMultilevel"/>
    <w:tmpl w:val="8A72DD2C"/>
    <w:lvl w:ilvl="0" w:tplc="7354B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74F2B"/>
    <w:multiLevelType w:val="hybridMultilevel"/>
    <w:tmpl w:val="E826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43D4D"/>
    <w:multiLevelType w:val="hybridMultilevel"/>
    <w:tmpl w:val="8C38B234"/>
    <w:lvl w:ilvl="0" w:tplc="E4D8D0E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58241D"/>
    <w:multiLevelType w:val="multilevel"/>
    <w:tmpl w:val="DD3621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6D66CA"/>
    <w:multiLevelType w:val="hybridMultilevel"/>
    <w:tmpl w:val="60808650"/>
    <w:lvl w:ilvl="0" w:tplc="2B2814FA">
      <w:start w:val="1"/>
      <w:numFmt w:val="bullet"/>
      <w:lvlText w:val="•"/>
      <w:lvlJc w:val="left"/>
      <w:pPr>
        <w:tabs>
          <w:tab w:val="num" w:pos="720"/>
        </w:tabs>
        <w:ind w:left="720" w:hanging="360"/>
      </w:pPr>
      <w:rPr>
        <w:rFonts w:ascii="Arial" w:hAnsi="Arial" w:hint="default"/>
      </w:rPr>
    </w:lvl>
    <w:lvl w:ilvl="1" w:tplc="F9D617F0" w:tentative="1">
      <w:start w:val="1"/>
      <w:numFmt w:val="bullet"/>
      <w:lvlText w:val="•"/>
      <w:lvlJc w:val="left"/>
      <w:pPr>
        <w:tabs>
          <w:tab w:val="num" w:pos="1440"/>
        </w:tabs>
        <w:ind w:left="1440" w:hanging="360"/>
      </w:pPr>
      <w:rPr>
        <w:rFonts w:ascii="Arial" w:hAnsi="Arial" w:hint="default"/>
      </w:rPr>
    </w:lvl>
    <w:lvl w:ilvl="2" w:tplc="C7CE9F86" w:tentative="1">
      <w:start w:val="1"/>
      <w:numFmt w:val="bullet"/>
      <w:lvlText w:val="•"/>
      <w:lvlJc w:val="left"/>
      <w:pPr>
        <w:tabs>
          <w:tab w:val="num" w:pos="2160"/>
        </w:tabs>
        <w:ind w:left="2160" w:hanging="360"/>
      </w:pPr>
      <w:rPr>
        <w:rFonts w:ascii="Arial" w:hAnsi="Arial" w:hint="default"/>
      </w:rPr>
    </w:lvl>
    <w:lvl w:ilvl="3" w:tplc="617073CA" w:tentative="1">
      <w:start w:val="1"/>
      <w:numFmt w:val="bullet"/>
      <w:lvlText w:val="•"/>
      <w:lvlJc w:val="left"/>
      <w:pPr>
        <w:tabs>
          <w:tab w:val="num" w:pos="2880"/>
        </w:tabs>
        <w:ind w:left="2880" w:hanging="360"/>
      </w:pPr>
      <w:rPr>
        <w:rFonts w:ascii="Arial" w:hAnsi="Arial" w:hint="default"/>
      </w:rPr>
    </w:lvl>
    <w:lvl w:ilvl="4" w:tplc="AD841BC4" w:tentative="1">
      <w:start w:val="1"/>
      <w:numFmt w:val="bullet"/>
      <w:lvlText w:val="•"/>
      <w:lvlJc w:val="left"/>
      <w:pPr>
        <w:tabs>
          <w:tab w:val="num" w:pos="3600"/>
        </w:tabs>
        <w:ind w:left="3600" w:hanging="360"/>
      </w:pPr>
      <w:rPr>
        <w:rFonts w:ascii="Arial" w:hAnsi="Arial" w:hint="default"/>
      </w:rPr>
    </w:lvl>
    <w:lvl w:ilvl="5" w:tplc="9892838E" w:tentative="1">
      <w:start w:val="1"/>
      <w:numFmt w:val="bullet"/>
      <w:lvlText w:val="•"/>
      <w:lvlJc w:val="left"/>
      <w:pPr>
        <w:tabs>
          <w:tab w:val="num" w:pos="4320"/>
        </w:tabs>
        <w:ind w:left="4320" w:hanging="360"/>
      </w:pPr>
      <w:rPr>
        <w:rFonts w:ascii="Arial" w:hAnsi="Arial" w:hint="default"/>
      </w:rPr>
    </w:lvl>
    <w:lvl w:ilvl="6" w:tplc="6352D808" w:tentative="1">
      <w:start w:val="1"/>
      <w:numFmt w:val="bullet"/>
      <w:lvlText w:val="•"/>
      <w:lvlJc w:val="left"/>
      <w:pPr>
        <w:tabs>
          <w:tab w:val="num" w:pos="5040"/>
        </w:tabs>
        <w:ind w:left="5040" w:hanging="360"/>
      </w:pPr>
      <w:rPr>
        <w:rFonts w:ascii="Arial" w:hAnsi="Arial" w:hint="default"/>
      </w:rPr>
    </w:lvl>
    <w:lvl w:ilvl="7" w:tplc="56BE2B8A" w:tentative="1">
      <w:start w:val="1"/>
      <w:numFmt w:val="bullet"/>
      <w:lvlText w:val="•"/>
      <w:lvlJc w:val="left"/>
      <w:pPr>
        <w:tabs>
          <w:tab w:val="num" w:pos="5760"/>
        </w:tabs>
        <w:ind w:left="5760" w:hanging="360"/>
      </w:pPr>
      <w:rPr>
        <w:rFonts w:ascii="Arial" w:hAnsi="Arial" w:hint="default"/>
      </w:rPr>
    </w:lvl>
    <w:lvl w:ilvl="8" w:tplc="A67EC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9024FE"/>
    <w:multiLevelType w:val="hybridMultilevel"/>
    <w:tmpl w:val="DF844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B47B4"/>
    <w:multiLevelType w:val="hybridMultilevel"/>
    <w:tmpl w:val="137258AC"/>
    <w:lvl w:ilvl="0" w:tplc="511E49E8">
      <w:start w:val="1"/>
      <w:numFmt w:val="bullet"/>
      <w:lvlText w:val="-"/>
      <w:lvlJc w:val="left"/>
      <w:pPr>
        <w:tabs>
          <w:tab w:val="num" w:pos="720"/>
        </w:tabs>
        <w:ind w:left="720" w:hanging="360"/>
      </w:pPr>
      <w:rPr>
        <w:rFonts w:ascii="Times New Roman" w:hAnsi="Times New Roman" w:hint="default"/>
      </w:rPr>
    </w:lvl>
    <w:lvl w:ilvl="1" w:tplc="9E301D00" w:tentative="1">
      <w:start w:val="1"/>
      <w:numFmt w:val="bullet"/>
      <w:lvlText w:val="-"/>
      <w:lvlJc w:val="left"/>
      <w:pPr>
        <w:tabs>
          <w:tab w:val="num" w:pos="1440"/>
        </w:tabs>
        <w:ind w:left="1440" w:hanging="360"/>
      </w:pPr>
      <w:rPr>
        <w:rFonts w:ascii="Times New Roman" w:hAnsi="Times New Roman" w:hint="default"/>
      </w:rPr>
    </w:lvl>
    <w:lvl w:ilvl="2" w:tplc="DA020DC2" w:tentative="1">
      <w:start w:val="1"/>
      <w:numFmt w:val="bullet"/>
      <w:lvlText w:val="-"/>
      <w:lvlJc w:val="left"/>
      <w:pPr>
        <w:tabs>
          <w:tab w:val="num" w:pos="2160"/>
        </w:tabs>
        <w:ind w:left="2160" w:hanging="360"/>
      </w:pPr>
      <w:rPr>
        <w:rFonts w:ascii="Times New Roman" w:hAnsi="Times New Roman" w:hint="default"/>
      </w:rPr>
    </w:lvl>
    <w:lvl w:ilvl="3" w:tplc="0DD0343A" w:tentative="1">
      <w:start w:val="1"/>
      <w:numFmt w:val="bullet"/>
      <w:lvlText w:val="-"/>
      <w:lvlJc w:val="left"/>
      <w:pPr>
        <w:tabs>
          <w:tab w:val="num" w:pos="2880"/>
        </w:tabs>
        <w:ind w:left="2880" w:hanging="360"/>
      </w:pPr>
      <w:rPr>
        <w:rFonts w:ascii="Times New Roman" w:hAnsi="Times New Roman" w:hint="default"/>
      </w:rPr>
    </w:lvl>
    <w:lvl w:ilvl="4" w:tplc="FB6E3CC8" w:tentative="1">
      <w:start w:val="1"/>
      <w:numFmt w:val="bullet"/>
      <w:lvlText w:val="-"/>
      <w:lvlJc w:val="left"/>
      <w:pPr>
        <w:tabs>
          <w:tab w:val="num" w:pos="3600"/>
        </w:tabs>
        <w:ind w:left="3600" w:hanging="360"/>
      </w:pPr>
      <w:rPr>
        <w:rFonts w:ascii="Times New Roman" w:hAnsi="Times New Roman" w:hint="default"/>
      </w:rPr>
    </w:lvl>
    <w:lvl w:ilvl="5" w:tplc="13CE34A8" w:tentative="1">
      <w:start w:val="1"/>
      <w:numFmt w:val="bullet"/>
      <w:lvlText w:val="-"/>
      <w:lvlJc w:val="left"/>
      <w:pPr>
        <w:tabs>
          <w:tab w:val="num" w:pos="4320"/>
        </w:tabs>
        <w:ind w:left="4320" w:hanging="360"/>
      </w:pPr>
      <w:rPr>
        <w:rFonts w:ascii="Times New Roman" w:hAnsi="Times New Roman" w:hint="default"/>
      </w:rPr>
    </w:lvl>
    <w:lvl w:ilvl="6" w:tplc="8430B2DE" w:tentative="1">
      <w:start w:val="1"/>
      <w:numFmt w:val="bullet"/>
      <w:lvlText w:val="-"/>
      <w:lvlJc w:val="left"/>
      <w:pPr>
        <w:tabs>
          <w:tab w:val="num" w:pos="5040"/>
        </w:tabs>
        <w:ind w:left="5040" w:hanging="360"/>
      </w:pPr>
      <w:rPr>
        <w:rFonts w:ascii="Times New Roman" w:hAnsi="Times New Roman" w:hint="default"/>
      </w:rPr>
    </w:lvl>
    <w:lvl w:ilvl="7" w:tplc="5DE69F0C" w:tentative="1">
      <w:start w:val="1"/>
      <w:numFmt w:val="bullet"/>
      <w:lvlText w:val="-"/>
      <w:lvlJc w:val="left"/>
      <w:pPr>
        <w:tabs>
          <w:tab w:val="num" w:pos="5760"/>
        </w:tabs>
        <w:ind w:left="5760" w:hanging="360"/>
      </w:pPr>
      <w:rPr>
        <w:rFonts w:ascii="Times New Roman" w:hAnsi="Times New Roman" w:hint="default"/>
      </w:rPr>
    </w:lvl>
    <w:lvl w:ilvl="8" w:tplc="3C40CCB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3074CDC"/>
    <w:multiLevelType w:val="hybridMultilevel"/>
    <w:tmpl w:val="B3B48C6C"/>
    <w:lvl w:ilvl="0" w:tplc="7570D3A8">
      <w:start w:val="1"/>
      <w:numFmt w:val="bullet"/>
      <w:lvlText w:val="•"/>
      <w:lvlJc w:val="left"/>
      <w:pPr>
        <w:tabs>
          <w:tab w:val="num" w:pos="720"/>
        </w:tabs>
        <w:ind w:left="720" w:hanging="360"/>
      </w:pPr>
      <w:rPr>
        <w:rFonts w:ascii="Arial" w:hAnsi="Arial" w:hint="default"/>
      </w:rPr>
    </w:lvl>
    <w:lvl w:ilvl="1" w:tplc="5BB6CBE2" w:tentative="1">
      <w:start w:val="1"/>
      <w:numFmt w:val="bullet"/>
      <w:lvlText w:val="•"/>
      <w:lvlJc w:val="left"/>
      <w:pPr>
        <w:tabs>
          <w:tab w:val="num" w:pos="1440"/>
        </w:tabs>
        <w:ind w:left="1440" w:hanging="360"/>
      </w:pPr>
      <w:rPr>
        <w:rFonts w:ascii="Arial" w:hAnsi="Arial" w:hint="default"/>
      </w:rPr>
    </w:lvl>
    <w:lvl w:ilvl="2" w:tplc="24E861BE" w:tentative="1">
      <w:start w:val="1"/>
      <w:numFmt w:val="bullet"/>
      <w:lvlText w:val="•"/>
      <w:lvlJc w:val="left"/>
      <w:pPr>
        <w:tabs>
          <w:tab w:val="num" w:pos="2160"/>
        </w:tabs>
        <w:ind w:left="2160" w:hanging="360"/>
      </w:pPr>
      <w:rPr>
        <w:rFonts w:ascii="Arial" w:hAnsi="Arial" w:hint="default"/>
      </w:rPr>
    </w:lvl>
    <w:lvl w:ilvl="3" w:tplc="27DA5ADE" w:tentative="1">
      <w:start w:val="1"/>
      <w:numFmt w:val="bullet"/>
      <w:lvlText w:val="•"/>
      <w:lvlJc w:val="left"/>
      <w:pPr>
        <w:tabs>
          <w:tab w:val="num" w:pos="2880"/>
        </w:tabs>
        <w:ind w:left="2880" w:hanging="360"/>
      </w:pPr>
      <w:rPr>
        <w:rFonts w:ascii="Arial" w:hAnsi="Arial" w:hint="default"/>
      </w:rPr>
    </w:lvl>
    <w:lvl w:ilvl="4" w:tplc="6ED08AD0" w:tentative="1">
      <w:start w:val="1"/>
      <w:numFmt w:val="bullet"/>
      <w:lvlText w:val="•"/>
      <w:lvlJc w:val="left"/>
      <w:pPr>
        <w:tabs>
          <w:tab w:val="num" w:pos="3600"/>
        </w:tabs>
        <w:ind w:left="3600" w:hanging="360"/>
      </w:pPr>
      <w:rPr>
        <w:rFonts w:ascii="Arial" w:hAnsi="Arial" w:hint="default"/>
      </w:rPr>
    </w:lvl>
    <w:lvl w:ilvl="5" w:tplc="F2927FD6" w:tentative="1">
      <w:start w:val="1"/>
      <w:numFmt w:val="bullet"/>
      <w:lvlText w:val="•"/>
      <w:lvlJc w:val="left"/>
      <w:pPr>
        <w:tabs>
          <w:tab w:val="num" w:pos="4320"/>
        </w:tabs>
        <w:ind w:left="4320" w:hanging="360"/>
      </w:pPr>
      <w:rPr>
        <w:rFonts w:ascii="Arial" w:hAnsi="Arial" w:hint="default"/>
      </w:rPr>
    </w:lvl>
    <w:lvl w:ilvl="6" w:tplc="CD48DD8C" w:tentative="1">
      <w:start w:val="1"/>
      <w:numFmt w:val="bullet"/>
      <w:lvlText w:val="•"/>
      <w:lvlJc w:val="left"/>
      <w:pPr>
        <w:tabs>
          <w:tab w:val="num" w:pos="5040"/>
        </w:tabs>
        <w:ind w:left="5040" w:hanging="360"/>
      </w:pPr>
      <w:rPr>
        <w:rFonts w:ascii="Arial" w:hAnsi="Arial" w:hint="default"/>
      </w:rPr>
    </w:lvl>
    <w:lvl w:ilvl="7" w:tplc="DEE49608" w:tentative="1">
      <w:start w:val="1"/>
      <w:numFmt w:val="bullet"/>
      <w:lvlText w:val="•"/>
      <w:lvlJc w:val="left"/>
      <w:pPr>
        <w:tabs>
          <w:tab w:val="num" w:pos="5760"/>
        </w:tabs>
        <w:ind w:left="5760" w:hanging="360"/>
      </w:pPr>
      <w:rPr>
        <w:rFonts w:ascii="Arial" w:hAnsi="Arial" w:hint="default"/>
      </w:rPr>
    </w:lvl>
    <w:lvl w:ilvl="8" w:tplc="5AE2FB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173AC3"/>
    <w:multiLevelType w:val="multilevel"/>
    <w:tmpl w:val="B99C05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94C2910"/>
    <w:multiLevelType w:val="multilevel"/>
    <w:tmpl w:val="B10CB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25530029">
    <w:abstractNumId w:val="9"/>
  </w:num>
  <w:num w:numId="2" w16cid:durableId="681711493">
    <w:abstractNumId w:val="2"/>
  </w:num>
  <w:num w:numId="3" w16cid:durableId="331689953">
    <w:abstractNumId w:val="8"/>
  </w:num>
  <w:num w:numId="4" w16cid:durableId="453838890">
    <w:abstractNumId w:val="6"/>
  </w:num>
  <w:num w:numId="5" w16cid:durableId="1190605813">
    <w:abstractNumId w:val="7"/>
  </w:num>
  <w:num w:numId="6" w16cid:durableId="1552500026">
    <w:abstractNumId w:val="4"/>
  </w:num>
  <w:num w:numId="7" w16cid:durableId="1839081207">
    <w:abstractNumId w:val="5"/>
  </w:num>
  <w:num w:numId="8" w16cid:durableId="1335109503">
    <w:abstractNumId w:val="1"/>
  </w:num>
  <w:num w:numId="9" w16cid:durableId="239215493">
    <w:abstractNumId w:val="0"/>
  </w:num>
  <w:num w:numId="10" w16cid:durableId="1556428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15"/>
    <w:rsid w:val="000035B9"/>
    <w:rsid w:val="00003F3D"/>
    <w:rsid w:val="0000550E"/>
    <w:rsid w:val="000061A8"/>
    <w:rsid w:val="00006F97"/>
    <w:rsid w:val="00010C63"/>
    <w:rsid w:val="0001196C"/>
    <w:rsid w:val="0001198B"/>
    <w:rsid w:val="00012966"/>
    <w:rsid w:val="00012E46"/>
    <w:rsid w:val="00013127"/>
    <w:rsid w:val="00013297"/>
    <w:rsid w:val="00013452"/>
    <w:rsid w:val="00014AF0"/>
    <w:rsid w:val="00014BA9"/>
    <w:rsid w:val="00014F9A"/>
    <w:rsid w:val="000155D0"/>
    <w:rsid w:val="0001609D"/>
    <w:rsid w:val="00016F56"/>
    <w:rsid w:val="00017449"/>
    <w:rsid w:val="000178ED"/>
    <w:rsid w:val="000201BF"/>
    <w:rsid w:val="00020460"/>
    <w:rsid w:val="00020585"/>
    <w:rsid w:val="00021234"/>
    <w:rsid w:val="00021B9E"/>
    <w:rsid w:val="00025BE6"/>
    <w:rsid w:val="000268EF"/>
    <w:rsid w:val="00027481"/>
    <w:rsid w:val="00027CD3"/>
    <w:rsid w:val="00030054"/>
    <w:rsid w:val="00031203"/>
    <w:rsid w:val="0003161E"/>
    <w:rsid w:val="00031FBB"/>
    <w:rsid w:val="00032476"/>
    <w:rsid w:val="00032DBE"/>
    <w:rsid w:val="00033160"/>
    <w:rsid w:val="00034626"/>
    <w:rsid w:val="00034DEA"/>
    <w:rsid w:val="00034EB9"/>
    <w:rsid w:val="000350F8"/>
    <w:rsid w:val="00035606"/>
    <w:rsid w:val="00036E49"/>
    <w:rsid w:val="00040D6E"/>
    <w:rsid w:val="0004111D"/>
    <w:rsid w:val="0004430A"/>
    <w:rsid w:val="00045691"/>
    <w:rsid w:val="00046378"/>
    <w:rsid w:val="00047180"/>
    <w:rsid w:val="000471BC"/>
    <w:rsid w:val="0004788B"/>
    <w:rsid w:val="00050360"/>
    <w:rsid w:val="00050C00"/>
    <w:rsid w:val="00051495"/>
    <w:rsid w:val="00055BB1"/>
    <w:rsid w:val="0005656F"/>
    <w:rsid w:val="0005681B"/>
    <w:rsid w:val="00056BD4"/>
    <w:rsid w:val="00057DAA"/>
    <w:rsid w:val="00057E56"/>
    <w:rsid w:val="000615EA"/>
    <w:rsid w:val="00062FDA"/>
    <w:rsid w:val="000640F2"/>
    <w:rsid w:val="00064B68"/>
    <w:rsid w:val="00066259"/>
    <w:rsid w:val="00066E18"/>
    <w:rsid w:val="00073238"/>
    <w:rsid w:val="00073646"/>
    <w:rsid w:val="000762F8"/>
    <w:rsid w:val="000768D8"/>
    <w:rsid w:val="00076CE8"/>
    <w:rsid w:val="00077652"/>
    <w:rsid w:val="0008082B"/>
    <w:rsid w:val="00080E7D"/>
    <w:rsid w:val="000824B0"/>
    <w:rsid w:val="0008332F"/>
    <w:rsid w:val="000842B7"/>
    <w:rsid w:val="000847C0"/>
    <w:rsid w:val="00092040"/>
    <w:rsid w:val="000925CA"/>
    <w:rsid w:val="00092D8E"/>
    <w:rsid w:val="0009404F"/>
    <w:rsid w:val="000978EE"/>
    <w:rsid w:val="000A0533"/>
    <w:rsid w:val="000A06BA"/>
    <w:rsid w:val="000A0A13"/>
    <w:rsid w:val="000A0C36"/>
    <w:rsid w:val="000A0D3B"/>
    <w:rsid w:val="000A0ED0"/>
    <w:rsid w:val="000A0FF8"/>
    <w:rsid w:val="000A1D26"/>
    <w:rsid w:val="000A3B1D"/>
    <w:rsid w:val="000A3BB9"/>
    <w:rsid w:val="000A3BE5"/>
    <w:rsid w:val="000A703B"/>
    <w:rsid w:val="000A7716"/>
    <w:rsid w:val="000B06B2"/>
    <w:rsid w:val="000B070D"/>
    <w:rsid w:val="000B0AB2"/>
    <w:rsid w:val="000B2572"/>
    <w:rsid w:val="000B2844"/>
    <w:rsid w:val="000B33CD"/>
    <w:rsid w:val="000B4FD0"/>
    <w:rsid w:val="000B61C1"/>
    <w:rsid w:val="000B72FB"/>
    <w:rsid w:val="000B7615"/>
    <w:rsid w:val="000C114B"/>
    <w:rsid w:val="000C2422"/>
    <w:rsid w:val="000C2AA4"/>
    <w:rsid w:val="000C39B0"/>
    <w:rsid w:val="000C3F2B"/>
    <w:rsid w:val="000C493A"/>
    <w:rsid w:val="000C4F76"/>
    <w:rsid w:val="000C4F9B"/>
    <w:rsid w:val="000D161D"/>
    <w:rsid w:val="000D24DC"/>
    <w:rsid w:val="000D3176"/>
    <w:rsid w:val="000D352E"/>
    <w:rsid w:val="000D4A28"/>
    <w:rsid w:val="000D51B7"/>
    <w:rsid w:val="000D53C9"/>
    <w:rsid w:val="000D57FD"/>
    <w:rsid w:val="000D5D2B"/>
    <w:rsid w:val="000D5D70"/>
    <w:rsid w:val="000D70B7"/>
    <w:rsid w:val="000D78A1"/>
    <w:rsid w:val="000E0100"/>
    <w:rsid w:val="000E1B49"/>
    <w:rsid w:val="000E33AA"/>
    <w:rsid w:val="000E3C9A"/>
    <w:rsid w:val="000E473F"/>
    <w:rsid w:val="000E5213"/>
    <w:rsid w:val="000E540A"/>
    <w:rsid w:val="000E5458"/>
    <w:rsid w:val="000F092C"/>
    <w:rsid w:val="000F2217"/>
    <w:rsid w:val="000F2537"/>
    <w:rsid w:val="000F30D6"/>
    <w:rsid w:val="000F3CD7"/>
    <w:rsid w:val="000F494B"/>
    <w:rsid w:val="000F57E6"/>
    <w:rsid w:val="000F7930"/>
    <w:rsid w:val="000F7D29"/>
    <w:rsid w:val="00104033"/>
    <w:rsid w:val="00104B23"/>
    <w:rsid w:val="00105A91"/>
    <w:rsid w:val="001069ED"/>
    <w:rsid w:val="00106B82"/>
    <w:rsid w:val="00106D8D"/>
    <w:rsid w:val="001107CC"/>
    <w:rsid w:val="00112FC4"/>
    <w:rsid w:val="00114DFA"/>
    <w:rsid w:val="00116025"/>
    <w:rsid w:val="0011745F"/>
    <w:rsid w:val="00117C02"/>
    <w:rsid w:val="0012134E"/>
    <w:rsid w:val="00122759"/>
    <w:rsid w:val="0012329A"/>
    <w:rsid w:val="00126C8F"/>
    <w:rsid w:val="00127979"/>
    <w:rsid w:val="001324DA"/>
    <w:rsid w:val="00132548"/>
    <w:rsid w:val="001327EB"/>
    <w:rsid w:val="00133D18"/>
    <w:rsid w:val="0013483D"/>
    <w:rsid w:val="00135447"/>
    <w:rsid w:val="00135F15"/>
    <w:rsid w:val="00136ECB"/>
    <w:rsid w:val="00137665"/>
    <w:rsid w:val="00141943"/>
    <w:rsid w:val="0014207B"/>
    <w:rsid w:val="00142194"/>
    <w:rsid w:val="00142856"/>
    <w:rsid w:val="00142F93"/>
    <w:rsid w:val="00143552"/>
    <w:rsid w:val="00143617"/>
    <w:rsid w:val="00143B38"/>
    <w:rsid w:val="00145D6C"/>
    <w:rsid w:val="001469F2"/>
    <w:rsid w:val="001478AC"/>
    <w:rsid w:val="00150737"/>
    <w:rsid w:val="001508E9"/>
    <w:rsid w:val="00150915"/>
    <w:rsid w:val="0015298E"/>
    <w:rsid w:val="00152C73"/>
    <w:rsid w:val="001544E3"/>
    <w:rsid w:val="0015743D"/>
    <w:rsid w:val="0015794B"/>
    <w:rsid w:val="00157D83"/>
    <w:rsid w:val="00160188"/>
    <w:rsid w:val="0016062D"/>
    <w:rsid w:val="0016075B"/>
    <w:rsid w:val="0016078E"/>
    <w:rsid w:val="001614B5"/>
    <w:rsid w:val="001614D4"/>
    <w:rsid w:val="00161AA2"/>
    <w:rsid w:val="00163FD6"/>
    <w:rsid w:val="001658FC"/>
    <w:rsid w:val="00166070"/>
    <w:rsid w:val="001668DE"/>
    <w:rsid w:val="00166EEC"/>
    <w:rsid w:val="00167792"/>
    <w:rsid w:val="00167BBD"/>
    <w:rsid w:val="00171F32"/>
    <w:rsid w:val="0017437C"/>
    <w:rsid w:val="001752DA"/>
    <w:rsid w:val="0017602B"/>
    <w:rsid w:val="0017633E"/>
    <w:rsid w:val="001777F9"/>
    <w:rsid w:val="00180FF4"/>
    <w:rsid w:val="001810EE"/>
    <w:rsid w:val="001817D4"/>
    <w:rsid w:val="00182ADF"/>
    <w:rsid w:val="00182CAA"/>
    <w:rsid w:val="001848A9"/>
    <w:rsid w:val="00184C3F"/>
    <w:rsid w:val="0018520C"/>
    <w:rsid w:val="0018600E"/>
    <w:rsid w:val="00186BA3"/>
    <w:rsid w:val="0018780B"/>
    <w:rsid w:val="001908E1"/>
    <w:rsid w:val="001911F1"/>
    <w:rsid w:val="00192733"/>
    <w:rsid w:val="00192796"/>
    <w:rsid w:val="00195BBF"/>
    <w:rsid w:val="001964B6"/>
    <w:rsid w:val="00196A72"/>
    <w:rsid w:val="00197372"/>
    <w:rsid w:val="0019747B"/>
    <w:rsid w:val="0019767A"/>
    <w:rsid w:val="001A0707"/>
    <w:rsid w:val="001A0A5C"/>
    <w:rsid w:val="001A4CEF"/>
    <w:rsid w:val="001A531F"/>
    <w:rsid w:val="001A650D"/>
    <w:rsid w:val="001A77D7"/>
    <w:rsid w:val="001B084B"/>
    <w:rsid w:val="001B2303"/>
    <w:rsid w:val="001B285B"/>
    <w:rsid w:val="001B2F92"/>
    <w:rsid w:val="001B3662"/>
    <w:rsid w:val="001B4018"/>
    <w:rsid w:val="001B4ECD"/>
    <w:rsid w:val="001B5CD8"/>
    <w:rsid w:val="001B6337"/>
    <w:rsid w:val="001B673E"/>
    <w:rsid w:val="001B7CF4"/>
    <w:rsid w:val="001C1A32"/>
    <w:rsid w:val="001C26D1"/>
    <w:rsid w:val="001C2D99"/>
    <w:rsid w:val="001C34AC"/>
    <w:rsid w:val="001C3C21"/>
    <w:rsid w:val="001C3D0C"/>
    <w:rsid w:val="001C603D"/>
    <w:rsid w:val="001C67A3"/>
    <w:rsid w:val="001C6F22"/>
    <w:rsid w:val="001D16B5"/>
    <w:rsid w:val="001D1926"/>
    <w:rsid w:val="001D3911"/>
    <w:rsid w:val="001D49F2"/>
    <w:rsid w:val="001D5A67"/>
    <w:rsid w:val="001D6291"/>
    <w:rsid w:val="001D68D9"/>
    <w:rsid w:val="001D6992"/>
    <w:rsid w:val="001D6C71"/>
    <w:rsid w:val="001E0265"/>
    <w:rsid w:val="001E19C2"/>
    <w:rsid w:val="001E1F67"/>
    <w:rsid w:val="001E22B5"/>
    <w:rsid w:val="001E2A90"/>
    <w:rsid w:val="001E43BE"/>
    <w:rsid w:val="001E5B91"/>
    <w:rsid w:val="001E65AA"/>
    <w:rsid w:val="001E68D7"/>
    <w:rsid w:val="001F1928"/>
    <w:rsid w:val="001F2112"/>
    <w:rsid w:val="001F3F45"/>
    <w:rsid w:val="001F4011"/>
    <w:rsid w:val="001F5610"/>
    <w:rsid w:val="001F6E73"/>
    <w:rsid w:val="00200977"/>
    <w:rsid w:val="0020107E"/>
    <w:rsid w:val="002013BD"/>
    <w:rsid w:val="002023B3"/>
    <w:rsid w:val="00202ADA"/>
    <w:rsid w:val="0020358C"/>
    <w:rsid w:val="0020390B"/>
    <w:rsid w:val="0020411C"/>
    <w:rsid w:val="00204C59"/>
    <w:rsid w:val="0020589F"/>
    <w:rsid w:val="00207699"/>
    <w:rsid w:val="00210357"/>
    <w:rsid w:val="002110A5"/>
    <w:rsid w:val="0021166F"/>
    <w:rsid w:val="00212362"/>
    <w:rsid w:val="00212D24"/>
    <w:rsid w:val="002154CA"/>
    <w:rsid w:val="002159CD"/>
    <w:rsid w:val="002167FF"/>
    <w:rsid w:val="002176AD"/>
    <w:rsid w:val="00222204"/>
    <w:rsid w:val="0022231D"/>
    <w:rsid w:val="002249FC"/>
    <w:rsid w:val="002257D3"/>
    <w:rsid w:val="00226EE1"/>
    <w:rsid w:val="00227F74"/>
    <w:rsid w:val="00230A6E"/>
    <w:rsid w:val="00231CC6"/>
    <w:rsid w:val="00231F8A"/>
    <w:rsid w:val="0023200C"/>
    <w:rsid w:val="00232CD0"/>
    <w:rsid w:val="00232CDA"/>
    <w:rsid w:val="0023427C"/>
    <w:rsid w:val="002342ED"/>
    <w:rsid w:val="00234848"/>
    <w:rsid w:val="00236D4A"/>
    <w:rsid w:val="00236DA4"/>
    <w:rsid w:val="00237484"/>
    <w:rsid w:val="002376C2"/>
    <w:rsid w:val="0024051D"/>
    <w:rsid w:val="00241031"/>
    <w:rsid w:val="00241909"/>
    <w:rsid w:val="00244919"/>
    <w:rsid w:val="00244962"/>
    <w:rsid w:val="00244CF0"/>
    <w:rsid w:val="00246135"/>
    <w:rsid w:val="0024678E"/>
    <w:rsid w:val="002469E1"/>
    <w:rsid w:val="0024780A"/>
    <w:rsid w:val="00247D2A"/>
    <w:rsid w:val="00250E81"/>
    <w:rsid w:val="002529E9"/>
    <w:rsid w:val="00253339"/>
    <w:rsid w:val="00253628"/>
    <w:rsid w:val="00254222"/>
    <w:rsid w:val="00254451"/>
    <w:rsid w:val="00254B49"/>
    <w:rsid w:val="00260752"/>
    <w:rsid w:val="00260CE8"/>
    <w:rsid w:val="002617EB"/>
    <w:rsid w:val="00262FE3"/>
    <w:rsid w:val="0026334E"/>
    <w:rsid w:val="00263703"/>
    <w:rsid w:val="00263993"/>
    <w:rsid w:val="002643FD"/>
    <w:rsid w:val="00264655"/>
    <w:rsid w:val="00264F87"/>
    <w:rsid w:val="00270F16"/>
    <w:rsid w:val="0027227F"/>
    <w:rsid w:val="002726CC"/>
    <w:rsid w:val="00275309"/>
    <w:rsid w:val="00275B59"/>
    <w:rsid w:val="00275E32"/>
    <w:rsid w:val="002760F5"/>
    <w:rsid w:val="00277897"/>
    <w:rsid w:val="00280A17"/>
    <w:rsid w:val="00282451"/>
    <w:rsid w:val="0028250B"/>
    <w:rsid w:val="00282F79"/>
    <w:rsid w:val="0028312A"/>
    <w:rsid w:val="00283251"/>
    <w:rsid w:val="00283733"/>
    <w:rsid w:val="00283BAB"/>
    <w:rsid w:val="00284B25"/>
    <w:rsid w:val="002852F2"/>
    <w:rsid w:val="00286271"/>
    <w:rsid w:val="00286AE1"/>
    <w:rsid w:val="0028738E"/>
    <w:rsid w:val="00287838"/>
    <w:rsid w:val="00287AE6"/>
    <w:rsid w:val="00290A4F"/>
    <w:rsid w:val="00292049"/>
    <w:rsid w:val="002936B8"/>
    <w:rsid w:val="002960CC"/>
    <w:rsid w:val="00296A33"/>
    <w:rsid w:val="00296AB9"/>
    <w:rsid w:val="00296B62"/>
    <w:rsid w:val="002A1E46"/>
    <w:rsid w:val="002A1E85"/>
    <w:rsid w:val="002A203F"/>
    <w:rsid w:val="002A5038"/>
    <w:rsid w:val="002A6212"/>
    <w:rsid w:val="002A6308"/>
    <w:rsid w:val="002B061F"/>
    <w:rsid w:val="002B1A51"/>
    <w:rsid w:val="002B2044"/>
    <w:rsid w:val="002B26D5"/>
    <w:rsid w:val="002B3078"/>
    <w:rsid w:val="002B48B8"/>
    <w:rsid w:val="002B60CE"/>
    <w:rsid w:val="002C0421"/>
    <w:rsid w:val="002C2D2E"/>
    <w:rsid w:val="002C4724"/>
    <w:rsid w:val="002C5E4D"/>
    <w:rsid w:val="002C61B5"/>
    <w:rsid w:val="002C6D59"/>
    <w:rsid w:val="002C77F6"/>
    <w:rsid w:val="002D01FA"/>
    <w:rsid w:val="002D1D85"/>
    <w:rsid w:val="002D2A44"/>
    <w:rsid w:val="002D41D4"/>
    <w:rsid w:val="002D423F"/>
    <w:rsid w:val="002D5714"/>
    <w:rsid w:val="002D5820"/>
    <w:rsid w:val="002D5C3F"/>
    <w:rsid w:val="002D6D0E"/>
    <w:rsid w:val="002D7D4C"/>
    <w:rsid w:val="002E0799"/>
    <w:rsid w:val="002E0C22"/>
    <w:rsid w:val="002E0E47"/>
    <w:rsid w:val="002E22EE"/>
    <w:rsid w:val="002E2A57"/>
    <w:rsid w:val="002E3C63"/>
    <w:rsid w:val="002E5339"/>
    <w:rsid w:val="002E59F5"/>
    <w:rsid w:val="002E5D10"/>
    <w:rsid w:val="002E60C3"/>
    <w:rsid w:val="002E62A8"/>
    <w:rsid w:val="002E7387"/>
    <w:rsid w:val="002F159A"/>
    <w:rsid w:val="002F1970"/>
    <w:rsid w:val="002F1BFC"/>
    <w:rsid w:val="002F2188"/>
    <w:rsid w:val="002F27E1"/>
    <w:rsid w:val="002F4613"/>
    <w:rsid w:val="002F4D57"/>
    <w:rsid w:val="002F5A34"/>
    <w:rsid w:val="002F7552"/>
    <w:rsid w:val="00300D3F"/>
    <w:rsid w:val="00301A3E"/>
    <w:rsid w:val="00302312"/>
    <w:rsid w:val="003024BE"/>
    <w:rsid w:val="00302A8F"/>
    <w:rsid w:val="0030535B"/>
    <w:rsid w:val="0030747A"/>
    <w:rsid w:val="00307AB9"/>
    <w:rsid w:val="0031157C"/>
    <w:rsid w:val="00312A11"/>
    <w:rsid w:val="00312BE8"/>
    <w:rsid w:val="0031369C"/>
    <w:rsid w:val="00313A39"/>
    <w:rsid w:val="00314234"/>
    <w:rsid w:val="003149BF"/>
    <w:rsid w:val="00314DF3"/>
    <w:rsid w:val="0031684D"/>
    <w:rsid w:val="003168ED"/>
    <w:rsid w:val="00316E19"/>
    <w:rsid w:val="003179D7"/>
    <w:rsid w:val="003215A7"/>
    <w:rsid w:val="00321AC5"/>
    <w:rsid w:val="00321DF0"/>
    <w:rsid w:val="0032359D"/>
    <w:rsid w:val="00324656"/>
    <w:rsid w:val="00325260"/>
    <w:rsid w:val="0032622E"/>
    <w:rsid w:val="00326E3E"/>
    <w:rsid w:val="00327736"/>
    <w:rsid w:val="00331AEF"/>
    <w:rsid w:val="003338C0"/>
    <w:rsid w:val="00334E29"/>
    <w:rsid w:val="003350F7"/>
    <w:rsid w:val="0033531C"/>
    <w:rsid w:val="0033590E"/>
    <w:rsid w:val="00335BAE"/>
    <w:rsid w:val="00336757"/>
    <w:rsid w:val="00341245"/>
    <w:rsid w:val="00341E18"/>
    <w:rsid w:val="0034224B"/>
    <w:rsid w:val="0034316F"/>
    <w:rsid w:val="00343637"/>
    <w:rsid w:val="00344D31"/>
    <w:rsid w:val="00344DB6"/>
    <w:rsid w:val="0034552A"/>
    <w:rsid w:val="003456F6"/>
    <w:rsid w:val="00346B15"/>
    <w:rsid w:val="00347778"/>
    <w:rsid w:val="0034793D"/>
    <w:rsid w:val="0035029C"/>
    <w:rsid w:val="00350D74"/>
    <w:rsid w:val="0035110F"/>
    <w:rsid w:val="00351D04"/>
    <w:rsid w:val="00352CCA"/>
    <w:rsid w:val="00353B75"/>
    <w:rsid w:val="003540BC"/>
    <w:rsid w:val="00354BE5"/>
    <w:rsid w:val="00355909"/>
    <w:rsid w:val="00356077"/>
    <w:rsid w:val="00360930"/>
    <w:rsid w:val="00360DA7"/>
    <w:rsid w:val="00364C5A"/>
    <w:rsid w:val="00364DBB"/>
    <w:rsid w:val="00365C26"/>
    <w:rsid w:val="003661DF"/>
    <w:rsid w:val="00366E67"/>
    <w:rsid w:val="00367240"/>
    <w:rsid w:val="00370541"/>
    <w:rsid w:val="00370C95"/>
    <w:rsid w:val="00371063"/>
    <w:rsid w:val="00371538"/>
    <w:rsid w:val="00371AC3"/>
    <w:rsid w:val="00371CCD"/>
    <w:rsid w:val="003720A7"/>
    <w:rsid w:val="00372291"/>
    <w:rsid w:val="003725D2"/>
    <w:rsid w:val="003738CE"/>
    <w:rsid w:val="00373A2F"/>
    <w:rsid w:val="00373C97"/>
    <w:rsid w:val="00374258"/>
    <w:rsid w:val="00374B61"/>
    <w:rsid w:val="0037501C"/>
    <w:rsid w:val="003756AB"/>
    <w:rsid w:val="00375FE6"/>
    <w:rsid w:val="0037745A"/>
    <w:rsid w:val="0038231D"/>
    <w:rsid w:val="003844AB"/>
    <w:rsid w:val="0038470D"/>
    <w:rsid w:val="003864EB"/>
    <w:rsid w:val="0039056B"/>
    <w:rsid w:val="00391AEE"/>
    <w:rsid w:val="00395C16"/>
    <w:rsid w:val="00396ADF"/>
    <w:rsid w:val="003A0EF0"/>
    <w:rsid w:val="003A3CB3"/>
    <w:rsid w:val="003A3E96"/>
    <w:rsid w:val="003A42F5"/>
    <w:rsid w:val="003A5E36"/>
    <w:rsid w:val="003A6230"/>
    <w:rsid w:val="003A65B1"/>
    <w:rsid w:val="003A744B"/>
    <w:rsid w:val="003A7CC4"/>
    <w:rsid w:val="003B0093"/>
    <w:rsid w:val="003B07F7"/>
    <w:rsid w:val="003B1F11"/>
    <w:rsid w:val="003B30AF"/>
    <w:rsid w:val="003B31AD"/>
    <w:rsid w:val="003B3CC6"/>
    <w:rsid w:val="003B4A5F"/>
    <w:rsid w:val="003B53E4"/>
    <w:rsid w:val="003B5586"/>
    <w:rsid w:val="003B586E"/>
    <w:rsid w:val="003B59AA"/>
    <w:rsid w:val="003B5E0E"/>
    <w:rsid w:val="003B6921"/>
    <w:rsid w:val="003B6973"/>
    <w:rsid w:val="003B6D9D"/>
    <w:rsid w:val="003B7074"/>
    <w:rsid w:val="003B712F"/>
    <w:rsid w:val="003B724E"/>
    <w:rsid w:val="003C0BF6"/>
    <w:rsid w:val="003C1A67"/>
    <w:rsid w:val="003C21A1"/>
    <w:rsid w:val="003C2E97"/>
    <w:rsid w:val="003C386C"/>
    <w:rsid w:val="003C3B69"/>
    <w:rsid w:val="003C4261"/>
    <w:rsid w:val="003C475A"/>
    <w:rsid w:val="003C48BB"/>
    <w:rsid w:val="003C633C"/>
    <w:rsid w:val="003C636F"/>
    <w:rsid w:val="003C638E"/>
    <w:rsid w:val="003C65A6"/>
    <w:rsid w:val="003C6BFA"/>
    <w:rsid w:val="003D1EB8"/>
    <w:rsid w:val="003D3C84"/>
    <w:rsid w:val="003D486E"/>
    <w:rsid w:val="003D4D4E"/>
    <w:rsid w:val="003D4DE8"/>
    <w:rsid w:val="003D6B2A"/>
    <w:rsid w:val="003D71E6"/>
    <w:rsid w:val="003E046E"/>
    <w:rsid w:val="003E19D2"/>
    <w:rsid w:val="003E1E20"/>
    <w:rsid w:val="003E310E"/>
    <w:rsid w:val="003E4E14"/>
    <w:rsid w:val="003E5077"/>
    <w:rsid w:val="003E5113"/>
    <w:rsid w:val="003E55CD"/>
    <w:rsid w:val="003E5F49"/>
    <w:rsid w:val="003E6861"/>
    <w:rsid w:val="003E6F52"/>
    <w:rsid w:val="003F0411"/>
    <w:rsid w:val="003F1620"/>
    <w:rsid w:val="003F1A66"/>
    <w:rsid w:val="003F241A"/>
    <w:rsid w:val="003F3536"/>
    <w:rsid w:val="003F39F3"/>
    <w:rsid w:val="003F3BE0"/>
    <w:rsid w:val="003F4EC3"/>
    <w:rsid w:val="003F50AC"/>
    <w:rsid w:val="003F57CB"/>
    <w:rsid w:val="003F77F4"/>
    <w:rsid w:val="004002BC"/>
    <w:rsid w:val="00400FF9"/>
    <w:rsid w:val="0040319D"/>
    <w:rsid w:val="00406139"/>
    <w:rsid w:val="0041033D"/>
    <w:rsid w:val="004105EE"/>
    <w:rsid w:val="00410D28"/>
    <w:rsid w:val="00411E27"/>
    <w:rsid w:val="00413CFC"/>
    <w:rsid w:val="00416570"/>
    <w:rsid w:val="00416BA5"/>
    <w:rsid w:val="00417300"/>
    <w:rsid w:val="0041733B"/>
    <w:rsid w:val="0041748C"/>
    <w:rsid w:val="0041791C"/>
    <w:rsid w:val="004208B9"/>
    <w:rsid w:val="00420C3A"/>
    <w:rsid w:val="00421BE8"/>
    <w:rsid w:val="0042212E"/>
    <w:rsid w:val="0042247B"/>
    <w:rsid w:val="0042322D"/>
    <w:rsid w:val="00423594"/>
    <w:rsid w:val="00423A63"/>
    <w:rsid w:val="0042599A"/>
    <w:rsid w:val="00425DDF"/>
    <w:rsid w:val="004262BC"/>
    <w:rsid w:val="004301A8"/>
    <w:rsid w:val="0043128D"/>
    <w:rsid w:val="00433F23"/>
    <w:rsid w:val="004345D3"/>
    <w:rsid w:val="00435996"/>
    <w:rsid w:val="00436602"/>
    <w:rsid w:val="004415A3"/>
    <w:rsid w:val="00442886"/>
    <w:rsid w:val="00443177"/>
    <w:rsid w:val="00443501"/>
    <w:rsid w:val="004440F9"/>
    <w:rsid w:val="0044438E"/>
    <w:rsid w:val="00444497"/>
    <w:rsid w:val="0044533E"/>
    <w:rsid w:val="00445D45"/>
    <w:rsid w:val="0044697B"/>
    <w:rsid w:val="0044767E"/>
    <w:rsid w:val="00447AC5"/>
    <w:rsid w:val="00450243"/>
    <w:rsid w:val="00450A14"/>
    <w:rsid w:val="00453695"/>
    <w:rsid w:val="00454D01"/>
    <w:rsid w:val="00456806"/>
    <w:rsid w:val="0045694E"/>
    <w:rsid w:val="00456B63"/>
    <w:rsid w:val="00457BA2"/>
    <w:rsid w:val="00460D2E"/>
    <w:rsid w:val="004610BE"/>
    <w:rsid w:val="0046191E"/>
    <w:rsid w:val="00462548"/>
    <w:rsid w:val="0046344C"/>
    <w:rsid w:val="00463AA1"/>
    <w:rsid w:val="00463BAE"/>
    <w:rsid w:val="00464DCD"/>
    <w:rsid w:val="00464DE6"/>
    <w:rsid w:val="00465AE7"/>
    <w:rsid w:val="00465EDD"/>
    <w:rsid w:val="004663B7"/>
    <w:rsid w:val="00466E50"/>
    <w:rsid w:val="00467096"/>
    <w:rsid w:val="004703D4"/>
    <w:rsid w:val="00470D19"/>
    <w:rsid w:val="00471A1A"/>
    <w:rsid w:val="004722FB"/>
    <w:rsid w:val="00474122"/>
    <w:rsid w:val="0047425D"/>
    <w:rsid w:val="004763A4"/>
    <w:rsid w:val="00480A7D"/>
    <w:rsid w:val="00482127"/>
    <w:rsid w:val="00483369"/>
    <w:rsid w:val="00483610"/>
    <w:rsid w:val="0048517A"/>
    <w:rsid w:val="00486098"/>
    <w:rsid w:val="00486679"/>
    <w:rsid w:val="0048704A"/>
    <w:rsid w:val="004879FD"/>
    <w:rsid w:val="004905B7"/>
    <w:rsid w:val="004905DA"/>
    <w:rsid w:val="00490657"/>
    <w:rsid w:val="0049227C"/>
    <w:rsid w:val="00492D3C"/>
    <w:rsid w:val="004932EC"/>
    <w:rsid w:val="004935AF"/>
    <w:rsid w:val="00493C77"/>
    <w:rsid w:val="00493E4F"/>
    <w:rsid w:val="00494182"/>
    <w:rsid w:val="00497679"/>
    <w:rsid w:val="004A020E"/>
    <w:rsid w:val="004A0CB5"/>
    <w:rsid w:val="004A2470"/>
    <w:rsid w:val="004A24CF"/>
    <w:rsid w:val="004A4B33"/>
    <w:rsid w:val="004A4D2B"/>
    <w:rsid w:val="004A7654"/>
    <w:rsid w:val="004B0B91"/>
    <w:rsid w:val="004B1541"/>
    <w:rsid w:val="004B16E2"/>
    <w:rsid w:val="004B39A8"/>
    <w:rsid w:val="004B4AA6"/>
    <w:rsid w:val="004B536D"/>
    <w:rsid w:val="004B55DE"/>
    <w:rsid w:val="004B5A59"/>
    <w:rsid w:val="004B5F51"/>
    <w:rsid w:val="004B6DC1"/>
    <w:rsid w:val="004C164C"/>
    <w:rsid w:val="004C1ED7"/>
    <w:rsid w:val="004C2480"/>
    <w:rsid w:val="004C32C7"/>
    <w:rsid w:val="004C4E05"/>
    <w:rsid w:val="004C76CD"/>
    <w:rsid w:val="004C7747"/>
    <w:rsid w:val="004D02A8"/>
    <w:rsid w:val="004D0A9D"/>
    <w:rsid w:val="004D11D5"/>
    <w:rsid w:val="004D1972"/>
    <w:rsid w:val="004D237D"/>
    <w:rsid w:val="004D3DE3"/>
    <w:rsid w:val="004D4F70"/>
    <w:rsid w:val="004D6336"/>
    <w:rsid w:val="004D68CF"/>
    <w:rsid w:val="004D6FEC"/>
    <w:rsid w:val="004D7017"/>
    <w:rsid w:val="004D7640"/>
    <w:rsid w:val="004E01CA"/>
    <w:rsid w:val="004E022C"/>
    <w:rsid w:val="004E04AD"/>
    <w:rsid w:val="004E1296"/>
    <w:rsid w:val="004E163E"/>
    <w:rsid w:val="004E2A45"/>
    <w:rsid w:val="004E2E35"/>
    <w:rsid w:val="004E4315"/>
    <w:rsid w:val="004E5672"/>
    <w:rsid w:val="004E6020"/>
    <w:rsid w:val="004E6C22"/>
    <w:rsid w:val="004E7837"/>
    <w:rsid w:val="004F1B9D"/>
    <w:rsid w:val="004F2553"/>
    <w:rsid w:val="004F25D7"/>
    <w:rsid w:val="004F4557"/>
    <w:rsid w:val="004F461E"/>
    <w:rsid w:val="004F47E7"/>
    <w:rsid w:val="004F5703"/>
    <w:rsid w:val="004F59CB"/>
    <w:rsid w:val="004F633E"/>
    <w:rsid w:val="004F6D7F"/>
    <w:rsid w:val="004F6EB0"/>
    <w:rsid w:val="004F79BE"/>
    <w:rsid w:val="00500216"/>
    <w:rsid w:val="00500444"/>
    <w:rsid w:val="00501ED6"/>
    <w:rsid w:val="00502F33"/>
    <w:rsid w:val="0050355D"/>
    <w:rsid w:val="00503F22"/>
    <w:rsid w:val="00504D42"/>
    <w:rsid w:val="00505E58"/>
    <w:rsid w:val="0050609D"/>
    <w:rsid w:val="00506C59"/>
    <w:rsid w:val="005107FC"/>
    <w:rsid w:val="00510A01"/>
    <w:rsid w:val="00510C99"/>
    <w:rsid w:val="00514B20"/>
    <w:rsid w:val="00514CA2"/>
    <w:rsid w:val="00515025"/>
    <w:rsid w:val="00515710"/>
    <w:rsid w:val="00515968"/>
    <w:rsid w:val="00515D28"/>
    <w:rsid w:val="0051695B"/>
    <w:rsid w:val="005219E9"/>
    <w:rsid w:val="005237B2"/>
    <w:rsid w:val="00524F2A"/>
    <w:rsid w:val="00525633"/>
    <w:rsid w:val="0052701C"/>
    <w:rsid w:val="00527546"/>
    <w:rsid w:val="005275A6"/>
    <w:rsid w:val="005276C1"/>
    <w:rsid w:val="005307AB"/>
    <w:rsid w:val="005317AD"/>
    <w:rsid w:val="00533F4E"/>
    <w:rsid w:val="00534933"/>
    <w:rsid w:val="00536F1B"/>
    <w:rsid w:val="00537D7F"/>
    <w:rsid w:val="00537D9F"/>
    <w:rsid w:val="00540684"/>
    <w:rsid w:val="005406B2"/>
    <w:rsid w:val="00541ACD"/>
    <w:rsid w:val="005420BC"/>
    <w:rsid w:val="005425A1"/>
    <w:rsid w:val="00542A7C"/>
    <w:rsid w:val="00542D12"/>
    <w:rsid w:val="00542FDC"/>
    <w:rsid w:val="00543FB1"/>
    <w:rsid w:val="00545680"/>
    <w:rsid w:val="005457BE"/>
    <w:rsid w:val="00545BF6"/>
    <w:rsid w:val="005462E7"/>
    <w:rsid w:val="00546F19"/>
    <w:rsid w:val="00550087"/>
    <w:rsid w:val="00551698"/>
    <w:rsid w:val="00551E32"/>
    <w:rsid w:val="00552079"/>
    <w:rsid w:val="00552401"/>
    <w:rsid w:val="00552523"/>
    <w:rsid w:val="00554D6D"/>
    <w:rsid w:val="00554F6D"/>
    <w:rsid w:val="00560F0B"/>
    <w:rsid w:val="00561174"/>
    <w:rsid w:val="00561A8C"/>
    <w:rsid w:val="00562DAE"/>
    <w:rsid w:val="00562EEB"/>
    <w:rsid w:val="00563B41"/>
    <w:rsid w:val="00564A5C"/>
    <w:rsid w:val="005659CA"/>
    <w:rsid w:val="00565DF0"/>
    <w:rsid w:val="00566117"/>
    <w:rsid w:val="005669EE"/>
    <w:rsid w:val="005670F4"/>
    <w:rsid w:val="00567A40"/>
    <w:rsid w:val="00567C9E"/>
    <w:rsid w:val="00567FBB"/>
    <w:rsid w:val="0057021F"/>
    <w:rsid w:val="00571283"/>
    <w:rsid w:val="00571CDD"/>
    <w:rsid w:val="0057217C"/>
    <w:rsid w:val="005728BE"/>
    <w:rsid w:val="00572DC7"/>
    <w:rsid w:val="00572E0A"/>
    <w:rsid w:val="00573062"/>
    <w:rsid w:val="0057331D"/>
    <w:rsid w:val="00573A10"/>
    <w:rsid w:val="00573BA0"/>
    <w:rsid w:val="005749ED"/>
    <w:rsid w:val="00575412"/>
    <w:rsid w:val="00576DA8"/>
    <w:rsid w:val="00576DB4"/>
    <w:rsid w:val="0057713A"/>
    <w:rsid w:val="00581276"/>
    <w:rsid w:val="00581F6F"/>
    <w:rsid w:val="00582D9B"/>
    <w:rsid w:val="0058309F"/>
    <w:rsid w:val="005852A3"/>
    <w:rsid w:val="005862D9"/>
    <w:rsid w:val="00586AD4"/>
    <w:rsid w:val="00591A88"/>
    <w:rsid w:val="00592FC9"/>
    <w:rsid w:val="00593494"/>
    <w:rsid w:val="00594324"/>
    <w:rsid w:val="0059452D"/>
    <w:rsid w:val="00594FB5"/>
    <w:rsid w:val="00596252"/>
    <w:rsid w:val="005A09ED"/>
    <w:rsid w:val="005A1A2C"/>
    <w:rsid w:val="005A1BD0"/>
    <w:rsid w:val="005A28F9"/>
    <w:rsid w:val="005A3058"/>
    <w:rsid w:val="005A38E2"/>
    <w:rsid w:val="005A3D40"/>
    <w:rsid w:val="005A483A"/>
    <w:rsid w:val="005A4B47"/>
    <w:rsid w:val="005A57DA"/>
    <w:rsid w:val="005A5A84"/>
    <w:rsid w:val="005A6D0B"/>
    <w:rsid w:val="005A6DD0"/>
    <w:rsid w:val="005A75C6"/>
    <w:rsid w:val="005B06A5"/>
    <w:rsid w:val="005B06F6"/>
    <w:rsid w:val="005B1B47"/>
    <w:rsid w:val="005B2CDE"/>
    <w:rsid w:val="005B452F"/>
    <w:rsid w:val="005B57B7"/>
    <w:rsid w:val="005B6643"/>
    <w:rsid w:val="005B68A0"/>
    <w:rsid w:val="005C00A0"/>
    <w:rsid w:val="005C20A8"/>
    <w:rsid w:val="005C291D"/>
    <w:rsid w:val="005C2F3D"/>
    <w:rsid w:val="005C3AD4"/>
    <w:rsid w:val="005C5757"/>
    <w:rsid w:val="005C604E"/>
    <w:rsid w:val="005C6C24"/>
    <w:rsid w:val="005C79E9"/>
    <w:rsid w:val="005C7A81"/>
    <w:rsid w:val="005D02FF"/>
    <w:rsid w:val="005D0E73"/>
    <w:rsid w:val="005D113A"/>
    <w:rsid w:val="005D3556"/>
    <w:rsid w:val="005D3E0C"/>
    <w:rsid w:val="005D4414"/>
    <w:rsid w:val="005D5A29"/>
    <w:rsid w:val="005D7D78"/>
    <w:rsid w:val="005E05EB"/>
    <w:rsid w:val="005E41E2"/>
    <w:rsid w:val="005E436A"/>
    <w:rsid w:val="005E440E"/>
    <w:rsid w:val="005E4859"/>
    <w:rsid w:val="005E48F1"/>
    <w:rsid w:val="005E4C01"/>
    <w:rsid w:val="005E5167"/>
    <w:rsid w:val="005E544B"/>
    <w:rsid w:val="005E580C"/>
    <w:rsid w:val="005E77C3"/>
    <w:rsid w:val="005F0194"/>
    <w:rsid w:val="005F07F9"/>
    <w:rsid w:val="005F0A82"/>
    <w:rsid w:val="005F0BFE"/>
    <w:rsid w:val="005F23AD"/>
    <w:rsid w:val="005F2DC4"/>
    <w:rsid w:val="005F38D6"/>
    <w:rsid w:val="005F3B8E"/>
    <w:rsid w:val="005F4883"/>
    <w:rsid w:val="005F4D29"/>
    <w:rsid w:val="005F50A4"/>
    <w:rsid w:val="005F576B"/>
    <w:rsid w:val="005F61CD"/>
    <w:rsid w:val="005F7710"/>
    <w:rsid w:val="005F78B3"/>
    <w:rsid w:val="006004EA"/>
    <w:rsid w:val="00601373"/>
    <w:rsid w:val="0060150F"/>
    <w:rsid w:val="0060176F"/>
    <w:rsid w:val="0060263E"/>
    <w:rsid w:val="00602ED7"/>
    <w:rsid w:val="00602F9E"/>
    <w:rsid w:val="006032AF"/>
    <w:rsid w:val="00603D56"/>
    <w:rsid w:val="00605503"/>
    <w:rsid w:val="006078D4"/>
    <w:rsid w:val="00610349"/>
    <w:rsid w:val="00610D9F"/>
    <w:rsid w:val="00611740"/>
    <w:rsid w:val="006133D5"/>
    <w:rsid w:val="00614621"/>
    <w:rsid w:val="00614D77"/>
    <w:rsid w:val="0061518B"/>
    <w:rsid w:val="006159D9"/>
    <w:rsid w:val="006160D9"/>
    <w:rsid w:val="006172E0"/>
    <w:rsid w:val="00617E69"/>
    <w:rsid w:val="006216B6"/>
    <w:rsid w:val="006224E4"/>
    <w:rsid w:val="00623330"/>
    <w:rsid w:val="00623B88"/>
    <w:rsid w:val="00624B2A"/>
    <w:rsid w:val="00624D46"/>
    <w:rsid w:val="00625CB5"/>
    <w:rsid w:val="00626663"/>
    <w:rsid w:val="00626792"/>
    <w:rsid w:val="00627326"/>
    <w:rsid w:val="006275D7"/>
    <w:rsid w:val="00630172"/>
    <w:rsid w:val="006315BA"/>
    <w:rsid w:val="00631A14"/>
    <w:rsid w:val="006345DC"/>
    <w:rsid w:val="006350CD"/>
    <w:rsid w:val="00636944"/>
    <w:rsid w:val="00636AAD"/>
    <w:rsid w:val="0063753C"/>
    <w:rsid w:val="0064137B"/>
    <w:rsid w:val="0064165F"/>
    <w:rsid w:val="00641717"/>
    <w:rsid w:val="006419B8"/>
    <w:rsid w:val="0064275B"/>
    <w:rsid w:val="006432B3"/>
    <w:rsid w:val="006457A2"/>
    <w:rsid w:val="006470F8"/>
    <w:rsid w:val="00647173"/>
    <w:rsid w:val="00647D33"/>
    <w:rsid w:val="0065085A"/>
    <w:rsid w:val="00650DCB"/>
    <w:rsid w:val="00652011"/>
    <w:rsid w:val="0065250D"/>
    <w:rsid w:val="00652A87"/>
    <w:rsid w:val="00653091"/>
    <w:rsid w:val="00653486"/>
    <w:rsid w:val="00653B1A"/>
    <w:rsid w:val="00657E4A"/>
    <w:rsid w:val="006613C4"/>
    <w:rsid w:val="00662DEE"/>
    <w:rsid w:val="006648B3"/>
    <w:rsid w:val="006653A5"/>
    <w:rsid w:val="00665EFA"/>
    <w:rsid w:val="00665F5C"/>
    <w:rsid w:val="00666E7F"/>
    <w:rsid w:val="006676F2"/>
    <w:rsid w:val="00672215"/>
    <w:rsid w:val="00673AB9"/>
    <w:rsid w:val="00673C81"/>
    <w:rsid w:val="006740D8"/>
    <w:rsid w:val="00674799"/>
    <w:rsid w:val="006750AE"/>
    <w:rsid w:val="00675BCC"/>
    <w:rsid w:val="00675CAD"/>
    <w:rsid w:val="00675E1D"/>
    <w:rsid w:val="00676C17"/>
    <w:rsid w:val="0067769C"/>
    <w:rsid w:val="00681FD5"/>
    <w:rsid w:val="00682DCF"/>
    <w:rsid w:val="00683445"/>
    <w:rsid w:val="0068351E"/>
    <w:rsid w:val="006838D2"/>
    <w:rsid w:val="00684154"/>
    <w:rsid w:val="0068420B"/>
    <w:rsid w:val="006849A7"/>
    <w:rsid w:val="00684E50"/>
    <w:rsid w:val="00685254"/>
    <w:rsid w:val="00685392"/>
    <w:rsid w:val="00685F34"/>
    <w:rsid w:val="0068634B"/>
    <w:rsid w:val="00686967"/>
    <w:rsid w:val="006879B4"/>
    <w:rsid w:val="00687F72"/>
    <w:rsid w:val="00690AC1"/>
    <w:rsid w:val="00690CC1"/>
    <w:rsid w:val="006924AA"/>
    <w:rsid w:val="00693371"/>
    <w:rsid w:val="00693FC3"/>
    <w:rsid w:val="00695FC8"/>
    <w:rsid w:val="00696CDA"/>
    <w:rsid w:val="00697547"/>
    <w:rsid w:val="006978A9"/>
    <w:rsid w:val="006A0FDF"/>
    <w:rsid w:val="006A14AF"/>
    <w:rsid w:val="006A1536"/>
    <w:rsid w:val="006A1754"/>
    <w:rsid w:val="006A2032"/>
    <w:rsid w:val="006A2C83"/>
    <w:rsid w:val="006A38ED"/>
    <w:rsid w:val="006A41C1"/>
    <w:rsid w:val="006A4459"/>
    <w:rsid w:val="006A4501"/>
    <w:rsid w:val="006A459A"/>
    <w:rsid w:val="006A49CF"/>
    <w:rsid w:val="006A5A83"/>
    <w:rsid w:val="006A5D2B"/>
    <w:rsid w:val="006A73C4"/>
    <w:rsid w:val="006A75A0"/>
    <w:rsid w:val="006A788B"/>
    <w:rsid w:val="006B0309"/>
    <w:rsid w:val="006B211B"/>
    <w:rsid w:val="006B2130"/>
    <w:rsid w:val="006B2995"/>
    <w:rsid w:val="006B3E53"/>
    <w:rsid w:val="006B4D81"/>
    <w:rsid w:val="006B590A"/>
    <w:rsid w:val="006C04C1"/>
    <w:rsid w:val="006C0DFF"/>
    <w:rsid w:val="006C1043"/>
    <w:rsid w:val="006C2DC3"/>
    <w:rsid w:val="006C32C2"/>
    <w:rsid w:val="006C387C"/>
    <w:rsid w:val="006C5E73"/>
    <w:rsid w:val="006C68EF"/>
    <w:rsid w:val="006C6CC0"/>
    <w:rsid w:val="006C7CEE"/>
    <w:rsid w:val="006C7D27"/>
    <w:rsid w:val="006C7F2C"/>
    <w:rsid w:val="006D22E9"/>
    <w:rsid w:val="006D238E"/>
    <w:rsid w:val="006D32EA"/>
    <w:rsid w:val="006D35EA"/>
    <w:rsid w:val="006D3AFA"/>
    <w:rsid w:val="006D4F7A"/>
    <w:rsid w:val="006D4FCA"/>
    <w:rsid w:val="006D5EA0"/>
    <w:rsid w:val="006D7C6A"/>
    <w:rsid w:val="006D7D19"/>
    <w:rsid w:val="006E00AA"/>
    <w:rsid w:val="006E1589"/>
    <w:rsid w:val="006E1D56"/>
    <w:rsid w:val="006E29E2"/>
    <w:rsid w:val="006E2A0D"/>
    <w:rsid w:val="006E46A9"/>
    <w:rsid w:val="006E4A80"/>
    <w:rsid w:val="006E5695"/>
    <w:rsid w:val="006E5D7A"/>
    <w:rsid w:val="006E63C9"/>
    <w:rsid w:val="006E7595"/>
    <w:rsid w:val="006E77EE"/>
    <w:rsid w:val="006F0E13"/>
    <w:rsid w:val="006F1734"/>
    <w:rsid w:val="006F364A"/>
    <w:rsid w:val="006F4AED"/>
    <w:rsid w:val="006F5015"/>
    <w:rsid w:val="006F5619"/>
    <w:rsid w:val="006F63D8"/>
    <w:rsid w:val="00700534"/>
    <w:rsid w:val="00702572"/>
    <w:rsid w:val="00703137"/>
    <w:rsid w:val="00705BFF"/>
    <w:rsid w:val="00705E8A"/>
    <w:rsid w:val="00706445"/>
    <w:rsid w:val="007064CA"/>
    <w:rsid w:val="00710E31"/>
    <w:rsid w:val="0071103B"/>
    <w:rsid w:val="007112F4"/>
    <w:rsid w:val="00711B32"/>
    <w:rsid w:val="00712367"/>
    <w:rsid w:val="00712EE2"/>
    <w:rsid w:val="00714241"/>
    <w:rsid w:val="00715FED"/>
    <w:rsid w:val="00715FF1"/>
    <w:rsid w:val="00716900"/>
    <w:rsid w:val="007171F5"/>
    <w:rsid w:val="00717982"/>
    <w:rsid w:val="00720362"/>
    <w:rsid w:val="00721241"/>
    <w:rsid w:val="00721E25"/>
    <w:rsid w:val="00721EBE"/>
    <w:rsid w:val="00722389"/>
    <w:rsid w:val="00722814"/>
    <w:rsid w:val="007229C2"/>
    <w:rsid w:val="007238D5"/>
    <w:rsid w:val="007243B1"/>
    <w:rsid w:val="0072466B"/>
    <w:rsid w:val="00724A34"/>
    <w:rsid w:val="00725267"/>
    <w:rsid w:val="00725E48"/>
    <w:rsid w:val="00726E59"/>
    <w:rsid w:val="00726FED"/>
    <w:rsid w:val="00727C1A"/>
    <w:rsid w:val="007304D0"/>
    <w:rsid w:val="00730761"/>
    <w:rsid w:val="00730D4B"/>
    <w:rsid w:val="007311C0"/>
    <w:rsid w:val="00731360"/>
    <w:rsid w:val="007313FE"/>
    <w:rsid w:val="00731606"/>
    <w:rsid w:val="007325D3"/>
    <w:rsid w:val="00732821"/>
    <w:rsid w:val="0073316F"/>
    <w:rsid w:val="00734912"/>
    <w:rsid w:val="007350F6"/>
    <w:rsid w:val="007351C4"/>
    <w:rsid w:val="00736247"/>
    <w:rsid w:val="007373B0"/>
    <w:rsid w:val="00737D66"/>
    <w:rsid w:val="00740D4A"/>
    <w:rsid w:val="00741B49"/>
    <w:rsid w:val="00742C17"/>
    <w:rsid w:val="00742E04"/>
    <w:rsid w:val="007430EC"/>
    <w:rsid w:val="00744BC9"/>
    <w:rsid w:val="00746ECC"/>
    <w:rsid w:val="007472F6"/>
    <w:rsid w:val="00747834"/>
    <w:rsid w:val="007479C8"/>
    <w:rsid w:val="00747D80"/>
    <w:rsid w:val="00750CC6"/>
    <w:rsid w:val="00750D06"/>
    <w:rsid w:val="0075159E"/>
    <w:rsid w:val="00753312"/>
    <w:rsid w:val="0075638B"/>
    <w:rsid w:val="00760640"/>
    <w:rsid w:val="0076092C"/>
    <w:rsid w:val="00760DC5"/>
    <w:rsid w:val="00761919"/>
    <w:rsid w:val="00763048"/>
    <w:rsid w:val="007635DC"/>
    <w:rsid w:val="007659F7"/>
    <w:rsid w:val="007666DD"/>
    <w:rsid w:val="007676AF"/>
    <w:rsid w:val="00767C31"/>
    <w:rsid w:val="00767CA8"/>
    <w:rsid w:val="00767CB4"/>
    <w:rsid w:val="00771196"/>
    <w:rsid w:val="00772C85"/>
    <w:rsid w:val="0077329D"/>
    <w:rsid w:val="00773B96"/>
    <w:rsid w:val="00775AB9"/>
    <w:rsid w:val="0077684F"/>
    <w:rsid w:val="00777385"/>
    <w:rsid w:val="007800E8"/>
    <w:rsid w:val="007802BC"/>
    <w:rsid w:val="00781C99"/>
    <w:rsid w:val="00781F49"/>
    <w:rsid w:val="00782FB4"/>
    <w:rsid w:val="00783CC2"/>
    <w:rsid w:val="00783F31"/>
    <w:rsid w:val="00785368"/>
    <w:rsid w:val="0078721F"/>
    <w:rsid w:val="0078770F"/>
    <w:rsid w:val="007933B9"/>
    <w:rsid w:val="0079436E"/>
    <w:rsid w:val="007948B2"/>
    <w:rsid w:val="00795328"/>
    <w:rsid w:val="00795D9F"/>
    <w:rsid w:val="00797A8D"/>
    <w:rsid w:val="007A12C2"/>
    <w:rsid w:val="007A1406"/>
    <w:rsid w:val="007A150D"/>
    <w:rsid w:val="007A20C7"/>
    <w:rsid w:val="007A2ABE"/>
    <w:rsid w:val="007A4A99"/>
    <w:rsid w:val="007A5650"/>
    <w:rsid w:val="007A72B5"/>
    <w:rsid w:val="007A72C7"/>
    <w:rsid w:val="007A7744"/>
    <w:rsid w:val="007A7F21"/>
    <w:rsid w:val="007B2748"/>
    <w:rsid w:val="007B330F"/>
    <w:rsid w:val="007B4908"/>
    <w:rsid w:val="007B585D"/>
    <w:rsid w:val="007B5AF2"/>
    <w:rsid w:val="007B6507"/>
    <w:rsid w:val="007C1042"/>
    <w:rsid w:val="007C109C"/>
    <w:rsid w:val="007C124C"/>
    <w:rsid w:val="007C1A2D"/>
    <w:rsid w:val="007C76B0"/>
    <w:rsid w:val="007C7B71"/>
    <w:rsid w:val="007D0918"/>
    <w:rsid w:val="007D245C"/>
    <w:rsid w:val="007D2E20"/>
    <w:rsid w:val="007D38C7"/>
    <w:rsid w:val="007D5110"/>
    <w:rsid w:val="007D5A46"/>
    <w:rsid w:val="007D5AC0"/>
    <w:rsid w:val="007D688F"/>
    <w:rsid w:val="007D700E"/>
    <w:rsid w:val="007E2625"/>
    <w:rsid w:val="007E3238"/>
    <w:rsid w:val="007E51A2"/>
    <w:rsid w:val="007E5228"/>
    <w:rsid w:val="007E5D21"/>
    <w:rsid w:val="007E5E49"/>
    <w:rsid w:val="007E629D"/>
    <w:rsid w:val="007E6A5E"/>
    <w:rsid w:val="007E716C"/>
    <w:rsid w:val="007E71EF"/>
    <w:rsid w:val="007F1039"/>
    <w:rsid w:val="007F2456"/>
    <w:rsid w:val="007F5EBF"/>
    <w:rsid w:val="007F61D1"/>
    <w:rsid w:val="007F64DC"/>
    <w:rsid w:val="007F6DCA"/>
    <w:rsid w:val="00801108"/>
    <w:rsid w:val="00801DCB"/>
    <w:rsid w:val="00801E91"/>
    <w:rsid w:val="008022EE"/>
    <w:rsid w:val="00803323"/>
    <w:rsid w:val="00803A2D"/>
    <w:rsid w:val="008047A3"/>
    <w:rsid w:val="00805201"/>
    <w:rsid w:val="0080541E"/>
    <w:rsid w:val="00805EC8"/>
    <w:rsid w:val="00806981"/>
    <w:rsid w:val="008078DB"/>
    <w:rsid w:val="008108B6"/>
    <w:rsid w:val="008118D9"/>
    <w:rsid w:val="00813F18"/>
    <w:rsid w:val="00814112"/>
    <w:rsid w:val="0081433A"/>
    <w:rsid w:val="00814BFD"/>
    <w:rsid w:val="00814EA3"/>
    <w:rsid w:val="00815B7B"/>
    <w:rsid w:val="0081616B"/>
    <w:rsid w:val="008164F5"/>
    <w:rsid w:val="0081660B"/>
    <w:rsid w:val="00821917"/>
    <w:rsid w:val="0082418F"/>
    <w:rsid w:val="00824929"/>
    <w:rsid w:val="00825685"/>
    <w:rsid w:val="00826846"/>
    <w:rsid w:val="00826AC0"/>
    <w:rsid w:val="008272DB"/>
    <w:rsid w:val="008313B5"/>
    <w:rsid w:val="00831997"/>
    <w:rsid w:val="00832309"/>
    <w:rsid w:val="00832434"/>
    <w:rsid w:val="00832CE0"/>
    <w:rsid w:val="00835D5A"/>
    <w:rsid w:val="00835E36"/>
    <w:rsid w:val="0083643C"/>
    <w:rsid w:val="00836BCD"/>
    <w:rsid w:val="00837464"/>
    <w:rsid w:val="00837485"/>
    <w:rsid w:val="00837651"/>
    <w:rsid w:val="0083791F"/>
    <w:rsid w:val="0084070F"/>
    <w:rsid w:val="00845E80"/>
    <w:rsid w:val="00846073"/>
    <w:rsid w:val="00847402"/>
    <w:rsid w:val="00850CFA"/>
    <w:rsid w:val="00850E4E"/>
    <w:rsid w:val="00852898"/>
    <w:rsid w:val="008528FD"/>
    <w:rsid w:val="008531C8"/>
    <w:rsid w:val="008536FA"/>
    <w:rsid w:val="008545D5"/>
    <w:rsid w:val="00854FA1"/>
    <w:rsid w:val="00855216"/>
    <w:rsid w:val="00860930"/>
    <w:rsid w:val="00863F3F"/>
    <w:rsid w:val="0086440A"/>
    <w:rsid w:val="00864A57"/>
    <w:rsid w:val="00864E24"/>
    <w:rsid w:val="008705D5"/>
    <w:rsid w:val="00871E76"/>
    <w:rsid w:val="00872A39"/>
    <w:rsid w:val="008747A9"/>
    <w:rsid w:val="00874AAB"/>
    <w:rsid w:val="00874F96"/>
    <w:rsid w:val="0087564D"/>
    <w:rsid w:val="00876044"/>
    <w:rsid w:val="00876C7F"/>
    <w:rsid w:val="0087712C"/>
    <w:rsid w:val="008800D1"/>
    <w:rsid w:val="008802DD"/>
    <w:rsid w:val="008803F7"/>
    <w:rsid w:val="00881E0D"/>
    <w:rsid w:val="00881F9E"/>
    <w:rsid w:val="0088373E"/>
    <w:rsid w:val="008837B5"/>
    <w:rsid w:val="00885557"/>
    <w:rsid w:val="008873B7"/>
    <w:rsid w:val="00887A9D"/>
    <w:rsid w:val="00891255"/>
    <w:rsid w:val="0089126C"/>
    <w:rsid w:val="00891B36"/>
    <w:rsid w:val="00891F2E"/>
    <w:rsid w:val="00891F4A"/>
    <w:rsid w:val="00893CAA"/>
    <w:rsid w:val="00894BB9"/>
    <w:rsid w:val="00894D0E"/>
    <w:rsid w:val="00894E25"/>
    <w:rsid w:val="0089562D"/>
    <w:rsid w:val="00895A37"/>
    <w:rsid w:val="00896396"/>
    <w:rsid w:val="00896ABF"/>
    <w:rsid w:val="00897D7B"/>
    <w:rsid w:val="008A0576"/>
    <w:rsid w:val="008A0CA4"/>
    <w:rsid w:val="008A1D5C"/>
    <w:rsid w:val="008A3ED7"/>
    <w:rsid w:val="008A6564"/>
    <w:rsid w:val="008A6761"/>
    <w:rsid w:val="008A6B5A"/>
    <w:rsid w:val="008A722F"/>
    <w:rsid w:val="008A7C94"/>
    <w:rsid w:val="008A7E6D"/>
    <w:rsid w:val="008B06FE"/>
    <w:rsid w:val="008B0BA9"/>
    <w:rsid w:val="008B0CE7"/>
    <w:rsid w:val="008B13BA"/>
    <w:rsid w:val="008B1CD2"/>
    <w:rsid w:val="008B1E67"/>
    <w:rsid w:val="008B30C2"/>
    <w:rsid w:val="008B35C9"/>
    <w:rsid w:val="008B4C75"/>
    <w:rsid w:val="008B524D"/>
    <w:rsid w:val="008B72DA"/>
    <w:rsid w:val="008B73CD"/>
    <w:rsid w:val="008B7ABD"/>
    <w:rsid w:val="008C0601"/>
    <w:rsid w:val="008C18C0"/>
    <w:rsid w:val="008C2ABA"/>
    <w:rsid w:val="008C314E"/>
    <w:rsid w:val="008C332F"/>
    <w:rsid w:val="008C56E5"/>
    <w:rsid w:val="008C6135"/>
    <w:rsid w:val="008C6401"/>
    <w:rsid w:val="008C6D5F"/>
    <w:rsid w:val="008C6FF7"/>
    <w:rsid w:val="008C72F5"/>
    <w:rsid w:val="008D17BB"/>
    <w:rsid w:val="008D23FA"/>
    <w:rsid w:val="008D2596"/>
    <w:rsid w:val="008D3938"/>
    <w:rsid w:val="008D3C28"/>
    <w:rsid w:val="008D5375"/>
    <w:rsid w:val="008D58A6"/>
    <w:rsid w:val="008D6774"/>
    <w:rsid w:val="008E274C"/>
    <w:rsid w:val="008E3D32"/>
    <w:rsid w:val="008E4764"/>
    <w:rsid w:val="008E4D71"/>
    <w:rsid w:val="008E554D"/>
    <w:rsid w:val="008E5902"/>
    <w:rsid w:val="008F0604"/>
    <w:rsid w:val="008F1445"/>
    <w:rsid w:val="008F2F42"/>
    <w:rsid w:val="008F40A3"/>
    <w:rsid w:val="008F41CA"/>
    <w:rsid w:val="008F5D0C"/>
    <w:rsid w:val="008F6765"/>
    <w:rsid w:val="00905080"/>
    <w:rsid w:val="00905508"/>
    <w:rsid w:val="00905D81"/>
    <w:rsid w:val="0091021E"/>
    <w:rsid w:val="00911F8E"/>
    <w:rsid w:val="009124A8"/>
    <w:rsid w:val="00914A6B"/>
    <w:rsid w:val="009157C1"/>
    <w:rsid w:val="009169CD"/>
    <w:rsid w:val="00917205"/>
    <w:rsid w:val="00920E52"/>
    <w:rsid w:val="00920E79"/>
    <w:rsid w:val="009217A6"/>
    <w:rsid w:val="009217BE"/>
    <w:rsid w:val="00921D7E"/>
    <w:rsid w:val="00921ED8"/>
    <w:rsid w:val="00921FF1"/>
    <w:rsid w:val="00923275"/>
    <w:rsid w:val="00924BBA"/>
    <w:rsid w:val="00924EDF"/>
    <w:rsid w:val="009259F0"/>
    <w:rsid w:val="00925A15"/>
    <w:rsid w:val="00926291"/>
    <w:rsid w:val="00927201"/>
    <w:rsid w:val="009272AB"/>
    <w:rsid w:val="00927518"/>
    <w:rsid w:val="00927B66"/>
    <w:rsid w:val="00927D38"/>
    <w:rsid w:val="00930CFA"/>
    <w:rsid w:val="0093166B"/>
    <w:rsid w:val="009330E6"/>
    <w:rsid w:val="00933113"/>
    <w:rsid w:val="00933146"/>
    <w:rsid w:val="009339E6"/>
    <w:rsid w:val="00933F9C"/>
    <w:rsid w:val="00934329"/>
    <w:rsid w:val="00934DA0"/>
    <w:rsid w:val="0093519C"/>
    <w:rsid w:val="00935668"/>
    <w:rsid w:val="00935D03"/>
    <w:rsid w:val="0093612E"/>
    <w:rsid w:val="009367BF"/>
    <w:rsid w:val="009401CE"/>
    <w:rsid w:val="00940683"/>
    <w:rsid w:val="009407C5"/>
    <w:rsid w:val="00940FB7"/>
    <w:rsid w:val="00941CA8"/>
    <w:rsid w:val="00944492"/>
    <w:rsid w:val="00944532"/>
    <w:rsid w:val="009453B1"/>
    <w:rsid w:val="00945D1C"/>
    <w:rsid w:val="00945F0D"/>
    <w:rsid w:val="0094683D"/>
    <w:rsid w:val="00946AA2"/>
    <w:rsid w:val="00947485"/>
    <w:rsid w:val="00947544"/>
    <w:rsid w:val="00947763"/>
    <w:rsid w:val="009501CD"/>
    <w:rsid w:val="00950509"/>
    <w:rsid w:val="0095077F"/>
    <w:rsid w:val="009514D8"/>
    <w:rsid w:val="0095173A"/>
    <w:rsid w:val="00951A5C"/>
    <w:rsid w:val="00953440"/>
    <w:rsid w:val="009556C7"/>
    <w:rsid w:val="00955799"/>
    <w:rsid w:val="0095608C"/>
    <w:rsid w:val="009571D8"/>
    <w:rsid w:val="009577B1"/>
    <w:rsid w:val="00957EFC"/>
    <w:rsid w:val="00960095"/>
    <w:rsid w:val="0096119C"/>
    <w:rsid w:val="009615B1"/>
    <w:rsid w:val="00961C50"/>
    <w:rsid w:val="00962497"/>
    <w:rsid w:val="00962D95"/>
    <w:rsid w:val="0096373C"/>
    <w:rsid w:val="00965051"/>
    <w:rsid w:val="00966666"/>
    <w:rsid w:val="0096684F"/>
    <w:rsid w:val="00967E06"/>
    <w:rsid w:val="00970804"/>
    <w:rsid w:val="009710AA"/>
    <w:rsid w:val="0097223C"/>
    <w:rsid w:val="00972994"/>
    <w:rsid w:val="00974889"/>
    <w:rsid w:val="0097590D"/>
    <w:rsid w:val="00975AC1"/>
    <w:rsid w:val="009778A0"/>
    <w:rsid w:val="00981BB8"/>
    <w:rsid w:val="00981D56"/>
    <w:rsid w:val="00981E6E"/>
    <w:rsid w:val="00982196"/>
    <w:rsid w:val="00983224"/>
    <w:rsid w:val="00983554"/>
    <w:rsid w:val="00983975"/>
    <w:rsid w:val="0098522E"/>
    <w:rsid w:val="009861ED"/>
    <w:rsid w:val="00991B41"/>
    <w:rsid w:val="00991C29"/>
    <w:rsid w:val="009920E2"/>
    <w:rsid w:val="009923A0"/>
    <w:rsid w:val="0099315E"/>
    <w:rsid w:val="00994FC9"/>
    <w:rsid w:val="00995112"/>
    <w:rsid w:val="00996A6B"/>
    <w:rsid w:val="00996F9A"/>
    <w:rsid w:val="009970F7"/>
    <w:rsid w:val="009A016A"/>
    <w:rsid w:val="009A0626"/>
    <w:rsid w:val="009A086A"/>
    <w:rsid w:val="009A117B"/>
    <w:rsid w:val="009A16BC"/>
    <w:rsid w:val="009A232E"/>
    <w:rsid w:val="009A2C94"/>
    <w:rsid w:val="009A390B"/>
    <w:rsid w:val="009A4A52"/>
    <w:rsid w:val="009A5E0E"/>
    <w:rsid w:val="009A698C"/>
    <w:rsid w:val="009A71F7"/>
    <w:rsid w:val="009A75DE"/>
    <w:rsid w:val="009B1018"/>
    <w:rsid w:val="009B1BF1"/>
    <w:rsid w:val="009B2013"/>
    <w:rsid w:val="009B2B67"/>
    <w:rsid w:val="009B2CFB"/>
    <w:rsid w:val="009B2F70"/>
    <w:rsid w:val="009B307F"/>
    <w:rsid w:val="009B3CAE"/>
    <w:rsid w:val="009B3CE3"/>
    <w:rsid w:val="009B3EB0"/>
    <w:rsid w:val="009B46EC"/>
    <w:rsid w:val="009B4969"/>
    <w:rsid w:val="009B6285"/>
    <w:rsid w:val="009B7C43"/>
    <w:rsid w:val="009C19D1"/>
    <w:rsid w:val="009C4155"/>
    <w:rsid w:val="009C4234"/>
    <w:rsid w:val="009C6B71"/>
    <w:rsid w:val="009C7073"/>
    <w:rsid w:val="009C7C5F"/>
    <w:rsid w:val="009C7F83"/>
    <w:rsid w:val="009D02F6"/>
    <w:rsid w:val="009D21E5"/>
    <w:rsid w:val="009D2D89"/>
    <w:rsid w:val="009D69EA"/>
    <w:rsid w:val="009D6B5D"/>
    <w:rsid w:val="009D76F9"/>
    <w:rsid w:val="009E0647"/>
    <w:rsid w:val="009E09B1"/>
    <w:rsid w:val="009E0E6B"/>
    <w:rsid w:val="009E0EAF"/>
    <w:rsid w:val="009E132D"/>
    <w:rsid w:val="009E1E8B"/>
    <w:rsid w:val="009E2376"/>
    <w:rsid w:val="009E2EE8"/>
    <w:rsid w:val="009E6334"/>
    <w:rsid w:val="009E6382"/>
    <w:rsid w:val="009E694F"/>
    <w:rsid w:val="009E696B"/>
    <w:rsid w:val="009E710C"/>
    <w:rsid w:val="009E7F0D"/>
    <w:rsid w:val="009F111B"/>
    <w:rsid w:val="009F1D44"/>
    <w:rsid w:val="009F2860"/>
    <w:rsid w:val="009F35C0"/>
    <w:rsid w:val="009F46F7"/>
    <w:rsid w:val="009F4FC0"/>
    <w:rsid w:val="009F5533"/>
    <w:rsid w:val="009F59BB"/>
    <w:rsid w:val="00A04061"/>
    <w:rsid w:val="00A042E2"/>
    <w:rsid w:val="00A0474C"/>
    <w:rsid w:val="00A05075"/>
    <w:rsid w:val="00A072CF"/>
    <w:rsid w:val="00A12067"/>
    <w:rsid w:val="00A12C53"/>
    <w:rsid w:val="00A13E70"/>
    <w:rsid w:val="00A158FF"/>
    <w:rsid w:val="00A16EAC"/>
    <w:rsid w:val="00A205B7"/>
    <w:rsid w:val="00A20776"/>
    <w:rsid w:val="00A20B4C"/>
    <w:rsid w:val="00A22D58"/>
    <w:rsid w:val="00A24507"/>
    <w:rsid w:val="00A24EEC"/>
    <w:rsid w:val="00A253E6"/>
    <w:rsid w:val="00A25B60"/>
    <w:rsid w:val="00A26667"/>
    <w:rsid w:val="00A26F92"/>
    <w:rsid w:val="00A27238"/>
    <w:rsid w:val="00A27E1D"/>
    <w:rsid w:val="00A3009B"/>
    <w:rsid w:val="00A30753"/>
    <w:rsid w:val="00A30D6D"/>
    <w:rsid w:val="00A31642"/>
    <w:rsid w:val="00A333CF"/>
    <w:rsid w:val="00A33A6F"/>
    <w:rsid w:val="00A33B0B"/>
    <w:rsid w:val="00A34508"/>
    <w:rsid w:val="00A35562"/>
    <w:rsid w:val="00A35966"/>
    <w:rsid w:val="00A37257"/>
    <w:rsid w:val="00A375BC"/>
    <w:rsid w:val="00A40634"/>
    <w:rsid w:val="00A430A6"/>
    <w:rsid w:val="00A43B1A"/>
    <w:rsid w:val="00A43CAE"/>
    <w:rsid w:val="00A449A0"/>
    <w:rsid w:val="00A44FDB"/>
    <w:rsid w:val="00A45E3C"/>
    <w:rsid w:val="00A45FA1"/>
    <w:rsid w:val="00A4666F"/>
    <w:rsid w:val="00A46BE4"/>
    <w:rsid w:val="00A46C58"/>
    <w:rsid w:val="00A47029"/>
    <w:rsid w:val="00A47E5B"/>
    <w:rsid w:val="00A50209"/>
    <w:rsid w:val="00A50FF0"/>
    <w:rsid w:val="00A51035"/>
    <w:rsid w:val="00A5106F"/>
    <w:rsid w:val="00A51209"/>
    <w:rsid w:val="00A5120F"/>
    <w:rsid w:val="00A519D1"/>
    <w:rsid w:val="00A5204C"/>
    <w:rsid w:val="00A53FBB"/>
    <w:rsid w:val="00A54E93"/>
    <w:rsid w:val="00A55174"/>
    <w:rsid w:val="00A56CF3"/>
    <w:rsid w:val="00A6014E"/>
    <w:rsid w:val="00A610F9"/>
    <w:rsid w:val="00A627A6"/>
    <w:rsid w:val="00A62822"/>
    <w:rsid w:val="00A62E18"/>
    <w:rsid w:val="00A64902"/>
    <w:rsid w:val="00A65BE1"/>
    <w:rsid w:val="00A72728"/>
    <w:rsid w:val="00A72CBC"/>
    <w:rsid w:val="00A734DC"/>
    <w:rsid w:val="00A7414B"/>
    <w:rsid w:val="00A74E32"/>
    <w:rsid w:val="00A75913"/>
    <w:rsid w:val="00A77D02"/>
    <w:rsid w:val="00A8033D"/>
    <w:rsid w:val="00A8188F"/>
    <w:rsid w:val="00A85A9D"/>
    <w:rsid w:val="00A86176"/>
    <w:rsid w:val="00A865A0"/>
    <w:rsid w:val="00A90FEA"/>
    <w:rsid w:val="00A92319"/>
    <w:rsid w:val="00A933A1"/>
    <w:rsid w:val="00A9464B"/>
    <w:rsid w:val="00A9686B"/>
    <w:rsid w:val="00A97E0D"/>
    <w:rsid w:val="00AA09E3"/>
    <w:rsid w:val="00AA142D"/>
    <w:rsid w:val="00AA184C"/>
    <w:rsid w:val="00AA24F5"/>
    <w:rsid w:val="00AA5025"/>
    <w:rsid w:val="00AA6D39"/>
    <w:rsid w:val="00AB00DE"/>
    <w:rsid w:val="00AB07D8"/>
    <w:rsid w:val="00AB147E"/>
    <w:rsid w:val="00AB1952"/>
    <w:rsid w:val="00AB2F50"/>
    <w:rsid w:val="00AB3242"/>
    <w:rsid w:val="00AB43CF"/>
    <w:rsid w:val="00AB49AB"/>
    <w:rsid w:val="00AB4F8C"/>
    <w:rsid w:val="00AB5CF7"/>
    <w:rsid w:val="00AB603A"/>
    <w:rsid w:val="00AB669A"/>
    <w:rsid w:val="00AB7A62"/>
    <w:rsid w:val="00AB7EB2"/>
    <w:rsid w:val="00AC0080"/>
    <w:rsid w:val="00AC01C7"/>
    <w:rsid w:val="00AC16FB"/>
    <w:rsid w:val="00AC1C43"/>
    <w:rsid w:val="00AC1E6D"/>
    <w:rsid w:val="00AC35BD"/>
    <w:rsid w:val="00AC4A45"/>
    <w:rsid w:val="00AC55CD"/>
    <w:rsid w:val="00AC5A0F"/>
    <w:rsid w:val="00AC5BE1"/>
    <w:rsid w:val="00AC7CD3"/>
    <w:rsid w:val="00AC7DC3"/>
    <w:rsid w:val="00AD0594"/>
    <w:rsid w:val="00AD0EB3"/>
    <w:rsid w:val="00AD1340"/>
    <w:rsid w:val="00AD186E"/>
    <w:rsid w:val="00AD221D"/>
    <w:rsid w:val="00AD2233"/>
    <w:rsid w:val="00AD27B8"/>
    <w:rsid w:val="00AD2FD5"/>
    <w:rsid w:val="00AD5CB0"/>
    <w:rsid w:val="00AD77BA"/>
    <w:rsid w:val="00AE39B6"/>
    <w:rsid w:val="00AE3D2B"/>
    <w:rsid w:val="00AE459F"/>
    <w:rsid w:val="00AE5542"/>
    <w:rsid w:val="00AE6157"/>
    <w:rsid w:val="00AE6280"/>
    <w:rsid w:val="00AE663C"/>
    <w:rsid w:val="00AE67DC"/>
    <w:rsid w:val="00AE6AD9"/>
    <w:rsid w:val="00AE7EA1"/>
    <w:rsid w:val="00AF2645"/>
    <w:rsid w:val="00AF27B4"/>
    <w:rsid w:val="00AF2CC5"/>
    <w:rsid w:val="00AF368D"/>
    <w:rsid w:val="00AF3747"/>
    <w:rsid w:val="00AF3B9A"/>
    <w:rsid w:val="00AF4757"/>
    <w:rsid w:val="00AF6443"/>
    <w:rsid w:val="00AF689C"/>
    <w:rsid w:val="00AF6AE0"/>
    <w:rsid w:val="00AF6BDB"/>
    <w:rsid w:val="00AF788E"/>
    <w:rsid w:val="00B00487"/>
    <w:rsid w:val="00B005FD"/>
    <w:rsid w:val="00B054BE"/>
    <w:rsid w:val="00B056AF"/>
    <w:rsid w:val="00B05B34"/>
    <w:rsid w:val="00B0778C"/>
    <w:rsid w:val="00B1016E"/>
    <w:rsid w:val="00B10E7D"/>
    <w:rsid w:val="00B11C9C"/>
    <w:rsid w:val="00B139C5"/>
    <w:rsid w:val="00B13BDD"/>
    <w:rsid w:val="00B14600"/>
    <w:rsid w:val="00B1568E"/>
    <w:rsid w:val="00B157B7"/>
    <w:rsid w:val="00B1731B"/>
    <w:rsid w:val="00B20429"/>
    <w:rsid w:val="00B20530"/>
    <w:rsid w:val="00B20B7D"/>
    <w:rsid w:val="00B20F04"/>
    <w:rsid w:val="00B210D3"/>
    <w:rsid w:val="00B21180"/>
    <w:rsid w:val="00B2174C"/>
    <w:rsid w:val="00B21A05"/>
    <w:rsid w:val="00B24472"/>
    <w:rsid w:val="00B2575B"/>
    <w:rsid w:val="00B258B1"/>
    <w:rsid w:val="00B2696B"/>
    <w:rsid w:val="00B27195"/>
    <w:rsid w:val="00B27C8F"/>
    <w:rsid w:val="00B31663"/>
    <w:rsid w:val="00B364B9"/>
    <w:rsid w:val="00B36645"/>
    <w:rsid w:val="00B36C60"/>
    <w:rsid w:val="00B37AC9"/>
    <w:rsid w:val="00B37CCD"/>
    <w:rsid w:val="00B4006D"/>
    <w:rsid w:val="00B406DB"/>
    <w:rsid w:val="00B41052"/>
    <w:rsid w:val="00B41467"/>
    <w:rsid w:val="00B427E5"/>
    <w:rsid w:val="00B43590"/>
    <w:rsid w:val="00B4365C"/>
    <w:rsid w:val="00B436F3"/>
    <w:rsid w:val="00B43DFD"/>
    <w:rsid w:val="00B44844"/>
    <w:rsid w:val="00B45B31"/>
    <w:rsid w:val="00B45C0D"/>
    <w:rsid w:val="00B46122"/>
    <w:rsid w:val="00B4671F"/>
    <w:rsid w:val="00B46D05"/>
    <w:rsid w:val="00B46F82"/>
    <w:rsid w:val="00B47A1B"/>
    <w:rsid w:val="00B47AD7"/>
    <w:rsid w:val="00B50070"/>
    <w:rsid w:val="00B509DB"/>
    <w:rsid w:val="00B51CD7"/>
    <w:rsid w:val="00B52360"/>
    <w:rsid w:val="00B5298C"/>
    <w:rsid w:val="00B52A30"/>
    <w:rsid w:val="00B5474C"/>
    <w:rsid w:val="00B54B7B"/>
    <w:rsid w:val="00B55082"/>
    <w:rsid w:val="00B569B7"/>
    <w:rsid w:val="00B572E7"/>
    <w:rsid w:val="00B6069E"/>
    <w:rsid w:val="00B60C27"/>
    <w:rsid w:val="00B61346"/>
    <w:rsid w:val="00B6206E"/>
    <w:rsid w:val="00B62519"/>
    <w:rsid w:val="00B6275C"/>
    <w:rsid w:val="00B63687"/>
    <w:rsid w:val="00B63E6D"/>
    <w:rsid w:val="00B64A61"/>
    <w:rsid w:val="00B64D2A"/>
    <w:rsid w:val="00B6626D"/>
    <w:rsid w:val="00B6785A"/>
    <w:rsid w:val="00B67D36"/>
    <w:rsid w:val="00B71836"/>
    <w:rsid w:val="00B719F7"/>
    <w:rsid w:val="00B722E6"/>
    <w:rsid w:val="00B72645"/>
    <w:rsid w:val="00B729B4"/>
    <w:rsid w:val="00B734D0"/>
    <w:rsid w:val="00B75059"/>
    <w:rsid w:val="00B76038"/>
    <w:rsid w:val="00B76FEC"/>
    <w:rsid w:val="00B7753D"/>
    <w:rsid w:val="00B77CC7"/>
    <w:rsid w:val="00B801F6"/>
    <w:rsid w:val="00B8020F"/>
    <w:rsid w:val="00B84404"/>
    <w:rsid w:val="00B855B1"/>
    <w:rsid w:val="00B85B7E"/>
    <w:rsid w:val="00B874B7"/>
    <w:rsid w:val="00B87A8F"/>
    <w:rsid w:val="00B87D59"/>
    <w:rsid w:val="00B911BC"/>
    <w:rsid w:val="00B9196D"/>
    <w:rsid w:val="00B92939"/>
    <w:rsid w:val="00B93B36"/>
    <w:rsid w:val="00B94653"/>
    <w:rsid w:val="00B94A35"/>
    <w:rsid w:val="00B95979"/>
    <w:rsid w:val="00B95B1B"/>
    <w:rsid w:val="00B95E31"/>
    <w:rsid w:val="00B964F0"/>
    <w:rsid w:val="00B96779"/>
    <w:rsid w:val="00B972D1"/>
    <w:rsid w:val="00BA20C1"/>
    <w:rsid w:val="00BA2BC2"/>
    <w:rsid w:val="00BA4319"/>
    <w:rsid w:val="00BA4A91"/>
    <w:rsid w:val="00BA56C0"/>
    <w:rsid w:val="00BA683D"/>
    <w:rsid w:val="00BA695B"/>
    <w:rsid w:val="00BA7143"/>
    <w:rsid w:val="00BA7648"/>
    <w:rsid w:val="00BB078B"/>
    <w:rsid w:val="00BB268A"/>
    <w:rsid w:val="00BB269F"/>
    <w:rsid w:val="00BB27A3"/>
    <w:rsid w:val="00BB2CDF"/>
    <w:rsid w:val="00BB2DD6"/>
    <w:rsid w:val="00BB2E72"/>
    <w:rsid w:val="00BB31B8"/>
    <w:rsid w:val="00BB3666"/>
    <w:rsid w:val="00BB4950"/>
    <w:rsid w:val="00BB4998"/>
    <w:rsid w:val="00BB4D9C"/>
    <w:rsid w:val="00BB5394"/>
    <w:rsid w:val="00BB54A0"/>
    <w:rsid w:val="00BB5B12"/>
    <w:rsid w:val="00BB6966"/>
    <w:rsid w:val="00BB7141"/>
    <w:rsid w:val="00BB72A0"/>
    <w:rsid w:val="00BC040A"/>
    <w:rsid w:val="00BC141B"/>
    <w:rsid w:val="00BC5A71"/>
    <w:rsid w:val="00BC60AF"/>
    <w:rsid w:val="00BC6C4B"/>
    <w:rsid w:val="00BC76F0"/>
    <w:rsid w:val="00BD0018"/>
    <w:rsid w:val="00BD06B9"/>
    <w:rsid w:val="00BD11AF"/>
    <w:rsid w:val="00BD1E18"/>
    <w:rsid w:val="00BD518A"/>
    <w:rsid w:val="00BD62F3"/>
    <w:rsid w:val="00BD6A08"/>
    <w:rsid w:val="00BD6B2D"/>
    <w:rsid w:val="00BD6BE7"/>
    <w:rsid w:val="00BD775C"/>
    <w:rsid w:val="00BE155A"/>
    <w:rsid w:val="00BE1A36"/>
    <w:rsid w:val="00BE3120"/>
    <w:rsid w:val="00BE461E"/>
    <w:rsid w:val="00BE47F4"/>
    <w:rsid w:val="00BE69CB"/>
    <w:rsid w:val="00BE7032"/>
    <w:rsid w:val="00BE713F"/>
    <w:rsid w:val="00BE75A1"/>
    <w:rsid w:val="00BF00CC"/>
    <w:rsid w:val="00BF1A97"/>
    <w:rsid w:val="00BF1DB4"/>
    <w:rsid w:val="00BF2390"/>
    <w:rsid w:val="00BF4570"/>
    <w:rsid w:val="00BF4851"/>
    <w:rsid w:val="00BF5811"/>
    <w:rsid w:val="00BF5A61"/>
    <w:rsid w:val="00BF6D35"/>
    <w:rsid w:val="00C016C0"/>
    <w:rsid w:val="00C01DAA"/>
    <w:rsid w:val="00C0308F"/>
    <w:rsid w:val="00C032DB"/>
    <w:rsid w:val="00C03306"/>
    <w:rsid w:val="00C0339D"/>
    <w:rsid w:val="00C03402"/>
    <w:rsid w:val="00C03E56"/>
    <w:rsid w:val="00C04464"/>
    <w:rsid w:val="00C04F55"/>
    <w:rsid w:val="00C07BBD"/>
    <w:rsid w:val="00C1065E"/>
    <w:rsid w:val="00C10AD6"/>
    <w:rsid w:val="00C10DBE"/>
    <w:rsid w:val="00C11371"/>
    <w:rsid w:val="00C12E69"/>
    <w:rsid w:val="00C143F3"/>
    <w:rsid w:val="00C157BB"/>
    <w:rsid w:val="00C16244"/>
    <w:rsid w:val="00C1632F"/>
    <w:rsid w:val="00C16732"/>
    <w:rsid w:val="00C167DD"/>
    <w:rsid w:val="00C20A8D"/>
    <w:rsid w:val="00C20F36"/>
    <w:rsid w:val="00C2225B"/>
    <w:rsid w:val="00C225E7"/>
    <w:rsid w:val="00C2275B"/>
    <w:rsid w:val="00C25533"/>
    <w:rsid w:val="00C25AC2"/>
    <w:rsid w:val="00C25D5B"/>
    <w:rsid w:val="00C26F17"/>
    <w:rsid w:val="00C270D8"/>
    <w:rsid w:val="00C275D1"/>
    <w:rsid w:val="00C2775D"/>
    <w:rsid w:val="00C329B7"/>
    <w:rsid w:val="00C35ECD"/>
    <w:rsid w:val="00C36371"/>
    <w:rsid w:val="00C36695"/>
    <w:rsid w:val="00C36BD5"/>
    <w:rsid w:val="00C36EC2"/>
    <w:rsid w:val="00C3731B"/>
    <w:rsid w:val="00C407CF"/>
    <w:rsid w:val="00C4082C"/>
    <w:rsid w:val="00C41063"/>
    <w:rsid w:val="00C412AF"/>
    <w:rsid w:val="00C42573"/>
    <w:rsid w:val="00C428B0"/>
    <w:rsid w:val="00C42C46"/>
    <w:rsid w:val="00C44392"/>
    <w:rsid w:val="00C449D8"/>
    <w:rsid w:val="00C468F7"/>
    <w:rsid w:val="00C473AD"/>
    <w:rsid w:val="00C478B0"/>
    <w:rsid w:val="00C47EEB"/>
    <w:rsid w:val="00C50664"/>
    <w:rsid w:val="00C50CFD"/>
    <w:rsid w:val="00C50F6B"/>
    <w:rsid w:val="00C52D86"/>
    <w:rsid w:val="00C52E00"/>
    <w:rsid w:val="00C539B3"/>
    <w:rsid w:val="00C54452"/>
    <w:rsid w:val="00C54A8A"/>
    <w:rsid w:val="00C54CE8"/>
    <w:rsid w:val="00C54F26"/>
    <w:rsid w:val="00C56E31"/>
    <w:rsid w:val="00C5749F"/>
    <w:rsid w:val="00C610F8"/>
    <w:rsid w:val="00C623AE"/>
    <w:rsid w:val="00C6322F"/>
    <w:rsid w:val="00C6573F"/>
    <w:rsid w:val="00C66A78"/>
    <w:rsid w:val="00C70A64"/>
    <w:rsid w:val="00C70B05"/>
    <w:rsid w:val="00C70C93"/>
    <w:rsid w:val="00C71D0B"/>
    <w:rsid w:val="00C744BD"/>
    <w:rsid w:val="00C748B4"/>
    <w:rsid w:val="00C74EEC"/>
    <w:rsid w:val="00C75B42"/>
    <w:rsid w:val="00C75B71"/>
    <w:rsid w:val="00C76A03"/>
    <w:rsid w:val="00C77BEB"/>
    <w:rsid w:val="00C80CE6"/>
    <w:rsid w:val="00C81AC6"/>
    <w:rsid w:val="00C824D8"/>
    <w:rsid w:val="00C83A5E"/>
    <w:rsid w:val="00C860FC"/>
    <w:rsid w:val="00C868BA"/>
    <w:rsid w:val="00C86BDC"/>
    <w:rsid w:val="00C87569"/>
    <w:rsid w:val="00C91D93"/>
    <w:rsid w:val="00C9254F"/>
    <w:rsid w:val="00C92C7F"/>
    <w:rsid w:val="00C93E2A"/>
    <w:rsid w:val="00C941FF"/>
    <w:rsid w:val="00C951D1"/>
    <w:rsid w:val="00C95331"/>
    <w:rsid w:val="00C96390"/>
    <w:rsid w:val="00C9733D"/>
    <w:rsid w:val="00C97CFC"/>
    <w:rsid w:val="00C97F32"/>
    <w:rsid w:val="00CA12B0"/>
    <w:rsid w:val="00CA130C"/>
    <w:rsid w:val="00CA18F5"/>
    <w:rsid w:val="00CA1AA3"/>
    <w:rsid w:val="00CA1BC2"/>
    <w:rsid w:val="00CA3321"/>
    <w:rsid w:val="00CA3520"/>
    <w:rsid w:val="00CA398C"/>
    <w:rsid w:val="00CA48B0"/>
    <w:rsid w:val="00CA4962"/>
    <w:rsid w:val="00CA645E"/>
    <w:rsid w:val="00CA6B4F"/>
    <w:rsid w:val="00CA719D"/>
    <w:rsid w:val="00CA7F5C"/>
    <w:rsid w:val="00CB0796"/>
    <w:rsid w:val="00CB0A85"/>
    <w:rsid w:val="00CB2C62"/>
    <w:rsid w:val="00CB3BCE"/>
    <w:rsid w:val="00CB56FD"/>
    <w:rsid w:val="00CB5A8C"/>
    <w:rsid w:val="00CB702F"/>
    <w:rsid w:val="00CB7439"/>
    <w:rsid w:val="00CB7A6F"/>
    <w:rsid w:val="00CB7B73"/>
    <w:rsid w:val="00CB7D46"/>
    <w:rsid w:val="00CC07CA"/>
    <w:rsid w:val="00CC0849"/>
    <w:rsid w:val="00CC1949"/>
    <w:rsid w:val="00CC2E96"/>
    <w:rsid w:val="00CC3D39"/>
    <w:rsid w:val="00CC40FC"/>
    <w:rsid w:val="00CC455B"/>
    <w:rsid w:val="00CC466F"/>
    <w:rsid w:val="00CC471F"/>
    <w:rsid w:val="00CC57BA"/>
    <w:rsid w:val="00CC5A08"/>
    <w:rsid w:val="00CC5F1E"/>
    <w:rsid w:val="00CC609A"/>
    <w:rsid w:val="00CC7B06"/>
    <w:rsid w:val="00CD04AF"/>
    <w:rsid w:val="00CD42F3"/>
    <w:rsid w:val="00CD438F"/>
    <w:rsid w:val="00CD4891"/>
    <w:rsid w:val="00CD50AA"/>
    <w:rsid w:val="00CD61D5"/>
    <w:rsid w:val="00CD635E"/>
    <w:rsid w:val="00CD6626"/>
    <w:rsid w:val="00CD68AB"/>
    <w:rsid w:val="00CD7130"/>
    <w:rsid w:val="00CD768D"/>
    <w:rsid w:val="00CD7912"/>
    <w:rsid w:val="00CD7ED1"/>
    <w:rsid w:val="00CE11C1"/>
    <w:rsid w:val="00CE33E6"/>
    <w:rsid w:val="00CE3A6E"/>
    <w:rsid w:val="00CE43D1"/>
    <w:rsid w:val="00CE4A47"/>
    <w:rsid w:val="00CE51A6"/>
    <w:rsid w:val="00CE7405"/>
    <w:rsid w:val="00CE7494"/>
    <w:rsid w:val="00CF1436"/>
    <w:rsid w:val="00CF157E"/>
    <w:rsid w:val="00CF1D01"/>
    <w:rsid w:val="00CF2FDB"/>
    <w:rsid w:val="00CF32B6"/>
    <w:rsid w:val="00CF3EB0"/>
    <w:rsid w:val="00CF62E1"/>
    <w:rsid w:val="00CF6E73"/>
    <w:rsid w:val="00CF7881"/>
    <w:rsid w:val="00D02B26"/>
    <w:rsid w:val="00D02C96"/>
    <w:rsid w:val="00D03274"/>
    <w:rsid w:val="00D03717"/>
    <w:rsid w:val="00D03E18"/>
    <w:rsid w:val="00D03FB6"/>
    <w:rsid w:val="00D058B7"/>
    <w:rsid w:val="00D060C7"/>
    <w:rsid w:val="00D109E7"/>
    <w:rsid w:val="00D10D73"/>
    <w:rsid w:val="00D11D0E"/>
    <w:rsid w:val="00D1333E"/>
    <w:rsid w:val="00D134D2"/>
    <w:rsid w:val="00D1575B"/>
    <w:rsid w:val="00D1637D"/>
    <w:rsid w:val="00D16A4A"/>
    <w:rsid w:val="00D16FAD"/>
    <w:rsid w:val="00D17D9F"/>
    <w:rsid w:val="00D207CE"/>
    <w:rsid w:val="00D21D8D"/>
    <w:rsid w:val="00D21EE9"/>
    <w:rsid w:val="00D22F0D"/>
    <w:rsid w:val="00D23602"/>
    <w:rsid w:val="00D258BB"/>
    <w:rsid w:val="00D2777B"/>
    <w:rsid w:val="00D2783E"/>
    <w:rsid w:val="00D27942"/>
    <w:rsid w:val="00D3292D"/>
    <w:rsid w:val="00D33D4C"/>
    <w:rsid w:val="00D33E9E"/>
    <w:rsid w:val="00D37B77"/>
    <w:rsid w:val="00D42A1E"/>
    <w:rsid w:val="00D4392E"/>
    <w:rsid w:val="00D45115"/>
    <w:rsid w:val="00D45693"/>
    <w:rsid w:val="00D4625F"/>
    <w:rsid w:val="00D478EB"/>
    <w:rsid w:val="00D502A3"/>
    <w:rsid w:val="00D50B48"/>
    <w:rsid w:val="00D51016"/>
    <w:rsid w:val="00D512AD"/>
    <w:rsid w:val="00D51418"/>
    <w:rsid w:val="00D518CE"/>
    <w:rsid w:val="00D52AC0"/>
    <w:rsid w:val="00D53DA5"/>
    <w:rsid w:val="00D53EC8"/>
    <w:rsid w:val="00D54E08"/>
    <w:rsid w:val="00D555C7"/>
    <w:rsid w:val="00D55BAC"/>
    <w:rsid w:val="00D564EC"/>
    <w:rsid w:val="00D578CD"/>
    <w:rsid w:val="00D57C8B"/>
    <w:rsid w:val="00D60760"/>
    <w:rsid w:val="00D61402"/>
    <w:rsid w:val="00D6239B"/>
    <w:rsid w:val="00D63BE9"/>
    <w:rsid w:val="00D667D3"/>
    <w:rsid w:val="00D66923"/>
    <w:rsid w:val="00D66ED9"/>
    <w:rsid w:val="00D679BA"/>
    <w:rsid w:val="00D67F97"/>
    <w:rsid w:val="00D70DFC"/>
    <w:rsid w:val="00D72345"/>
    <w:rsid w:val="00D72890"/>
    <w:rsid w:val="00D74C0C"/>
    <w:rsid w:val="00D74D71"/>
    <w:rsid w:val="00D774DD"/>
    <w:rsid w:val="00D818B6"/>
    <w:rsid w:val="00D83AB9"/>
    <w:rsid w:val="00D8466B"/>
    <w:rsid w:val="00D8639C"/>
    <w:rsid w:val="00D86978"/>
    <w:rsid w:val="00D86C34"/>
    <w:rsid w:val="00D87E7F"/>
    <w:rsid w:val="00D87FA2"/>
    <w:rsid w:val="00D90162"/>
    <w:rsid w:val="00D904AD"/>
    <w:rsid w:val="00D90751"/>
    <w:rsid w:val="00D9109A"/>
    <w:rsid w:val="00D942EB"/>
    <w:rsid w:val="00D94B44"/>
    <w:rsid w:val="00D96586"/>
    <w:rsid w:val="00DA09EB"/>
    <w:rsid w:val="00DA2F51"/>
    <w:rsid w:val="00DA5AC5"/>
    <w:rsid w:val="00DA5B0A"/>
    <w:rsid w:val="00DA65B1"/>
    <w:rsid w:val="00DB34DB"/>
    <w:rsid w:val="00DB3BD2"/>
    <w:rsid w:val="00DB5355"/>
    <w:rsid w:val="00DB5BAC"/>
    <w:rsid w:val="00DB66A9"/>
    <w:rsid w:val="00DB75B0"/>
    <w:rsid w:val="00DB7930"/>
    <w:rsid w:val="00DC0E92"/>
    <w:rsid w:val="00DC2652"/>
    <w:rsid w:val="00DC355B"/>
    <w:rsid w:val="00DC3DEB"/>
    <w:rsid w:val="00DC5D3C"/>
    <w:rsid w:val="00DC5E3D"/>
    <w:rsid w:val="00DC5E70"/>
    <w:rsid w:val="00DC5F82"/>
    <w:rsid w:val="00DC68F4"/>
    <w:rsid w:val="00DC6BE3"/>
    <w:rsid w:val="00DC7CC3"/>
    <w:rsid w:val="00DD0C47"/>
    <w:rsid w:val="00DD113B"/>
    <w:rsid w:val="00DD1BA7"/>
    <w:rsid w:val="00DD223F"/>
    <w:rsid w:val="00DD2342"/>
    <w:rsid w:val="00DD46A2"/>
    <w:rsid w:val="00DD5338"/>
    <w:rsid w:val="00DD58F4"/>
    <w:rsid w:val="00DD7AFA"/>
    <w:rsid w:val="00DE09D7"/>
    <w:rsid w:val="00DE0BC0"/>
    <w:rsid w:val="00DE0E6B"/>
    <w:rsid w:val="00DE662E"/>
    <w:rsid w:val="00DE6740"/>
    <w:rsid w:val="00DE7718"/>
    <w:rsid w:val="00DF0951"/>
    <w:rsid w:val="00DF12C2"/>
    <w:rsid w:val="00DF1751"/>
    <w:rsid w:val="00DF3DD4"/>
    <w:rsid w:val="00DF5188"/>
    <w:rsid w:val="00DF5FB2"/>
    <w:rsid w:val="00DF620B"/>
    <w:rsid w:val="00DF6E59"/>
    <w:rsid w:val="00DF70FE"/>
    <w:rsid w:val="00DF76C2"/>
    <w:rsid w:val="00DF7BAE"/>
    <w:rsid w:val="00E007E0"/>
    <w:rsid w:val="00E008FC"/>
    <w:rsid w:val="00E0130F"/>
    <w:rsid w:val="00E02760"/>
    <w:rsid w:val="00E0298A"/>
    <w:rsid w:val="00E03122"/>
    <w:rsid w:val="00E03661"/>
    <w:rsid w:val="00E04A1B"/>
    <w:rsid w:val="00E04B61"/>
    <w:rsid w:val="00E05349"/>
    <w:rsid w:val="00E05F91"/>
    <w:rsid w:val="00E0751C"/>
    <w:rsid w:val="00E102CB"/>
    <w:rsid w:val="00E10704"/>
    <w:rsid w:val="00E11130"/>
    <w:rsid w:val="00E11F39"/>
    <w:rsid w:val="00E1322B"/>
    <w:rsid w:val="00E139C1"/>
    <w:rsid w:val="00E15869"/>
    <w:rsid w:val="00E15FA7"/>
    <w:rsid w:val="00E16B1C"/>
    <w:rsid w:val="00E200AC"/>
    <w:rsid w:val="00E209C8"/>
    <w:rsid w:val="00E2219D"/>
    <w:rsid w:val="00E22557"/>
    <w:rsid w:val="00E2336E"/>
    <w:rsid w:val="00E24064"/>
    <w:rsid w:val="00E2468E"/>
    <w:rsid w:val="00E259E0"/>
    <w:rsid w:val="00E25CD6"/>
    <w:rsid w:val="00E26BDE"/>
    <w:rsid w:val="00E3055F"/>
    <w:rsid w:val="00E30809"/>
    <w:rsid w:val="00E332D5"/>
    <w:rsid w:val="00E345CF"/>
    <w:rsid w:val="00E3535E"/>
    <w:rsid w:val="00E358F6"/>
    <w:rsid w:val="00E35A7C"/>
    <w:rsid w:val="00E36FAA"/>
    <w:rsid w:val="00E400AE"/>
    <w:rsid w:val="00E41FCA"/>
    <w:rsid w:val="00E41FE4"/>
    <w:rsid w:val="00E42A4B"/>
    <w:rsid w:val="00E4331F"/>
    <w:rsid w:val="00E43BCC"/>
    <w:rsid w:val="00E43DE8"/>
    <w:rsid w:val="00E440DA"/>
    <w:rsid w:val="00E44ADF"/>
    <w:rsid w:val="00E45036"/>
    <w:rsid w:val="00E45FC0"/>
    <w:rsid w:val="00E47922"/>
    <w:rsid w:val="00E4798F"/>
    <w:rsid w:val="00E47A61"/>
    <w:rsid w:val="00E505BF"/>
    <w:rsid w:val="00E50E82"/>
    <w:rsid w:val="00E52328"/>
    <w:rsid w:val="00E525F0"/>
    <w:rsid w:val="00E53665"/>
    <w:rsid w:val="00E53A5B"/>
    <w:rsid w:val="00E53C39"/>
    <w:rsid w:val="00E54DC7"/>
    <w:rsid w:val="00E55797"/>
    <w:rsid w:val="00E56FB0"/>
    <w:rsid w:val="00E60105"/>
    <w:rsid w:val="00E60415"/>
    <w:rsid w:val="00E62885"/>
    <w:rsid w:val="00E630F4"/>
    <w:rsid w:val="00E63512"/>
    <w:rsid w:val="00E63826"/>
    <w:rsid w:val="00E63BC6"/>
    <w:rsid w:val="00E64028"/>
    <w:rsid w:val="00E649B4"/>
    <w:rsid w:val="00E67BA1"/>
    <w:rsid w:val="00E70124"/>
    <w:rsid w:val="00E70411"/>
    <w:rsid w:val="00E706FB"/>
    <w:rsid w:val="00E70856"/>
    <w:rsid w:val="00E71036"/>
    <w:rsid w:val="00E71551"/>
    <w:rsid w:val="00E7160D"/>
    <w:rsid w:val="00E719DA"/>
    <w:rsid w:val="00E71A91"/>
    <w:rsid w:val="00E721B0"/>
    <w:rsid w:val="00E72A86"/>
    <w:rsid w:val="00E736F9"/>
    <w:rsid w:val="00E737D2"/>
    <w:rsid w:val="00E73C67"/>
    <w:rsid w:val="00E7519A"/>
    <w:rsid w:val="00E77A07"/>
    <w:rsid w:val="00E77F4F"/>
    <w:rsid w:val="00E813C7"/>
    <w:rsid w:val="00E82333"/>
    <w:rsid w:val="00E82647"/>
    <w:rsid w:val="00E82AA0"/>
    <w:rsid w:val="00E834AA"/>
    <w:rsid w:val="00E8371F"/>
    <w:rsid w:val="00E83BC4"/>
    <w:rsid w:val="00E83E3A"/>
    <w:rsid w:val="00E84122"/>
    <w:rsid w:val="00E843FD"/>
    <w:rsid w:val="00E87475"/>
    <w:rsid w:val="00E8780C"/>
    <w:rsid w:val="00E87BBF"/>
    <w:rsid w:val="00E90451"/>
    <w:rsid w:val="00E922D3"/>
    <w:rsid w:val="00E92686"/>
    <w:rsid w:val="00E92CCD"/>
    <w:rsid w:val="00E93B93"/>
    <w:rsid w:val="00E93BD0"/>
    <w:rsid w:val="00E940AD"/>
    <w:rsid w:val="00E945DF"/>
    <w:rsid w:val="00E952E8"/>
    <w:rsid w:val="00E96047"/>
    <w:rsid w:val="00E966EA"/>
    <w:rsid w:val="00E9679D"/>
    <w:rsid w:val="00E973AB"/>
    <w:rsid w:val="00E97658"/>
    <w:rsid w:val="00EA0D74"/>
    <w:rsid w:val="00EA188F"/>
    <w:rsid w:val="00EA2129"/>
    <w:rsid w:val="00EA22C1"/>
    <w:rsid w:val="00EA55A3"/>
    <w:rsid w:val="00EA65C3"/>
    <w:rsid w:val="00EA6856"/>
    <w:rsid w:val="00EA7EAC"/>
    <w:rsid w:val="00EB093E"/>
    <w:rsid w:val="00EB1440"/>
    <w:rsid w:val="00EB1A84"/>
    <w:rsid w:val="00EB1FA2"/>
    <w:rsid w:val="00EB3F31"/>
    <w:rsid w:val="00EC0D45"/>
    <w:rsid w:val="00EC1C82"/>
    <w:rsid w:val="00EC2DAF"/>
    <w:rsid w:val="00EC421A"/>
    <w:rsid w:val="00EC5B14"/>
    <w:rsid w:val="00EC7A38"/>
    <w:rsid w:val="00ED08AE"/>
    <w:rsid w:val="00ED3B87"/>
    <w:rsid w:val="00ED5E53"/>
    <w:rsid w:val="00ED61E6"/>
    <w:rsid w:val="00ED6B9A"/>
    <w:rsid w:val="00ED6C17"/>
    <w:rsid w:val="00ED7E21"/>
    <w:rsid w:val="00EE0A99"/>
    <w:rsid w:val="00EE183D"/>
    <w:rsid w:val="00EE2C29"/>
    <w:rsid w:val="00EE3DE2"/>
    <w:rsid w:val="00EE477B"/>
    <w:rsid w:val="00EE66C0"/>
    <w:rsid w:val="00EF05AB"/>
    <w:rsid w:val="00EF08D6"/>
    <w:rsid w:val="00EF0F19"/>
    <w:rsid w:val="00EF2EAC"/>
    <w:rsid w:val="00EF2EE0"/>
    <w:rsid w:val="00EF4C8F"/>
    <w:rsid w:val="00EF6190"/>
    <w:rsid w:val="00EF651B"/>
    <w:rsid w:val="00EF6756"/>
    <w:rsid w:val="00EF6A7A"/>
    <w:rsid w:val="00F00082"/>
    <w:rsid w:val="00F00E54"/>
    <w:rsid w:val="00F01295"/>
    <w:rsid w:val="00F01422"/>
    <w:rsid w:val="00F014B2"/>
    <w:rsid w:val="00F02E1A"/>
    <w:rsid w:val="00F0394B"/>
    <w:rsid w:val="00F03E6F"/>
    <w:rsid w:val="00F042E1"/>
    <w:rsid w:val="00F055F9"/>
    <w:rsid w:val="00F05664"/>
    <w:rsid w:val="00F05C86"/>
    <w:rsid w:val="00F06585"/>
    <w:rsid w:val="00F068BA"/>
    <w:rsid w:val="00F10891"/>
    <w:rsid w:val="00F10C42"/>
    <w:rsid w:val="00F10F64"/>
    <w:rsid w:val="00F12017"/>
    <w:rsid w:val="00F13074"/>
    <w:rsid w:val="00F132BE"/>
    <w:rsid w:val="00F13778"/>
    <w:rsid w:val="00F13E22"/>
    <w:rsid w:val="00F1555D"/>
    <w:rsid w:val="00F15841"/>
    <w:rsid w:val="00F159C7"/>
    <w:rsid w:val="00F165C2"/>
    <w:rsid w:val="00F1738F"/>
    <w:rsid w:val="00F17BAB"/>
    <w:rsid w:val="00F2169D"/>
    <w:rsid w:val="00F2171A"/>
    <w:rsid w:val="00F21F7B"/>
    <w:rsid w:val="00F237DD"/>
    <w:rsid w:val="00F23A15"/>
    <w:rsid w:val="00F24041"/>
    <w:rsid w:val="00F24243"/>
    <w:rsid w:val="00F243AC"/>
    <w:rsid w:val="00F24C0F"/>
    <w:rsid w:val="00F2564A"/>
    <w:rsid w:val="00F25B34"/>
    <w:rsid w:val="00F26394"/>
    <w:rsid w:val="00F271B9"/>
    <w:rsid w:val="00F27A49"/>
    <w:rsid w:val="00F3084B"/>
    <w:rsid w:val="00F30E90"/>
    <w:rsid w:val="00F330B7"/>
    <w:rsid w:val="00F354EC"/>
    <w:rsid w:val="00F35AA1"/>
    <w:rsid w:val="00F35D62"/>
    <w:rsid w:val="00F37304"/>
    <w:rsid w:val="00F37C6A"/>
    <w:rsid w:val="00F422CF"/>
    <w:rsid w:val="00F42C53"/>
    <w:rsid w:val="00F43314"/>
    <w:rsid w:val="00F43C78"/>
    <w:rsid w:val="00F44DCB"/>
    <w:rsid w:val="00F44E88"/>
    <w:rsid w:val="00F45A52"/>
    <w:rsid w:val="00F45D6F"/>
    <w:rsid w:val="00F5041D"/>
    <w:rsid w:val="00F5136E"/>
    <w:rsid w:val="00F51BFA"/>
    <w:rsid w:val="00F51DC1"/>
    <w:rsid w:val="00F53754"/>
    <w:rsid w:val="00F539CF"/>
    <w:rsid w:val="00F54304"/>
    <w:rsid w:val="00F5573B"/>
    <w:rsid w:val="00F55F0E"/>
    <w:rsid w:val="00F56260"/>
    <w:rsid w:val="00F6083C"/>
    <w:rsid w:val="00F60977"/>
    <w:rsid w:val="00F6126F"/>
    <w:rsid w:val="00F61D7D"/>
    <w:rsid w:val="00F61E1F"/>
    <w:rsid w:val="00F62A7F"/>
    <w:rsid w:val="00F6335C"/>
    <w:rsid w:val="00F63996"/>
    <w:rsid w:val="00F64A7F"/>
    <w:rsid w:val="00F6598A"/>
    <w:rsid w:val="00F666C8"/>
    <w:rsid w:val="00F66A2D"/>
    <w:rsid w:val="00F66D25"/>
    <w:rsid w:val="00F67495"/>
    <w:rsid w:val="00F70644"/>
    <w:rsid w:val="00F7149C"/>
    <w:rsid w:val="00F718F9"/>
    <w:rsid w:val="00F7326E"/>
    <w:rsid w:val="00F73AED"/>
    <w:rsid w:val="00F74339"/>
    <w:rsid w:val="00F74B38"/>
    <w:rsid w:val="00F74FC1"/>
    <w:rsid w:val="00F75157"/>
    <w:rsid w:val="00F7519F"/>
    <w:rsid w:val="00F758A4"/>
    <w:rsid w:val="00F75B74"/>
    <w:rsid w:val="00F76CCE"/>
    <w:rsid w:val="00F775EF"/>
    <w:rsid w:val="00F77B24"/>
    <w:rsid w:val="00F77BCD"/>
    <w:rsid w:val="00F802AC"/>
    <w:rsid w:val="00F80CF1"/>
    <w:rsid w:val="00F80ED5"/>
    <w:rsid w:val="00F85AAD"/>
    <w:rsid w:val="00F86755"/>
    <w:rsid w:val="00F86C48"/>
    <w:rsid w:val="00F86E4E"/>
    <w:rsid w:val="00F90296"/>
    <w:rsid w:val="00F904BD"/>
    <w:rsid w:val="00F904DE"/>
    <w:rsid w:val="00F91E23"/>
    <w:rsid w:val="00F9243A"/>
    <w:rsid w:val="00F92F81"/>
    <w:rsid w:val="00F93C99"/>
    <w:rsid w:val="00F94367"/>
    <w:rsid w:val="00F9530C"/>
    <w:rsid w:val="00F96045"/>
    <w:rsid w:val="00F96A5C"/>
    <w:rsid w:val="00F96DB8"/>
    <w:rsid w:val="00F977F5"/>
    <w:rsid w:val="00F97939"/>
    <w:rsid w:val="00F97A6F"/>
    <w:rsid w:val="00FA01FF"/>
    <w:rsid w:val="00FA0B72"/>
    <w:rsid w:val="00FA2202"/>
    <w:rsid w:val="00FA4066"/>
    <w:rsid w:val="00FA5A1F"/>
    <w:rsid w:val="00FA61E5"/>
    <w:rsid w:val="00FA6439"/>
    <w:rsid w:val="00FA648D"/>
    <w:rsid w:val="00FA6DD9"/>
    <w:rsid w:val="00FB201A"/>
    <w:rsid w:val="00FB2D15"/>
    <w:rsid w:val="00FB3A3C"/>
    <w:rsid w:val="00FB48B4"/>
    <w:rsid w:val="00FB4A0D"/>
    <w:rsid w:val="00FB4CF5"/>
    <w:rsid w:val="00FB50C3"/>
    <w:rsid w:val="00FB5700"/>
    <w:rsid w:val="00FB6FE4"/>
    <w:rsid w:val="00FB7586"/>
    <w:rsid w:val="00FB7C77"/>
    <w:rsid w:val="00FB7D2C"/>
    <w:rsid w:val="00FC28BC"/>
    <w:rsid w:val="00FC2D9D"/>
    <w:rsid w:val="00FC4375"/>
    <w:rsid w:val="00FC4646"/>
    <w:rsid w:val="00FC4885"/>
    <w:rsid w:val="00FC4948"/>
    <w:rsid w:val="00FC6A52"/>
    <w:rsid w:val="00FC6DA0"/>
    <w:rsid w:val="00FC77ED"/>
    <w:rsid w:val="00FD1672"/>
    <w:rsid w:val="00FD2ED1"/>
    <w:rsid w:val="00FD3C05"/>
    <w:rsid w:val="00FD3F54"/>
    <w:rsid w:val="00FD4D5E"/>
    <w:rsid w:val="00FD4F43"/>
    <w:rsid w:val="00FD5432"/>
    <w:rsid w:val="00FD61DB"/>
    <w:rsid w:val="00FD688E"/>
    <w:rsid w:val="00FE026B"/>
    <w:rsid w:val="00FE0A47"/>
    <w:rsid w:val="00FE1C5F"/>
    <w:rsid w:val="00FE1E0A"/>
    <w:rsid w:val="00FE273C"/>
    <w:rsid w:val="00FE287F"/>
    <w:rsid w:val="00FE3E01"/>
    <w:rsid w:val="00FE425C"/>
    <w:rsid w:val="00FE4CAA"/>
    <w:rsid w:val="00FE52B7"/>
    <w:rsid w:val="00FE5C32"/>
    <w:rsid w:val="00FE7B04"/>
    <w:rsid w:val="00FE7EAB"/>
    <w:rsid w:val="00FF2127"/>
    <w:rsid w:val="00FF2E0F"/>
    <w:rsid w:val="00FF4371"/>
    <w:rsid w:val="00FF44DA"/>
    <w:rsid w:val="00FF4B26"/>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03BA"/>
  <w15:chartTrackingRefBased/>
  <w15:docId w15:val="{02F73996-3478-2A43-8BF7-E2CF6453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DCF"/>
    <w:pPr>
      <w:ind w:left="720"/>
      <w:contextualSpacing/>
    </w:pPr>
  </w:style>
  <w:style w:type="table" w:styleId="TableGrid">
    <w:name w:val="Table Grid"/>
    <w:basedOn w:val="TableNormal"/>
    <w:uiPriority w:val="39"/>
    <w:rsid w:val="00203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238"/>
  </w:style>
  <w:style w:type="paragraph" w:styleId="Footer">
    <w:name w:val="footer"/>
    <w:basedOn w:val="Normal"/>
    <w:link w:val="FooterChar"/>
    <w:uiPriority w:val="99"/>
    <w:unhideWhenUsed/>
    <w:rsid w:val="007E3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238"/>
  </w:style>
  <w:style w:type="character" w:styleId="LineNumber">
    <w:name w:val="line number"/>
    <w:basedOn w:val="DefaultParagraphFont"/>
    <w:uiPriority w:val="99"/>
    <w:semiHidden/>
    <w:unhideWhenUsed/>
    <w:rsid w:val="000978EE"/>
  </w:style>
  <w:style w:type="paragraph" w:styleId="Bibliography">
    <w:name w:val="Bibliography"/>
    <w:basedOn w:val="Normal"/>
    <w:next w:val="Normal"/>
    <w:uiPriority w:val="37"/>
    <w:unhideWhenUsed/>
    <w:rsid w:val="00EC2DAF"/>
    <w:pPr>
      <w:tabs>
        <w:tab w:val="left" w:pos="384"/>
      </w:tabs>
      <w:spacing w:after="0" w:line="240" w:lineRule="auto"/>
      <w:ind w:left="384" w:hanging="384"/>
    </w:pPr>
  </w:style>
  <w:style w:type="character" w:styleId="CommentReference">
    <w:name w:val="annotation reference"/>
    <w:basedOn w:val="DefaultParagraphFont"/>
    <w:uiPriority w:val="99"/>
    <w:semiHidden/>
    <w:unhideWhenUsed/>
    <w:rsid w:val="001C67A3"/>
    <w:rPr>
      <w:sz w:val="16"/>
      <w:szCs w:val="16"/>
    </w:rPr>
  </w:style>
  <w:style w:type="paragraph" w:styleId="CommentText">
    <w:name w:val="annotation text"/>
    <w:basedOn w:val="Normal"/>
    <w:link w:val="CommentTextChar"/>
    <w:uiPriority w:val="99"/>
    <w:semiHidden/>
    <w:unhideWhenUsed/>
    <w:rsid w:val="001C67A3"/>
    <w:pPr>
      <w:spacing w:line="240" w:lineRule="auto"/>
    </w:pPr>
    <w:rPr>
      <w:sz w:val="20"/>
      <w:szCs w:val="20"/>
    </w:rPr>
  </w:style>
  <w:style w:type="character" w:customStyle="1" w:styleId="CommentTextChar">
    <w:name w:val="Comment Text Char"/>
    <w:basedOn w:val="DefaultParagraphFont"/>
    <w:link w:val="CommentText"/>
    <w:uiPriority w:val="99"/>
    <w:semiHidden/>
    <w:rsid w:val="001C67A3"/>
    <w:rPr>
      <w:sz w:val="20"/>
      <w:szCs w:val="20"/>
    </w:rPr>
  </w:style>
  <w:style w:type="paragraph" w:styleId="CommentSubject">
    <w:name w:val="annotation subject"/>
    <w:basedOn w:val="CommentText"/>
    <w:next w:val="CommentText"/>
    <w:link w:val="CommentSubjectChar"/>
    <w:uiPriority w:val="99"/>
    <w:semiHidden/>
    <w:unhideWhenUsed/>
    <w:rsid w:val="001C67A3"/>
    <w:rPr>
      <w:b/>
      <w:bCs/>
    </w:rPr>
  </w:style>
  <w:style w:type="character" w:customStyle="1" w:styleId="CommentSubjectChar">
    <w:name w:val="Comment Subject Char"/>
    <w:basedOn w:val="CommentTextChar"/>
    <w:link w:val="CommentSubject"/>
    <w:uiPriority w:val="99"/>
    <w:semiHidden/>
    <w:rsid w:val="001C67A3"/>
    <w:rPr>
      <w:b/>
      <w:bCs/>
      <w:sz w:val="20"/>
      <w:szCs w:val="20"/>
    </w:rPr>
  </w:style>
  <w:style w:type="paragraph" w:styleId="NormalWeb">
    <w:name w:val="Normal (Web)"/>
    <w:basedOn w:val="Normal"/>
    <w:uiPriority w:val="99"/>
    <w:unhideWhenUsed/>
    <w:rsid w:val="0026465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C386C"/>
    <w:pPr>
      <w:spacing w:after="0" w:line="240" w:lineRule="auto"/>
    </w:pPr>
  </w:style>
  <w:style w:type="character" w:styleId="Hyperlink">
    <w:name w:val="Hyperlink"/>
    <w:basedOn w:val="DefaultParagraphFont"/>
    <w:uiPriority w:val="99"/>
    <w:unhideWhenUsed/>
    <w:rsid w:val="006653A5"/>
    <w:rPr>
      <w:color w:val="0563C1" w:themeColor="hyperlink"/>
      <w:u w:val="single"/>
    </w:rPr>
  </w:style>
  <w:style w:type="character" w:customStyle="1" w:styleId="docsum-pmid">
    <w:name w:val="docsum-pmid"/>
    <w:basedOn w:val="DefaultParagraphFont"/>
    <w:rsid w:val="00F6335C"/>
  </w:style>
  <w:style w:type="character" w:customStyle="1" w:styleId="citation-part">
    <w:name w:val="citation-part"/>
    <w:basedOn w:val="DefaultParagraphFont"/>
    <w:rsid w:val="00F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41">
      <w:bodyDiv w:val="1"/>
      <w:marLeft w:val="0"/>
      <w:marRight w:val="0"/>
      <w:marTop w:val="0"/>
      <w:marBottom w:val="0"/>
      <w:divBdr>
        <w:top w:val="none" w:sz="0" w:space="0" w:color="auto"/>
        <w:left w:val="none" w:sz="0" w:space="0" w:color="auto"/>
        <w:bottom w:val="none" w:sz="0" w:space="0" w:color="auto"/>
        <w:right w:val="none" w:sz="0" w:space="0" w:color="auto"/>
      </w:divBdr>
    </w:div>
    <w:div w:id="174468946">
      <w:bodyDiv w:val="1"/>
      <w:marLeft w:val="0"/>
      <w:marRight w:val="0"/>
      <w:marTop w:val="0"/>
      <w:marBottom w:val="0"/>
      <w:divBdr>
        <w:top w:val="none" w:sz="0" w:space="0" w:color="auto"/>
        <w:left w:val="none" w:sz="0" w:space="0" w:color="auto"/>
        <w:bottom w:val="none" w:sz="0" w:space="0" w:color="auto"/>
        <w:right w:val="none" w:sz="0" w:space="0" w:color="auto"/>
      </w:divBdr>
      <w:divsChild>
        <w:div w:id="2099130379">
          <w:marLeft w:val="547"/>
          <w:marRight w:val="0"/>
          <w:marTop w:val="0"/>
          <w:marBottom w:val="0"/>
          <w:divBdr>
            <w:top w:val="none" w:sz="0" w:space="0" w:color="auto"/>
            <w:left w:val="none" w:sz="0" w:space="0" w:color="auto"/>
            <w:bottom w:val="none" w:sz="0" w:space="0" w:color="auto"/>
            <w:right w:val="none" w:sz="0" w:space="0" w:color="auto"/>
          </w:divBdr>
        </w:div>
        <w:div w:id="642345978">
          <w:marLeft w:val="547"/>
          <w:marRight w:val="0"/>
          <w:marTop w:val="0"/>
          <w:marBottom w:val="0"/>
          <w:divBdr>
            <w:top w:val="none" w:sz="0" w:space="0" w:color="auto"/>
            <w:left w:val="none" w:sz="0" w:space="0" w:color="auto"/>
            <w:bottom w:val="none" w:sz="0" w:space="0" w:color="auto"/>
            <w:right w:val="none" w:sz="0" w:space="0" w:color="auto"/>
          </w:divBdr>
        </w:div>
      </w:divsChild>
    </w:div>
    <w:div w:id="263273342">
      <w:bodyDiv w:val="1"/>
      <w:marLeft w:val="0"/>
      <w:marRight w:val="0"/>
      <w:marTop w:val="0"/>
      <w:marBottom w:val="0"/>
      <w:divBdr>
        <w:top w:val="none" w:sz="0" w:space="0" w:color="auto"/>
        <w:left w:val="none" w:sz="0" w:space="0" w:color="auto"/>
        <w:bottom w:val="none" w:sz="0" w:space="0" w:color="auto"/>
        <w:right w:val="none" w:sz="0" w:space="0" w:color="auto"/>
      </w:divBdr>
    </w:div>
    <w:div w:id="345986204">
      <w:bodyDiv w:val="1"/>
      <w:marLeft w:val="0"/>
      <w:marRight w:val="0"/>
      <w:marTop w:val="0"/>
      <w:marBottom w:val="0"/>
      <w:divBdr>
        <w:top w:val="none" w:sz="0" w:space="0" w:color="auto"/>
        <w:left w:val="none" w:sz="0" w:space="0" w:color="auto"/>
        <w:bottom w:val="none" w:sz="0" w:space="0" w:color="auto"/>
        <w:right w:val="none" w:sz="0" w:space="0" w:color="auto"/>
      </w:divBdr>
    </w:div>
    <w:div w:id="360060492">
      <w:bodyDiv w:val="1"/>
      <w:marLeft w:val="0"/>
      <w:marRight w:val="0"/>
      <w:marTop w:val="0"/>
      <w:marBottom w:val="0"/>
      <w:divBdr>
        <w:top w:val="none" w:sz="0" w:space="0" w:color="auto"/>
        <w:left w:val="none" w:sz="0" w:space="0" w:color="auto"/>
        <w:bottom w:val="none" w:sz="0" w:space="0" w:color="auto"/>
        <w:right w:val="none" w:sz="0" w:space="0" w:color="auto"/>
      </w:divBdr>
      <w:divsChild>
        <w:div w:id="2040929004">
          <w:marLeft w:val="360"/>
          <w:marRight w:val="0"/>
          <w:marTop w:val="200"/>
          <w:marBottom w:val="0"/>
          <w:divBdr>
            <w:top w:val="none" w:sz="0" w:space="0" w:color="auto"/>
            <w:left w:val="none" w:sz="0" w:space="0" w:color="auto"/>
            <w:bottom w:val="none" w:sz="0" w:space="0" w:color="auto"/>
            <w:right w:val="none" w:sz="0" w:space="0" w:color="auto"/>
          </w:divBdr>
        </w:div>
        <w:div w:id="1104423698">
          <w:marLeft w:val="360"/>
          <w:marRight w:val="0"/>
          <w:marTop w:val="200"/>
          <w:marBottom w:val="0"/>
          <w:divBdr>
            <w:top w:val="none" w:sz="0" w:space="0" w:color="auto"/>
            <w:left w:val="none" w:sz="0" w:space="0" w:color="auto"/>
            <w:bottom w:val="none" w:sz="0" w:space="0" w:color="auto"/>
            <w:right w:val="none" w:sz="0" w:space="0" w:color="auto"/>
          </w:divBdr>
        </w:div>
        <w:div w:id="2024939999">
          <w:marLeft w:val="360"/>
          <w:marRight w:val="0"/>
          <w:marTop w:val="200"/>
          <w:marBottom w:val="0"/>
          <w:divBdr>
            <w:top w:val="none" w:sz="0" w:space="0" w:color="auto"/>
            <w:left w:val="none" w:sz="0" w:space="0" w:color="auto"/>
            <w:bottom w:val="none" w:sz="0" w:space="0" w:color="auto"/>
            <w:right w:val="none" w:sz="0" w:space="0" w:color="auto"/>
          </w:divBdr>
        </w:div>
        <w:div w:id="499659267">
          <w:marLeft w:val="360"/>
          <w:marRight w:val="0"/>
          <w:marTop w:val="200"/>
          <w:marBottom w:val="0"/>
          <w:divBdr>
            <w:top w:val="none" w:sz="0" w:space="0" w:color="auto"/>
            <w:left w:val="none" w:sz="0" w:space="0" w:color="auto"/>
            <w:bottom w:val="none" w:sz="0" w:space="0" w:color="auto"/>
            <w:right w:val="none" w:sz="0" w:space="0" w:color="auto"/>
          </w:divBdr>
        </w:div>
        <w:div w:id="1543857206">
          <w:marLeft w:val="360"/>
          <w:marRight w:val="0"/>
          <w:marTop w:val="200"/>
          <w:marBottom w:val="0"/>
          <w:divBdr>
            <w:top w:val="none" w:sz="0" w:space="0" w:color="auto"/>
            <w:left w:val="none" w:sz="0" w:space="0" w:color="auto"/>
            <w:bottom w:val="none" w:sz="0" w:space="0" w:color="auto"/>
            <w:right w:val="none" w:sz="0" w:space="0" w:color="auto"/>
          </w:divBdr>
        </w:div>
        <w:div w:id="1386954513">
          <w:marLeft w:val="360"/>
          <w:marRight w:val="0"/>
          <w:marTop w:val="200"/>
          <w:marBottom w:val="0"/>
          <w:divBdr>
            <w:top w:val="none" w:sz="0" w:space="0" w:color="auto"/>
            <w:left w:val="none" w:sz="0" w:space="0" w:color="auto"/>
            <w:bottom w:val="none" w:sz="0" w:space="0" w:color="auto"/>
            <w:right w:val="none" w:sz="0" w:space="0" w:color="auto"/>
          </w:divBdr>
        </w:div>
      </w:divsChild>
    </w:div>
    <w:div w:id="374161046">
      <w:bodyDiv w:val="1"/>
      <w:marLeft w:val="0"/>
      <w:marRight w:val="0"/>
      <w:marTop w:val="0"/>
      <w:marBottom w:val="0"/>
      <w:divBdr>
        <w:top w:val="none" w:sz="0" w:space="0" w:color="auto"/>
        <w:left w:val="none" w:sz="0" w:space="0" w:color="auto"/>
        <w:bottom w:val="none" w:sz="0" w:space="0" w:color="auto"/>
        <w:right w:val="none" w:sz="0" w:space="0" w:color="auto"/>
      </w:divBdr>
    </w:div>
    <w:div w:id="384990626">
      <w:bodyDiv w:val="1"/>
      <w:marLeft w:val="0"/>
      <w:marRight w:val="0"/>
      <w:marTop w:val="0"/>
      <w:marBottom w:val="0"/>
      <w:divBdr>
        <w:top w:val="none" w:sz="0" w:space="0" w:color="auto"/>
        <w:left w:val="none" w:sz="0" w:space="0" w:color="auto"/>
        <w:bottom w:val="none" w:sz="0" w:space="0" w:color="auto"/>
        <w:right w:val="none" w:sz="0" w:space="0" w:color="auto"/>
      </w:divBdr>
    </w:div>
    <w:div w:id="578103515">
      <w:bodyDiv w:val="1"/>
      <w:marLeft w:val="0"/>
      <w:marRight w:val="0"/>
      <w:marTop w:val="0"/>
      <w:marBottom w:val="0"/>
      <w:divBdr>
        <w:top w:val="none" w:sz="0" w:space="0" w:color="auto"/>
        <w:left w:val="none" w:sz="0" w:space="0" w:color="auto"/>
        <w:bottom w:val="none" w:sz="0" w:space="0" w:color="auto"/>
        <w:right w:val="none" w:sz="0" w:space="0" w:color="auto"/>
      </w:divBdr>
    </w:div>
    <w:div w:id="627079871">
      <w:bodyDiv w:val="1"/>
      <w:marLeft w:val="0"/>
      <w:marRight w:val="0"/>
      <w:marTop w:val="0"/>
      <w:marBottom w:val="0"/>
      <w:divBdr>
        <w:top w:val="none" w:sz="0" w:space="0" w:color="auto"/>
        <w:left w:val="none" w:sz="0" w:space="0" w:color="auto"/>
        <w:bottom w:val="none" w:sz="0" w:space="0" w:color="auto"/>
        <w:right w:val="none" w:sz="0" w:space="0" w:color="auto"/>
      </w:divBdr>
    </w:div>
    <w:div w:id="689336211">
      <w:bodyDiv w:val="1"/>
      <w:marLeft w:val="0"/>
      <w:marRight w:val="0"/>
      <w:marTop w:val="0"/>
      <w:marBottom w:val="0"/>
      <w:divBdr>
        <w:top w:val="none" w:sz="0" w:space="0" w:color="auto"/>
        <w:left w:val="none" w:sz="0" w:space="0" w:color="auto"/>
        <w:bottom w:val="none" w:sz="0" w:space="0" w:color="auto"/>
        <w:right w:val="none" w:sz="0" w:space="0" w:color="auto"/>
      </w:divBdr>
    </w:div>
    <w:div w:id="736049150">
      <w:bodyDiv w:val="1"/>
      <w:marLeft w:val="0"/>
      <w:marRight w:val="0"/>
      <w:marTop w:val="0"/>
      <w:marBottom w:val="0"/>
      <w:divBdr>
        <w:top w:val="none" w:sz="0" w:space="0" w:color="auto"/>
        <w:left w:val="none" w:sz="0" w:space="0" w:color="auto"/>
        <w:bottom w:val="none" w:sz="0" w:space="0" w:color="auto"/>
        <w:right w:val="none" w:sz="0" w:space="0" w:color="auto"/>
      </w:divBdr>
    </w:div>
    <w:div w:id="757409404">
      <w:bodyDiv w:val="1"/>
      <w:marLeft w:val="0"/>
      <w:marRight w:val="0"/>
      <w:marTop w:val="0"/>
      <w:marBottom w:val="0"/>
      <w:divBdr>
        <w:top w:val="none" w:sz="0" w:space="0" w:color="auto"/>
        <w:left w:val="none" w:sz="0" w:space="0" w:color="auto"/>
        <w:bottom w:val="none" w:sz="0" w:space="0" w:color="auto"/>
        <w:right w:val="none" w:sz="0" w:space="0" w:color="auto"/>
      </w:divBdr>
    </w:div>
    <w:div w:id="1144465034">
      <w:bodyDiv w:val="1"/>
      <w:marLeft w:val="0"/>
      <w:marRight w:val="0"/>
      <w:marTop w:val="0"/>
      <w:marBottom w:val="0"/>
      <w:divBdr>
        <w:top w:val="none" w:sz="0" w:space="0" w:color="auto"/>
        <w:left w:val="none" w:sz="0" w:space="0" w:color="auto"/>
        <w:bottom w:val="none" w:sz="0" w:space="0" w:color="auto"/>
        <w:right w:val="none" w:sz="0" w:space="0" w:color="auto"/>
      </w:divBdr>
    </w:div>
    <w:div w:id="1154949510">
      <w:bodyDiv w:val="1"/>
      <w:marLeft w:val="0"/>
      <w:marRight w:val="0"/>
      <w:marTop w:val="0"/>
      <w:marBottom w:val="0"/>
      <w:divBdr>
        <w:top w:val="none" w:sz="0" w:space="0" w:color="auto"/>
        <w:left w:val="none" w:sz="0" w:space="0" w:color="auto"/>
        <w:bottom w:val="none" w:sz="0" w:space="0" w:color="auto"/>
        <w:right w:val="none" w:sz="0" w:space="0" w:color="auto"/>
      </w:divBdr>
    </w:div>
    <w:div w:id="1226792220">
      <w:bodyDiv w:val="1"/>
      <w:marLeft w:val="0"/>
      <w:marRight w:val="0"/>
      <w:marTop w:val="0"/>
      <w:marBottom w:val="0"/>
      <w:divBdr>
        <w:top w:val="none" w:sz="0" w:space="0" w:color="auto"/>
        <w:left w:val="none" w:sz="0" w:space="0" w:color="auto"/>
        <w:bottom w:val="none" w:sz="0" w:space="0" w:color="auto"/>
        <w:right w:val="none" w:sz="0" w:space="0" w:color="auto"/>
      </w:divBdr>
    </w:div>
    <w:div w:id="1240483800">
      <w:bodyDiv w:val="1"/>
      <w:marLeft w:val="0"/>
      <w:marRight w:val="0"/>
      <w:marTop w:val="0"/>
      <w:marBottom w:val="0"/>
      <w:divBdr>
        <w:top w:val="none" w:sz="0" w:space="0" w:color="auto"/>
        <w:left w:val="none" w:sz="0" w:space="0" w:color="auto"/>
        <w:bottom w:val="none" w:sz="0" w:space="0" w:color="auto"/>
        <w:right w:val="none" w:sz="0" w:space="0" w:color="auto"/>
      </w:divBdr>
    </w:div>
    <w:div w:id="1332021406">
      <w:bodyDiv w:val="1"/>
      <w:marLeft w:val="0"/>
      <w:marRight w:val="0"/>
      <w:marTop w:val="0"/>
      <w:marBottom w:val="0"/>
      <w:divBdr>
        <w:top w:val="none" w:sz="0" w:space="0" w:color="auto"/>
        <w:left w:val="none" w:sz="0" w:space="0" w:color="auto"/>
        <w:bottom w:val="none" w:sz="0" w:space="0" w:color="auto"/>
        <w:right w:val="none" w:sz="0" w:space="0" w:color="auto"/>
      </w:divBdr>
    </w:div>
    <w:div w:id="1338385803">
      <w:bodyDiv w:val="1"/>
      <w:marLeft w:val="0"/>
      <w:marRight w:val="0"/>
      <w:marTop w:val="0"/>
      <w:marBottom w:val="0"/>
      <w:divBdr>
        <w:top w:val="none" w:sz="0" w:space="0" w:color="auto"/>
        <w:left w:val="none" w:sz="0" w:space="0" w:color="auto"/>
        <w:bottom w:val="none" w:sz="0" w:space="0" w:color="auto"/>
        <w:right w:val="none" w:sz="0" w:space="0" w:color="auto"/>
      </w:divBdr>
    </w:div>
    <w:div w:id="1350568582">
      <w:bodyDiv w:val="1"/>
      <w:marLeft w:val="0"/>
      <w:marRight w:val="0"/>
      <w:marTop w:val="0"/>
      <w:marBottom w:val="0"/>
      <w:divBdr>
        <w:top w:val="none" w:sz="0" w:space="0" w:color="auto"/>
        <w:left w:val="none" w:sz="0" w:space="0" w:color="auto"/>
        <w:bottom w:val="none" w:sz="0" w:space="0" w:color="auto"/>
        <w:right w:val="none" w:sz="0" w:space="0" w:color="auto"/>
      </w:divBdr>
    </w:div>
    <w:div w:id="1363244425">
      <w:bodyDiv w:val="1"/>
      <w:marLeft w:val="0"/>
      <w:marRight w:val="0"/>
      <w:marTop w:val="0"/>
      <w:marBottom w:val="0"/>
      <w:divBdr>
        <w:top w:val="none" w:sz="0" w:space="0" w:color="auto"/>
        <w:left w:val="none" w:sz="0" w:space="0" w:color="auto"/>
        <w:bottom w:val="none" w:sz="0" w:space="0" w:color="auto"/>
        <w:right w:val="none" w:sz="0" w:space="0" w:color="auto"/>
      </w:divBdr>
    </w:div>
    <w:div w:id="1367945707">
      <w:bodyDiv w:val="1"/>
      <w:marLeft w:val="0"/>
      <w:marRight w:val="0"/>
      <w:marTop w:val="0"/>
      <w:marBottom w:val="0"/>
      <w:divBdr>
        <w:top w:val="none" w:sz="0" w:space="0" w:color="auto"/>
        <w:left w:val="none" w:sz="0" w:space="0" w:color="auto"/>
        <w:bottom w:val="none" w:sz="0" w:space="0" w:color="auto"/>
        <w:right w:val="none" w:sz="0" w:space="0" w:color="auto"/>
      </w:divBdr>
    </w:div>
    <w:div w:id="1440832427">
      <w:bodyDiv w:val="1"/>
      <w:marLeft w:val="0"/>
      <w:marRight w:val="0"/>
      <w:marTop w:val="0"/>
      <w:marBottom w:val="0"/>
      <w:divBdr>
        <w:top w:val="none" w:sz="0" w:space="0" w:color="auto"/>
        <w:left w:val="none" w:sz="0" w:space="0" w:color="auto"/>
        <w:bottom w:val="none" w:sz="0" w:space="0" w:color="auto"/>
        <w:right w:val="none" w:sz="0" w:space="0" w:color="auto"/>
      </w:divBdr>
    </w:div>
    <w:div w:id="1504007770">
      <w:bodyDiv w:val="1"/>
      <w:marLeft w:val="0"/>
      <w:marRight w:val="0"/>
      <w:marTop w:val="0"/>
      <w:marBottom w:val="0"/>
      <w:divBdr>
        <w:top w:val="none" w:sz="0" w:space="0" w:color="auto"/>
        <w:left w:val="none" w:sz="0" w:space="0" w:color="auto"/>
        <w:bottom w:val="none" w:sz="0" w:space="0" w:color="auto"/>
        <w:right w:val="none" w:sz="0" w:space="0" w:color="auto"/>
      </w:divBdr>
    </w:div>
    <w:div w:id="1605962636">
      <w:bodyDiv w:val="1"/>
      <w:marLeft w:val="0"/>
      <w:marRight w:val="0"/>
      <w:marTop w:val="0"/>
      <w:marBottom w:val="0"/>
      <w:divBdr>
        <w:top w:val="none" w:sz="0" w:space="0" w:color="auto"/>
        <w:left w:val="none" w:sz="0" w:space="0" w:color="auto"/>
        <w:bottom w:val="none" w:sz="0" w:space="0" w:color="auto"/>
        <w:right w:val="none" w:sz="0" w:space="0" w:color="auto"/>
      </w:divBdr>
    </w:div>
    <w:div w:id="1719084491">
      <w:bodyDiv w:val="1"/>
      <w:marLeft w:val="0"/>
      <w:marRight w:val="0"/>
      <w:marTop w:val="0"/>
      <w:marBottom w:val="0"/>
      <w:divBdr>
        <w:top w:val="none" w:sz="0" w:space="0" w:color="auto"/>
        <w:left w:val="none" w:sz="0" w:space="0" w:color="auto"/>
        <w:bottom w:val="none" w:sz="0" w:space="0" w:color="auto"/>
        <w:right w:val="none" w:sz="0" w:space="0" w:color="auto"/>
      </w:divBdr>
    </w:div>
    <w:div w:id="1834568980">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bz@ldeo.columbi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F4CE-C3D2-4C42-8F8B-30A82C3C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Khue Nguyen Bostick</cp:lastModifiedBy>
  <cp:revision>58</cp:revision>
  <cp:lastPrinted>2022-10-06T15:51:00Z</cp:lastPrinted>
  <dcterms:created xsi:type="dcterms:W3CDTF">2022-10-12T15:44:00Z</dcterms:created>
  <dcterms:modified xsi:type="dcterms:W3CDTF">2022-11-30T02:53:00Z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zotero-version="6.0.14"&gt;&lt;session id="i6OJwgZQ"/&gt;&lt;style id="http://www.zotero.org/styles/journal-of-chromatography-b" hasBibliography="1" bibliographyStyleHasBeenSet="1"/&gt;&lt;prefs&gt;&lt;pref name="fieldType" value="Field"/&gt;&lt;pref name="autom</vt:lpwstr>
  </property>
  <property fmtid="{D5CDD505-2E9C-101B-9397-08002B2CF9AE}" pid="3" name="ZOTERO_PREF_2">
    <vt:lpwstr>aticJournalAbbreviations" value="true"/&gt;&lt;/prefs&gt;&lt;/data&gt;</vt:lpwstr>
  </property>
  <property fmtid="{D5CDD505-2E9C-101B-9397-08002B2CF9AE}" pid="4" name="GrammarlyDocumentId">
    <vt:lpwstr>ee8a576c2ef1b345717d3056b7627bc71bb28abcc10e6f6f21013a5e03751db6</vt:lpwstr>
  </property>
</Properties>
</file>