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0FA5" w14:textId="77777777" w:rsidR="00DC57CC" w:rsidRDefault="00F34FF2" w:rsidP="00F34FF2">
      <w:pPr>
        <w:jc w:val="center"/>
        <w:rPr>
          <w:rFonts w:ascii="Arial" w:hAnsi="Arial" w:cs="Arial"/>
          <w:b/>
        </w:rPr>
      </w:pPr>
      <w:r w:rsidRPr="00F34FF2">
        <w:rPr>
          <w:rFonts w:ascii="Arial" w:hAnsi="Arial" w:cs="Arial"/>
          <w:b/>
        </w:rPr>
        <w:t>Supplementary Appendix</w:t>
      </w:r>
    </w:p>
    <w:p w14:paraId="03670F8D" w14:textId="77777777" w:rsidR="00F34FF2" w:rsidRDefault="00F34FF2" w:rsidP="00F34FF2">
      <w:pPr>
        <w:jc w:val="center"/>
        <w:rPr>
          <w:rFonts w:ascii="Arial" w:hAnsi="Arial" w:cs="Arial"/>
          <w:b/>
        </w:rPr>
      </w:pPr>
    </w:p>
    <w:p w14:paraId="23CC4933" w14:textId="77777777" w:rsidR="00F34FF2" w:rsidRDefault="00F34FF2" w:rsidP="00F34FF2">
      <w:pPr>
        <w:rPr>
          <w:rFonts w:ascii="Arial" w:hAnsi="Arial" w:cs="Arial"/>
        </w:rPr>
      </w:pPr>
      <w:r>
        <w:rPr>
          <w:rFonts w:ascii="Arial" w:hAnsi="Arial" w:cs="Arial"/>
        </w:rPr>
        <w:t>Table 1 illustrates study design with study vaccine, biological specimen collection and sample size</w:t>
      </w:r>
    </w:p>
    <w:p w14:paraId="6F20ED1C" w14:textId="77777777" w:rsidR="00A3428B" w:rsidRDefault="00A3428B" w:rsidP="00F34FF2">
      <w:pPr>
        <w:rPr>
          <w:rFonts w:ascii="Arial" w:hAnsi="Arial" w:cs="Arial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742"/>
        <w:gridCol w:w="1400"/>
        <w:gridCol w:w="1220"/>
        <w:gridCol w:w="1243"/>
        <w:gridCol w:w="1217"/>
        <w:gridCol w:w="1213"/>
        <w:gridCol w:w="1267"/>
        <w:gridCol w:w="1221"/>
        <w:gridCol w:w="999"/>
        <w:gridCol w:w="1378"/>
      </w:tblGrid>
      <w:tr w:rsidR="00DF4929" w:rsidRPr="00DF4929" w14:paraId="29F1CC05" w14:textId="77777777" w:rsidTr="00DF4929">
        <w:trPr>
          <w:trHeight w:val="555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53B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Arm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BE3A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Age of participant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9016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Sample size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6DBD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Enrollment target*</w:t>
            </w:r>
          </w:p>
        </w:tc>
      </w:tr>
      <w:tr w:rsidR="00DF4929" w:rsidRPr="00DF4929" w14:paraId="368591AF" w14:textId="77777777" w:rsidTr="00DF4929">
        <w:trPr>
          <w:trHeight w:val="765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A5EC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1ADD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6 weeks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58BD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10 weeks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3D4D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14 weeks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8985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15 weeks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5EED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18 weeks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7900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19 weeks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6B2BE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F047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F4929" w:rsidRPr="00DF4929" w14:paraId="6C4B504E" w14:textId="77777777" w:rsidTr="00DF4929">
        <w:trPr>
          <w:trHeight w:val="825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1C3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31DA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5422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7151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2FE1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A388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553F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B3E9B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DAFBA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F4929" w:rsidRPr="00DF4929" w14:paraId="23FD36FA" w14:textId="77777777" w:rsidTr="00DF4929">
        <w:trPr>
          <w:trHeight w:val="40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A318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92C7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tOPV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CBEF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tOPV</w:t>
            </w:r>
            <w:r w:rsidRPr="00DF4929">
              <w:rPr>
                <w:rFonts w:ascii="Arial" w:eastAsia="Times New Roman" w:hAnsi="Arial" w:cs="Arial"/>
                <w:color w:val="FF0000"/>
              </w:rPr>
              <w:t xml:space="preserve"> 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8264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 xml:space="preserve">tOPV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05C1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tOPV</w:t>
            </w:r>
            <w:r w:rsidRPr="00DF4929">
              <w:rPr>
                <w:rFonts w:ascii="Arial" w:eastAsia="Times New Roman" w:hAnsi="Arial" w:cs="Arial"/>
                <w:color w:val="FF0000"/>
              </w:rPr>
              <w:t xml:space="preserve"> 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8545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7ED5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tOPV</w:t>
            </w:r>
            <w:r w:rsidRPr="00DF4929">
              <w:rPr>
                <w:rFonts w:ascii="Arial" w:eastAsia="Times New Roman" w:hAnsi="Arial" w:cs="Arial"/>
                <w:color w:val="FF0000"/>
              </w:rPr>
              <w:t xml:space="preserve"> 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9841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DD5"/>
              </w:rPr>
            </w:pPr>
            <w:r w:rsidRPr="00DF4929">
              <w:rPr>
                <w:rFonts w:ascii="Arial" w:eastAsia="Times New Roman" w:hAnsi="Arial" w:cs="Arial"/>
                <w:color w:val="538DD5"/>
              </w:rPr>
              <w:t>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DE84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207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2CD1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260</w:t>
            </w:r>
          </w:p>
        </w:tc>
      </w:tr>
      <w:tr w:rsidR="00DF4929" w:rsidRPr="00DF4929" w14:paraId="5792C715" w14:textId="77777777" w:rsidTr="00DF4929">
        <w:trPr>
          <w:trHeight w:val="40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E19F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7191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F4929">
              <w:rPr>
                <w:rFonts w:ascii="Arial" w:eastAsia="Times New Roman" w:hAnsi="Arial" w:cs="Arial"/>
                <w:color w:val="000000"/>
              </w:rPr>
              <w:t>bOPV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BB97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F4929">
              <w:rPr>
                <w:rFonts w:ascii="Arial" w:eastAsia="Times New Roman" w:hAnsi="Arial" w:cs="Arial"/>
              </w:rPr>
              <w:t>bOPV</w:t>
            </w:r>
            <w:proofErr w:type="spellEnd"/>
            <w:r w:rsidRPr="00DF4929">
              <w:rPr>
                <w:rFonts w:ascii="Arial" w:eastAsia="Times New Roman" w:hAnsi="Arial" w:cs="Arial"/>
                <w:color w:val="FF0000"/>
              </w:rPr>
              <w:t xml:space="preserve"> 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69B1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F4929">
              <w:rPr>
                <w:rFonts w:ascii="Arial" w:eastAsia="Times New Roman" w:hAnsi="Arial" w:cs="Arial"/>
              </w:rPr>
              <w:t>bOPV</w:t>
            </w:r>
            <w:proofErr w:type="spellEnd"/>
            <w:r w:rsidRPr="00DF492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A356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F4929">
              <w:rPr>
                <w:rFonts w:ascii="Arial" w:eastAsia="Times New Roman" w:hAnsi="Arial" w:cs="Arial"/>
              </w:rPr>
              <w:t>bOPV</w:t>
            </w:r>
            <w:proofErr w:type="spellEnd"/>
            <w:r w:rsidRPr="00DF4929">
              <w:rPr>
                <w:rFonts w:ascii="Arial" w:eastAsia="Times New Roman" w:hAnsi="Arial" w:cs="Arial"/>
                <w:color w:val="FF0000"/>
              </w:rPr>
              <w:t xml:space="preserve"> 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F3A2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5C14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tOPV</w:t>
            </w:r>
            <w:r w:rsidRPr="00DF4929">
              <w:rPr>
                <w:rFonts w:ascii="Arial" w:eastAsia="Times New Roman" w:hAnsi="Arial" w:cs="Arial"/>
                <w:color w:val="FF0000"/>
              </w:rPr>
              <w:t xml:space="preserve"> 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3705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DD5"/>
              </w:rPr>
            </w:pPr>
            <w:r w:rsidRPr="00DF4929">
              <w:rPr>
                <w:rFonts w:ascii="Arial" w:eastAsia="Times New Roman" w:hAnsi="Arial" w:cs="Arial"/>
                <w:color w:val="538DD5"/>
              </w:rPr>
              <w:t>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6CA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207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FAA1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260</w:t>
            </w:r>
          </w:p>
        </w:tc>
      </w:tr>
      <w:tr w:rsidR="00DF4929" w:rsidRPr="00DF4929" w14:paraId="7AC8A593" w14:textId="77777777" w:rsidTr="00DF4929">
        <w:trPr>
          <w:trHeight w:val="40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4D3E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0A7A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IPV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EB0C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 xml:space="preserve">IPV </w:t>
            </w:r>
            <w:r w:rsidRPr="00DF4929">
              <w:rPr>
                <w:rFonts w:ascii="Arial" w:eastAsia="Times New Roman" w:hAnsi="Arial" w:cs="Arial"/>
                <w:color w:val="FF0000"/>
              </w:rPr>
              <w:t>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0772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8352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 xml:space="preserve">IPV </w:t>
            </w:r>
            <w:r w:rsidRPr="00DF4929">
              <w:rPr>
                <w:rFonts w:ascii="Arial" w:eastAsia="Times New Roman" w:hAnsi="Arial" w:cs="Arial"/>
                <w:color w:val="FF0000"/>
              </w:rPr>
              <w:t>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B1A2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DF4929">
              <w:rPr>
                <w:rFonts w:ascii="Arial" w:eastAsia="Times New Roman" w:hAnsi="Arial" w:cs="Arial"/>
                <w:color w:val="FF0000"/>
              </w:rPr>
              <w:t>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3AD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tOPV</w:t>
            </w:r>
            <w:r w:rsidRPr="00DF4929">
              <w:rPr>
                <w:rFonts w:ascii="Arial" w:eastAsia="Times New Roman" w:hAnsi="Arial" w:cs="Arial"/>
                <w:color w:val="FF0000"/>
              </w:rPr>
              <w:t xml:space="preserve"> 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4F8D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DD5"/>
              </w:rPr>
            </w:pPr>
            <w:r w:rsidRPr="00DF4929">
              <w:rPr>
                <w:rFonts w:ascii="Arial" w:eastAsia="Times New Roman" w:hAnsi="Arial" w:cs="Arial"/>
                <w:color w:val="538DD5"/>
              </w:rPr>
              <w:t>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D03C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155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3284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195</w:t>
            </w:r>
          </w:p>
        </w:tc>
      </w:tr>
      <w:tr w:rsidR="00DF4929" w:rsidRPr="00DF4929" w14:paraId="44FF0EAE" w14:textId="77777777" w:rsidTr="00DF4929">
        <w:trPr>
          <w:trHeight w:val="40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FE5F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7A06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f-IPV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073C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 xml:space="preserve">f-IPV </w:t>
            </w:r>
            <w:r w:rsidRPr="00DF4929">
              <w:rPr>
                <w:rFonts w:ascii="Arial" w:eastAsia="Times New Roman" w:hAnsi="Arial" w:cs="Arial"/>
                <w:color w:val="FF0000"/>
              </w:rPr>
              <w:t>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2E1C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D38B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 xml:space="preserve">f-IPV </w:t>
            </w:r>
            <w:r w:rsidRPr="00DF4929">
              <w:rPr>
                <w:rFonts w:ascii="Arial" w:eastAsia="Times New Roman" w:hAnsi="Arial" w:cs="Arial"/>
                <w:color w:val="FF0000"/>
              </w:rPr>
              <w:t>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6080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DF4929">
              <w:rPr>
                <w:rFonts w:ascii="Arial" w:eastAsia="Times New Roman" w:hAnsi="Arial" w:cs="Arial"/>
                <w:color w:val="FF0000"/>
              </w:rPr>
              <w:t>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E2A5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tOPV</w:t>
            </w:r>
            <w:r w:rsidRPr="00DF4929">
              <w:rPr>
                <w:rFonts w:ascii="Arial" w:eastAsia="Times New Roman" w:hAnsi="Arial" w:cs="Arial"/>
                <w:color w:val="FF0000"/>
              </w:rPr>
              <w:t xml:space="preserve"> 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AD1B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DD5"/>
              </w:rPr>
            </w:pPr>
            <w:r w:rsidRPr="00DF4929">
              <w:rPr>
                <w:rFonts w:ascii="Arial" w:eastAsia="Times New Roman" w:hAnsi="Arial" w:cs="Arial"/>
                <w:color w:val="538DD5"/>
              </w:rPr>
              <w:t>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C47E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155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EDE4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195</w:t>
            </w:r>
          </w:p>
        </w:tc>
      </w:tr>
      <w:tr w:rsidR="00DF4929" w:rsidRPr="00DF4929" w14:paraId="3C4C1C80" w14:textId="77777777" w:rsidTr="00DF4929">
        <w:trPr>
          <w:trHeight w:val="40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14A9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D01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F4929">
              <w:rPr>
                <w:rFonts w:ascii="Arial" w:eastAsia="Times New Roman" w:hAnsi="Arial" w:cs="Arial"/>
                <w:color w:val="000000"/>
              </w:rPr>
              <w:t>bOPV</w:t>
            </w:r>
            <w:proofErr w:type="spellEnd"/>
            <w:r w:rsidRPr="00DF4929">
              <w:rPr>
                <w:rFonts w:ascii="Arial" w:eastAsia="Times New Roman" w:hAnsi="Arial" w:cs="Arial"/>
                <w:color w:val="000000"/>
              </w:rPr>
              <w:t>/f-IPV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BF63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f-IPV</w:t>
            </w:r>
            <w:r w:rsidRPr="00DF4929">
              <w:rPr>
                <w:rFonts w:ascii="Arial" w:eastAsia="Times New Roman" w:hAnsi="Arial" w:cs="Arial"/>
                <w:color w:val="FF0000"/>
              </w:rPr>
              <w:t xml:space="preserve"> 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1280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F4929">
              <w:rPr>
                <w:rFonts w:ascii="Arial" w:eastAsia="Times New Roman" w:hAnsi="Arial" w:cs="Arial"/>
              </w:rPr>
              <w:t>bOPV</w:t>
            </w:r>
            <w:proofErr w:type="spellEnd"/>
            <w:r w:rsidRPr="00DF492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BB07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f-IPV</w:t>
            </w:r>
            <w:r w:rsidRPr="00DF4929">
              <w:rPr>
                <w:rFonts w:ascii="Arial" w:eastAsia="Times New Roman" w:hAnsi="Arial" w:cs="Arial"/>
                <w:color w:val="FF0000"/>
              </w:rPr>
              <w:t xml:space="preserve"> 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BF34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088E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tOPV</w:t>
            </w:r>
            <w:r w:rsidRPr="00DF4929">
              <w:rPr>
                <w:rFonts w:ascii="Arial" w:eastAsia="Times New Roman" w:hAnsi="Arial" w:cs="Arial"/>
                <w:color w:val="FF0000"/>
              </w:rPr>
              <w:t xml:space="preserve"> 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012E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DD5"/>
              </w:rPr>
            </w:pPr>
            <w:r w:rsidRPr="00DF4929">
              <w:rPr>
                <w:rFonts w:ascii="Arial" w:eastAsia="Times New Roman" w:hAnsi="Arial" w:cs="Arial"/>
                <w:color w:val="538DD5"/>
              </w:rPr>
              <w:t>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3A7E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207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EC7C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260</w:t>
            </w:r>
          </w:p>
        </w:tc>
      </w:tr>
      <w:tr w:rsidR="00DF4929" w:rsidRPr="00DF4929" w14:paraId="38A6B23F" w14:textId="77777777" w:rsidTr="00DF4929">
        <w:trPr>
          <w:trHeight w:val="40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30F7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4929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6519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431B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202D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2F1F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8AC2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0DCA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F492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EC01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B23E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931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99C3" w14:textId="77777777" w:rsidR="00DF4929" w:rsidRPr="00DF4929" w:rsidRDefault="00DF4929" w:rsidP="00DF4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929">
              <w:rPr>
                <w:rFonts w:ascii="Arial" w:eastAsia="Times New Roman" w:hAnsi="Arial" w:cs="Arial"/>
                <w:color w:val="000000"/>
              </w:rPr>
              <w:t>1170</w:t>
            </w:r>
          </w:p>
        </w:tc>
      </w:tr>
      <w:tr w:rsidR="00DF4929" w:rsidRPr="00DF4929" w14:paraId="19CBC94A" w14:textId="77777777" w:rsidTr="00DF4929">
        <w:trPr>
          <w:trHeight w:val="885"/>
        </w:trPr>
        <w:tc>
          <w:tcPr>
            <w:tcW w:w="119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0E91C" w14:textId="77777777" w:rsidR="00DF4929" w:rsidRPr="00DF4929" w:rsidRDefault="00DF4929" w:rsidP="00DF4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492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●</w:t>
            </w:r>
            <w:r w:rsidRPr="00DF4929">
              <w:rPr>
                <w:rFonts w:ascii="Arial" w:eastAsia="Times New Roman" w:hAnsi="Arial" w:cs="Arial"/>
                <w:sz w:val="20"/>
                <w:szCs w:val="20"/>
              </w:rPr>
              <w:t xml:space="preserve"> Indicates blood collection</w:t>
            </w:r>
            <w:r w:rsidRPr="00DF492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F4929">
              <w:rPr>
                <w:rFonts w:ascii="Arial" w:eastAsia="Times New Roman" w:hAnsi="Arial" w:cs="Arial"/>
                <w:color w:val="95B3D7"/>
                <w:sz w:val="20"/>
                <w:szCs w:val="20"/>
              </w:rPr>
              <w:t>▲</w:t>
            </w:r>
            <w:r w:rsidRPr="00DF4929">
              <w:rPr>
                <w:rFonts w:ascii="Arial" w:eastAsia="Times New Roman" w:hAnsi="Arial" w:cs="Arial"/>
                <w:sz w:val="20"/>
                <w:szCs w:val="20"/>
              </w:rPr>
              <w:t xml:space="preserve"> Indicates stool collection</w:t>
            </w:r>
            <w:r w:rsidRPr="00DF4929">
              <w:rPr>
                <w:rFonts w:ascii="Arial" w:eastAsia="Times New Roman" w:hAnsi="Arial" w:cs="Arial"/>
                <w:sz w:val="20"/>
                <w:szCs w:val="20"/>
              </w:rPr>
              <w:br/>
              <w:t>*Includes adjustment for 20% attrition and adjustments for block randomization</w:t>
            </w:r>
            <w:r w:rsidRPr="00DF492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tOPV: trivalent oral poliovirus vaccine (OPV); </w:t>
            </w:r>
            <w:proofErr w:type="spellStart"/>
            <w:r w:rsidRPr="00DF4929">
              <w:rPr>
                <w:rFonts w:ascii="Arial" w:eastAsia="Times New Roman" w:hAnsi="Arial" w:cs="Arial"/>
                <w:sz w:val="20"/>
                <w:szCs w:val="20"/>
              </w:rPr>
              <w:t>bOPV</w:t>
            </w:r>
            <w:proofErr w:type="spellEnd"/>
            <w:r w:rsidRPr="00DF4929">
              <w:rPr>
                <w:rFonts w:ascii="Arial" w:eastAsia="Times New Roman" w:hAnsi="Arial" w:cs="Arial"/>
                <w:sz w:val="20"/>
                <w:szCs w:val="20"/>
              </w:rPr>
              <w:t>: bivalent OPV; IPV: Inactivated poliovirus vaccine; f-IPV: fractional IPV</w:t>
            </w:r>
          </w:p>
        </w:tc>
      </w:tr>
    </w:tbl>
    <w:p w14:paraId="39F5E7F0" w14:textId="77777777" w:rsidR="00E17332" w:rsidRDefault="00E17332" w:rsidP="00F34FF2">
      <w:pPr>
        <w:rPr>
          <w:rFonts w:ascii="Arial" w:hAnsi="Arial" w:cs="Arial"/>
        </w:rPr>
      </w:pPr>
    </w:p>
    <w:p w14:paraId="29CFA3AD" w14:textId="77777777" w:rsidR="00F34FF2" w:rsidRDefault="007876BD" w:rsidP="00F34F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Reverse cumulative antibody titers by arm at </w:t>
      </w:r>
      <w:r w:rsidR="00673ED0">
        <w:rPr>
          <w:rFonts w:ascii="Arial" w:hAnsi="Arial" w:cs="Arial"/>
        </w:rPr>
        <w:t xml:space="preserve">ages </w:t>
      </w:r>
      <w:r>
        <w:rPr>
          <w:rFonts w:ascii="Arial" w:hAnsi="Arial" w:cs="Arial"/>
        </w:rPr>
        <w:t>6, 14, 15</w:t>
      </w:r>
      <w:r w:rsidR="00673E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18 weeks are </w:t>
      </w:r>
      <w:r w:rsidR="005D7B6C">
        <w:rPr>
          <w:rFonts w:ascii="Arial" w:hAnsi="Arial" w:cs="Arial"/>
        </w:rPr>
        <w:t xml:space="preserve">shown in Figure 1. After 2 doses of </w:t>
      </w:r>
      <w:proofErr w:type="spellStart"/>
      <w:r w:rsidR="005D7B6C">
        <w:rPr>
          <w:rFonts w:ascii="Arial" w:hAnsi="Arial" w:cs="Arial"/>
        </w:rPr>
        <w:t>tOPV</w:t>
      </w:r>
      <w:proofErr w:type="spellEnd"/>
      <w:r w:rsidR="005D7B6C">
        <w:rPr>
          <w:rFonts w:ascii="Arial" w:hAnsi="Arial" w:cs="Arial"/>
        </w:rPr>
        <w:t xml:space="preserve"> or </w:t>
      </w:r>
      <w:proofErr w:type="spellStart"/>
      <w:r w:rsidR="005D7B6C">
        <w:rPr>
          <w:rFonts w:ascii="Arial" w:hAnsi="Arial" w:cs="Arial"/>
        </w:rPr>
        <w:t>bOPV</w:t>
      </w:r>
      <w:proofErr w:type="spellEnd"/>
      <w:r w:rsidR="005D7B6C">
        <w:rPr>
          <w:rFonts w:ascii="Arial" w:hAnsi="Arial" w:cs="Arial"/>
        </w:rPr>
        <w:t xml:space="preserve">, type specific antibody titers are high and an additional dose does not lead to a substantial change in antibody titers. For IPV and f-IPV, </w:t>
      </w:r>
      <w:r w:rsidR="00673ED0">
        <w:rPr>
          <w:rFonts w:ascii="Arial" w:hAnsi="Arial" w:cs="Arial"/>
        </w:rPr>
        <w:t>1</w:t>
      </w:r>
      <w:r w:rsidR="005D7B6C">
        <w:rPr>
          <w:rFonts w:ascii="Arial" w:hAnsi="Arial" w:cs="Arial"/>
        </w:rPr>
        <w:t xml:space="preserve"> dose is not associated with a notable change in antibody titers </w:t>
      </w:r>
      <w:r w:rsidR="00673ED0">
        <w:rPr>
          <w:rFonts w:ascii="Arial" w:hAnsi="Arial" w:cs="Arial"/>
        </w:rPr>
        <w:t>but</w:t>
      </w:r>
      <w:r w:rsidR="005D7B6C">
        <w:rPr>
          <w:rFonts w:ascii="Arial" w:hAnsi="Arial" w:cs="Arial"/>
        </w:rPr>
        <w:t xml:space="preserve"> is associated with a substantial degree of priming. A second dose leads to a rapid rise in antibody titers within a week and 3 weeks later (4 weeks after second dose) a noticeable though small decline </w:t>
      </w:r>
      <w:r w:rsidR="00673ED0">
        <w:rPr>
          <w:rFonts w:ascii="Arial" w:hAnsi="Arial" w:cs="Arial"/>
        </w:rPr>
        <w:t xml:space="preserve">occurs </w:t>
      </w:r>
      <w:r w:rsidR="005D7B6C">
        <w:rPr>
          <w:rFonts w:ascii="Arial" w:hAnsi="Arial" w:cs="Arial"/>
        </w:rPr>
        <w:t xml:space="preserve">in antibody titers. </w:t>
      </w:r>
    </w:p>
    <w:p w14:paraId="1DC6F440" w14:textId="77777777" w:rsidR="00483D69" w:rsidRDefault="007876BD" w:rsidP="00F34FF2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4ECB343" wp14:editId="17A60063">
            <wp:extent cx="8686800" cy="5212080"/>
            <wp:effectExtent l="0" t="0" r="0" b="7620"/>
            <wp:docPr id="3" name="Picture 3" descr="G:\dvi5 download\My documents\GID\SEARO\Research\Sequential f-IPV-bOPV\Data\Analysis\Graph\rcum6_14_18week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vi5 download\My documents\GID\SEARO\Research\Sequential f-IPV-bOPV\Data\Analysis\Graph\rcum6_14_18week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4EAE7" w14:textId="77777777" w:rsidR="00483D69" w:rsidRPr="008F45DE" w:rsidRDefault="008F45DE" w:rsidP="00483D69">
      <w:pPr>
        <w:rPr>
          <w:rFonts w:ascii="Arial" w:hAnsi="Arial" w:cs="Arial"/>
          <w:sz w:val="20"/>
          <w:szCs w:val="20"/>
        </w:rPr>
      </w:pPr>
      <w:r w:rsidRPr="008F45DE">
        <w:rPr>
          <w:rFonts w:ascii="Arial" w:hAnsi="Arial" w:cs="Arial"/>
          <w:sz w:val="20"/>
          <w:szCs w:val="20"/>
        </w:rPr>
        <w:t xml:space="preserve">tOPV: trivalent oral poliovirus vaccine (OPV); </w:t>
      </w:r>
      <w:proofErr w:type="spellStart"/>
      <w:r w:rsidRPr="008F45DE">
        <w:rPr>
          <w:rFonts w:ascii="Arial" w:hAnsi="Arial" w:cs="Arial"/>
          <w:sz w:val="20"/>
          <w:szCs w:val="20"/>
        </w:rPr>
        <w:t>bOPV</w:t>
      </w:r>
      <w:proofErr w:type="spellEnd"/>
      <w:r w:rsidRPr="008F45DE">
        <w:rPr>
          <w:rFonts w:ascii="Arial" w:hAnsi="Arial" w:cs="Arial"/>
          <w:sz w:val="20"/>
          <w:szCs w:val="20"/>
        </w:rPr>
        <w:t>: bivalent OPV; IPV: Inactivated poliovirus vaccine; f-IPV: fractional IPV</w:t>
      </w:r>
    </w:p>
    <w:p w14:paraId="10048DD7" w14:textId="77777777" w:rsidR="00673ED0" w:rsidRPr="008F45DE" w:rsidRDefault="00673ED0" w:rsidP="00483D69">
      <w:pPr>
        <w:tabs>
          <w:tab w:val="left" w:pos="1050"/>
        </w:tabs>
        <w:rPr>
          <w:rFonts w:ascii="Arial" w:hAnsi="Arial" w:cs="Arial"/>
          <w:b/>
          <w:sz w:val="20"/>
          <w:szCs w:val="20"/>
        </w:rPr>
      </w:pPr>
    </w:p>
    <w:p w14:paraId="19C23691" w14:textId="77777777" w:rsidR="00673ED0" w:rsidRDefault="00673ED0" w:rsidP="00483D69">
      <w:pPr>
        <w:tabs>
          <w:tab w:val="left" w:pos="1050"/>
        </w:tabs>
        <w:rPr>
          <w:rFonts w:ascii="Arial" w:hAnsi="Arial" w:cs="Arial"/>
          <w:b/>
        </w:rPr>
      </w:pPr>
    </w:p>
    <w:p w14:paraId="4AB41AC3" w14:textId="77777777" w:rsidR="00426404" w:rsidRDefault="00483D69" w:rsidP="00483D69">
      <w:pPr>
        <w:tabs>
          <w:tab w:val="left" w:pos="1050"/>
        </w:tabs>
        <w:rPr>
          <w:rFonts w:ascii="Arial" w:hAnsi="Arial" w:cs="Arial"/>
        </w:rPr>
      </w:pPr>
      <w:r w:rsidRPr="00483D69">
        <w:rPr>
          <w:rFonts w:ascii="Arial" w:hAnsi="Arial" w:cs="Arial"/>
          <w:b/>
        </w:rPr>
        <w:lastRenderedPageBreak/>
        <w:t>Table 2:</w:t>
      </w:r>
      <w:r>
        <w:rPr>
          <w:rFonts w:ascii="Arial" w:hAnsi="Arial" w:cs="Arial"/>
        </w:rPr>
        <w:t xml:space="preserve"> Severity and diagnosis of adverse events reported during study follow-up</w:t>
      </w:r>
      <w:r w:rsidR="00CA0954">
        <w:rPr>
          <w:rFonts w:ascii="Arial" w:hAnsi="Arial" w:cs="Arial"/>
        </w:rPr>
        <w:t xml:space="preserve"> by study arm</w:t>
      </w:r>
    </w:p>
    <w:tbl>
      <w:tblPr>
        <w:tblW w:w="10940" w:type="dxa"/>
        <w:tblInd w:w="93" w:type="dxa"/>
        <w:tblLook w:val="04A0" w:firstRow="1" w:lastRow="0" w:firstColumn="1" w:lastColumn="0" w:noHBand="0" w:noVBand="1"/>
      </w:tblPr>
      <w:tblGrid>
        <w:gridCol w:w="3357"/>
        <w:gridCol w:w="1711"/>
        <w:gridCol w:w="981"/>
        <w:gridCol w:w="981"/>
        <w:gridCol w:w="1138"/>
        <w:gridCol w:w="1812"/>
        <w:gridCol w:w="960"/>
      </w:tblGrid>
      <w:tr w:rsidR="00426404" w:rsidRPr="00426404" w14:paraId="54D95B87" w14:textId="77777777" w:rsidTr="00426404">
        <w:trPr>
          <w:trHeight w:val="103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8C9E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Severity and Diagnosis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8B2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tOPV </w:t>
            </w: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426404">
              <w:rPr>
                <w:rFonts w:ascii="Arial" w:eastAsia="Times New Roman" w:hAnsi="Arial" w:cs="Arial"/>
                <w:color w:val="000000"/>
              </w:rPr>
              <w:t>(n=203)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07E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B</w:t>
            </w: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proofErr w:type="spellStart"/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bOPV</w:t>
            </w:r>
            <w:proofErr w:type="spellEnd"/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426404">
              <w:rPr>
                <w:rFonts w:ascii="Arial" w:eastAsia="Times New Roman" w:hAnsi="Arial" w:cs="Arial"/>
                <w:color w:val="000000"/>
              </w:rPr>
              <w:t>(n=200)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F87E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IPV</w:t>
            </w: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426404">
              <w:rPr>
                <w:rFonts w:ascii="Arial" w:eastAsia="Times New Roman" w:hAnsi="Arial" w:cs="Arial"/>
                <w:color w:val="000000"/>
              </w:rPr>
              <w:t>(n=156)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CFD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D</w:t>
            </w: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f-IPV</w:t>
            </w: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426404">
              <w:rPr>
                <w:rFonts w:ascii="Arial" w:eastAsia="Times New Roman" w:hAnsi="Arial" w:cs="Arial"/>
                <w:color w:val="000000"/>
              </w:rPr>
              <w:t>(n=152)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462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E</w:t>
            </w: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f-IPV/</w:t>
            </w:r>
            <w:proofErr w:type="spellStart"/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bOPV</w:t>
            </w:r>
            <w:proofErr w:type="spellEnd"/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426404">
              <w:rPr>
                <w:rFonts w:ascii="Arial" w:eastAsia="Times New Roman" w:hAnsi="Arial" w:cs="Arial"/>
                <w:color w:val="000000"/>
              </w:rPr>
              <w:t>(n=211)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ED9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</w:tr>
      <w:tr w:rsidR="00426404" w:rsidRPr="00426404" w14:paraId="3D8DDE2E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2C6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Serious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180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BAD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3622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7045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F09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BAE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</w:tr>
      <w:tr w:rsidR="00426404" w:rsidRPr="00426404" w14:paraId="694FC61F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5AA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Acute gastroenteritis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7F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FF0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FF96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141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17E5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55A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07D48B78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7BC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26404">
              <w:rPr>
                <w:rFonts w:ascii="Arial" w:eastAsia="Times New Roman" w:hAnsi="Arial" w:cs="Arial"/>
                <w:color w:val="000000"/>
              </w:rPr>
              <w:t>Diarrhoea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B6C5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AD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14D9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BB3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47B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EE0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426404" w:rsidRPr="00426404" w14:paraId="373CB07E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226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Pneumonia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978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DDD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E809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743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3EB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D3E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426404" w:rsidRPr="00426404" w14:paraId="2E0DB936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AE9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Infantile seizures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7289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BFC5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C5C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3BA2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959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60C2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426404" w:rsidRPr="00426404" w14:paraId="0A05FEC2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1213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Meningitis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4B5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9D79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2CB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F2D9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64D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8F9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42BB1A2B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1CF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Sudden infant death syndrome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E3F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F8A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356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35B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698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400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426404" w:rsidRPr="00426404" w14:paraId="011206C2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45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Mild-Moderate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9DA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7A76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F18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DBF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0EA3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772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57</w:t>
            </w:r>
          </w:p>
        </w:tc>
      </w:tr>
      <w:tr w:rsidR="00426404" w:rsidRPr="00426404" w14:paraId="36B5342F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E4D2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Acute gastroenteritis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0370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B909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929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A2A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3E9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9AE6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24FAFD5B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C59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26404">
              <w:rPr>
                <w:rFonts w:ascii="Arial" w:eastAsia="Times New Roman" w:hAnsi="Arial" w:cs="Arial"/>
                <w:color w:val="000000"/>
              </w:rPr>
              <w:t>Diarrhoea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105E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DB6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2F5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5760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7A6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108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6</w:t>
            </w:r>
          </w:p>
        </w:tc>
      </w:tr>
      <w:tr w:rsidR="00426404" w:rsidRPr="00426404" w14:paraId="261A5A02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536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 xml:space="preserve">Acute </w:t>
            </w:r>
            <w:proofErr w:type="spellStart"/>
            <w:r w:rsidRPr="00426404">
              <w:rPr>
                <w:rFonts w:ascii="Arial" w:eastAsia="Times New Roman" w:hAnsi="Arial" w:cs="Arial"/>
                <w:color w:val="000000"/>
              </w:rPr>
              <w:t>ottis</w:t>
            </w:r>
            <w:proofErr w:type="spellEnd"/>
            <w:r w:rsidRPr="00426404">
              <w:rPr>
                <w:rFonts w:ascii="Arial" w:eastAsia="Times New Roman" w:hAnsi="Arial" w:cs="Arial"/>
                <w:color w:val="000000"/>
              </w:rPr>
              <w:t xml:space="preserve"> media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A2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317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872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FD13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78D3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15F6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7D2B80E7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B7D2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Allergic rhinitis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DCD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E18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D5D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CFD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B920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FAE9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4F046BC6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09F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Allergic conjunctivitis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1FD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915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979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70F9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B056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AFB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426404" w:rsidRPr="00426404" w14:paraId="5F755ED8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6D8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Boil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FC1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81D5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A31E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8E7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398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E920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701FEAAD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65C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Chicken pox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4170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48F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1F80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16F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D4A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91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30E15B63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D115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Common cold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CB33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42B0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27A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7FE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CD5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F5A3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426404" w:rsidRPr="00426404" w14:paraId="581229FE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17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Fever with no infectious focus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0D8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D215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218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3733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5C5E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6ED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8</w:t>
            </w:r>
          </w:p>
        </w:tc>
      </w:tr>
      <w:tr w:rsidR="00426404" w:rsidRPr="00426404" w14:paraId="254DD605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CBF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 xml:space="preserve">Fever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A2A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343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C6A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BAE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04C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4B99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0EA80CF4" w14:textId="77777777" w:rsidTr="00426404">
        <w:trPr>
          <w:trHeight w:val="5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427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Fever probably related to pentavalent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1E4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58B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887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616E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850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BF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426404" w:rsidRPr="00426404" w14:paraId="62FC6EFD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9C4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Fever with cold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D72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200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D1D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3172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C46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2D3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426404" w:rsidRPr="00426404" w14:paraId="34F51A2B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D6F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Infective dermatitis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D9F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75F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0B6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4E5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94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E83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5912AAB1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AB5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Measles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88D6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52F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4DD6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DEB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C3E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C36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0077F58C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4090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Oral candidiasis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9C3E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DEB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38A0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3A0D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C16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304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426404" w:rsidRPr="00426404" w14:paraId="4DBD58C5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BDB9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Scabies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2F16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2BE9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3B5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12F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B4C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487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44F374AD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5F5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Skin rash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B4B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DF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661F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FB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F473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81A4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26404" w:rsidRPr="00426404" w14:paraId="4C0A36A8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F3AE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Tinea capitis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2418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63F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E95E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ACAB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D6CA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E5D7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6404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426404" w:rsidRPr="00426404" w14:paraId="6199D7C6" w14:textId="77777777" w:rsidTr="0042640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A4C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Total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F0D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3913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5BC1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CA63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188C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1DE" w14:textId="77777777" w:rsidR="00426404" w:rsidRPr="00426404" w:rsidRDefault="00426404" w:rsidP="00426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6404">
              <w:rPr>
                <w:rFonts w:ascii="Arial" w:eastAsia="Times New Roman" w:hAnsi="Arial" w:cs="Arial"/>
                <w:b/>
                <w:bCs/>
                <w:color w:val="000000"/>
              </w:rPr>
              <w:t>68</w:t>
            </w:r>
          </w:p>
        </w:tc>
      </w:tr>
      <w:tr w:rsidR="00426404" w:rsidRPr="00426404" w14:paraId="6B2F7116" w14:textId="77777777" w:rsidTr="00426404">
        <w:trPr>
          <w:trHeight w:val="540"/>
        </w:trPr>
        <w:tc>
          <w:tcPr>
            <w:tcW w:w="109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7B6DF" w14:textId="77777777" w:rsidR="00426404" w:rsidRPr="00426404" w:rsidRDefault="00426404" w:rsidP="00426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*Death reported</w:t>
            </w:r>
            <w:r w:rsidRPr="00426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tOPV: trivalent oral poliovirus vaccine (OPV); </w:t>
            </w:r>
            <w:proofErr w:type="spellStart"/>
            <w:r w:rsidRPr="00426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bOPV</w:t>
            </w:r>
            <w:proofErr w:type="spellEnd"/>
            <w:r w:rsidRPr="004264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bivalent OPV; IPV: Inactivated poliovirus vaccine; f-IPV: fractional IPV</w:t>
            </w:r>
          </w:p>
        </w:tc>
      </w:tr>
    </w:tbl>
    <w:p w14:paraId="16123E4C" w14:textId="77777777" w:rsidR="007876BD" w:rsidRDefault="007876BD" w:rsidP="00483D69">
      <w:pPr>
        <w:tabs>
          <w:tab w:val="left" w:pos="1050"/>
        </w:tabs>
        <w:rPr>
          <w:rFonts w:ascii="Arial" w:hAnsi="Arial" w:cs="Arial"/>
        </w:rPr>
      </w:pPr>
    </w:p>
    <w:sectPr w:rsidR="007876BD" w:rsidSect="00E17332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EF55" w14:textId="77777777" w:rsidR="0026324A" w:rsidRDefault="0026324A" w:rsidP="0026324A">
      <w:pPr>
        <w:spacing w:after="0" w:line="240" w:lineRule="auto"/>
      </w:pPr>
      <w:r>
        <w:separator/>
      </w:r>
    </w:p>
  </w:endnote>
  <w:endnote w:type="continuationSeparator" w:id="0">
    <w:p w14:paraId="371CEE51" w14:textId="77777777" w:rsidR="0026324A" w:rsidRDefault="0026324A" w:rsidP="0026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D36A" w14:textId="77777777" w:rsidR="0026324A" w:rsidRDefault="0026324A" w:rsidP="0026324A">
      <w:pPr>
        <w:spacing w:after="0" w:line="240" w:lineRule="auto"/>
      </w:pPr>
      <w:r>
        <w:separator/>
      </w:r>
    </w:p>
  </w:footnote>
  <w:footnote w:type="continuationSeparator" w:id="0">
    <w:p w14:paraId="3BAFD391" w14:textId="77777777" w:rsidR="0026324A" w:rsidRDefault="0026324A" w:rsidP="00263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9B"/>
    <w:rsid w:val="001A1BA7"/>
    <w:rsid w:val="0026324A"/>
    <w:rsid w:val="00426404"/>
    <w:rsid w:val="00483D69"/>
    <w:rsid w:val="005D7B6C"/>
    <w:rsid w:val="00673ED0"/>
    <w:rsid w:val="006C769B"/>
    <w:rsid w:val="007876BD"/>
    <w:rsid w:val="008F45DE"/>
    <w:rsid w:val="00A3428B"/>
    <w:rsid w:val="00B55735"/>
    <w:rsid w:val="00C260ED"/>
    <w:rsid w:val="00CA0954"/>
    <w:rsid w:val="00DC57CC"/>
    <w:rsid w:val="00DF4929"/>
    <w:rsid w:val="00E17332"/>
    <w:rsid w:val="00EE7862"/>
    <w:rsid w:val="00F3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4390D"/>
  <w15:docId w15:val="{5F97C5FE-67E6-4296-A4CC-2116CC71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Anand, Abhijeet (CDC/DDPHSIS/CGH/GID)</cp:lastModifiedBy>
  <cp:revision>2</cp:revision>
  <dcterms:created xsi:type="dcterms:W3CDTF">2023-07-13T10:48:00Z</dcterms:created>
  <dcterms:modified xsi:type="dcterms:W3CDTF">2023-07-13T10:48:00Z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2023-07-13T10:48:09Z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c6cc57f4-bb5b-4960-b7e8-e13dfcddd54a</vt:lpwstr>
  </property>
  <property fmtid="{D5CDD505-2E9C-101B-9397-08002B2CF9AE}" pid="8" name="MSIP_Label_7b94a7b8-f06c-4dfe-bdcc-9b548fd58c31_ContentBits">
    <vt:lpwstr>0</vt:lpwstr>
  </property>
</Properties>
</file>