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2E14" w14:textId="48620A2C" w:rsidR="006407B3" w:rsidRPr="008325B7" w:rsidRDefault="000E5BC3" w:rsidP="000461AF">
      <w:pPr>
        <w:spacing w:line="480" w:lineRule="auto"/>
        <w:rPr>
          <w:rFonts w:ascii="Arial" w:hAnsi="Arial" w:cs="Arial"/>
          <w:b/>
          <w:bCs/>
        </w:rPr>
      </w:pPr>
      <w:r w:rsidRPr="008325B7">
        <w:rPr>
          <w:rFonts w:ascii="Arial" w:hAnsi="Arial" w:cs="Arial"/>
          <w:b/>
          <w:bCs/>
        </w:rPr>
        <w:t>SUPPORTING INFORMATION</w:t>
      </w:r>
    </w:p>
    <w:p w14:paraId="4D13943B" w14:textId="22BACC8D" w:rsidR="000461AF" w:rsidRDefault="000461AF" w:rsidP="000461AF">
      <w:pPr>
        <w:spacing w:line="480" w:lineRule="auto"/>
        <w:rPr>
          <w:rFonts w:ascii="Arial" w:hAnsi="Arial" w:cs="Arial"/>
        </w:rPr>
      </w:pPr>
      <w:r w:rsidRPr="008325B7">
        <w:rPr>
          <w:rFonts w:ascii="Arial" w:hAnsi="Arial" w:cs="Arial"/>
        </w:rPr>
        <w:t xml:space="preserve">Prevalence and Descriptive Epidemiology of Turner Syndrome in the United States, 2000-2017: A Report from the National Birth Defects Prevention Network </w:t>
      </w:r>
    </w:p>
    <w:p w14:paraId="75D63CF7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vertAlign w:val="superscript"/>
        </w:rPr>
      </w:pPr>
      <w:r w:rsidRPr="001548E9">
        <w:rPr>
          <w:rFonts w:ascii="Arial" w:hAnsi="Arial" w:cs="Arial"/>
        </w:rPr>
        <w:t>Bailey A. Martin-Giacalone</w:t>
      </w:r>
      <w:r w:rsidRPr="001548E9">
        <w:rPr>
          <w:rFonts w:ascii="Arial" w:hAnsi="Arial" w:cs="Arial"/>
          <w:vertAlign w:val="superscript"/>
        </w:rPr>
        <w:t>1,2</w:t>
      </w:r>
      <w:r w:rsidRPr="001548E9">
        <w:rPr>
          <w:rFonts w:ascii="Arial" w:hAnsi="Arial" w:cs="Arial"/>
        </w:rPr>
        <w:t>, Angela E. Lin</w:t>
      </w:r>
      <w:r w:rsidRPr="001548E9">
        <w:rPr>
          <w:rFonts w:ascii="Arial" w:hAnsi="Arial" w:cs="Arial"/>
          <w:vertAlign w:val="superscript"/>
        </w:rPr>
        <w:t>3</w:t>
      </w:r>
      <w:r w:rsidRPr="001548E9">
        <w:rPr>
          <w:rFonts w:ascii="Arial" w:hAnsi="Arial" w:cs="Arial"/>
        </w:rPr>
        <w:t>, Sonja A. Rasmussen</w:t>
      </w:r>
      <w:r w:rsidRPr="001548E9">
        <w:rPr>
          <w:rFonts w:ascii="Arial" w:hAnsi="Arial" w:cs="Arial"/>
          <w:vertAlign w:val="superscript"/>
        </w:rPr>
        <w:t>4-6</w:t>
      </w:r>
      <w:r w:rsidRPr="001548E9">
        <w:rPr>
          <w:rFonts w:ascii="Arial" w:hAnsi="Arial" w:cs="Arial"/>
        </w:rPr>
        <w:t>, Russell S. Kirby</w:t>
      </w:r>
      <w:r w:rsidRPr="001548E9">
        <w:rPr>
          <w:rFonts w:ascii="Arial" w:hAnsi="Arial" w:cs="Arial"/>
          <w:vertAlign w:val="superscript"/>
        </w:rPr>
        <w:t>7</w:t>
      </w:r>
      <w:r w:rsidRPr="001548E9">
        <w:rPr>
          <w:rFonts w:ascii="Arial" w:hAnsi="Arial" w:cs="Arial"/>
        </w:rPr>
        <w:t>, Eirini Nestoridi</w:t>
      </w:r>
      <w:r w:rsidRPr="001548E9">
        <w:rPr>
          <w:rFonts w:ascii="Arial" w:hAnsi="Arial" w:cs="Arial"/>
          <w:vertAlign w:val="superscript"/>
        </w:rPr>
        <w:t>8</w:t>
      </w:r>
      <w:r w:rsidRPr="001548E9">
        <w:rPr>
          <w:rFonts w:ascii="Arial" w:hAnsi="Arial" w:cs="Arial"/>
        </w:rPr>
        <w:t>, Rebecca F. Liberman</w:t>
      </w:r>
      <w:r w:rsidRPr="001548E9">
        <w:rPr>
          <w:rFonts w:ascii="Arial" w:hAnsi="Arial" w:cs="Arial"/>
          <w:vertAlign w:val="superscript"/>
        </w:rPr>
        <w:t>8</w:t>
      </w:r>
      <w:r w:rsidRPr="001548E9">
        <w:rPr>
          <w:rFonts w:ascii="Arial" w:hAnsi="Arial" w:cs="Arial"/>
        </w:rPr>
        <w:t>, A.J. Agopian</w:t>
      </w:r>
      <w:r w:rsidRPr="001548E9">
        <w:rPr>
          <w:rFonts w:ascii="Arial" w:hAnsi="Arial" w:cs="Arial"/>
          <w:vertAlign w:val="superscript"/>
        </w:rPr>
        <w:t>9</w:t>
      </w:r>
      <w:r w:rsidRPr="001548E9">
        <w:rPr>
          <w:rFonts w:ascii="Arial" w:hAnsi="Arial" w:cs="Arial"/>
        </w:rPr>
        <w:t>, John C. Carey</w:t>
      </w:r>
      <w:r w:rsidRPr="001548E9">
        <w:rPr>
          <w:rFonts w:ascii="Arial" w:hAnsi="Arial" w:cs="Arial"/>
          <w:vertAlign w:val="superscript"/>
        </w:rPr>
        <w:t>10</w:t>
      </w:r>
      <w:r w:rsidRPr="001548E9">
        <w:rPr>
          <w:rFonts w:ascii="Arial" w:hAnsi="Arial" w:cs="Arial"/>
        </w:rPr>
        <w:t>, Janet D. Cragan</w:t>
      </w:r>
      <w:r w:rsidRPr="001548E9">
        <w:rPr>
          <w:rFonts w:ascii="Arial" w:hAnsi="Arial" w:cs="Arial"/>
          <w:vertAlign w:val="superscript"/>
        </w:rPr>
        <w:t>11</w:t>
      </w:r>
      <w:r w:rsidRPr="001548E9">
        <w:rPr>
          <w:rFonts w:ascii="Arial" w:hAnsi="Arial" w:cs="Arial"/>
        </w:rPr>
        <w:t>, Nina Forestieri</w:t>
      </w:r>
      <w:r w:rsidRPr="001548E9">
        <w:rPr>
          <w:rFonts w:ascii="Arial" w:hAnsi="Arial" w:cs="Arial"/>
          <w:vertAlign w:val="superscript"/>
        </w:rPr>
        <w:t>12</w:t>
      </w:r>
      <w:r w:rsidRPr="001548E9">
        <w:rPr>
          <w:rFonts w:ascii="Arial" w:hAnsi="Arial" w:cs="Arial"/>
        </w:rPr>
        <w:t>, Vinita Leedom</w:t>
      </w:r>
      <w:r w:rsidRPr="001548E9">
        <w:rPr>
          <w:rFonts w:ascii="Arial" w:hAnsi="Arial" w:cs="Arial"/>
          <w:vertAlign w:val="superscript"/>
        </w:rPr>
        <w:t>6</w:t>
      </w:r>
      <w:r w:rsidRPr="001548E9">
        <w:rPr>
          <w:rFonts w:ascii="Arial" w:hAnsi="Arial" w:cs="Arial"/>
        </w:rPr>
        <w:t>, Aubree Boyce</w:t>
      </w:r>
      <w:r w:rsidRPr="001548E9">
        <w:rPr>
          <w:rFonts w:ascii="Arial" w:hAnsi="Arial" w:cs="Arial"/>
          <w:vertAlign w:val="superscript"/>
        </w:rPr>
        <w:t>13</w:t>
      </w:r>
      <w:r w:rsidRPr="001548E9">
        <w:rPr>
          <w:rFonts w:ascii="Arial" w:hAnsi="Arial" w:cs="Arial"/>
        </w:rPr>
        <w:t>, Wendy N. Nembhard</w:t>
      </w:r>
      <w:r w:rsidRPr="001548E9">
        <w:rPr>
          <w:rFonts w:ascii="Arial" w:hAnsi="Arial" w:cs="Arial"/>
          <w:vertAlign w:val="superscript"/>
        </w:rPr>
        <w:t>14</w:t>
      </w:r>
      <w:r w:rsidRPr="001548E9">
        <w:rPr>
          <w:rFonts w:ascii="Arial" w:hAnsi="Arial" w:cs="Arial"/>
        </w:rPr>
        <w:t>,</w:t>
      </w:r>
      <w:r w:rsidRPr="001548E9">
        <w:rPr>
          <w:rFonts w:ascii="Arial" w:hAnsi="Arial" w:cs="Arial"/>
          <w:vertAlign w:val="superscript"/>
        </w:rPr>
        <w:t xml:space="preserve"> </w:t>
      </w:r>
      <w:r w:rsidRPr="001548E9">
        <w:rPr>
          <w:rFonts w:ascii="Arial" w:hAnsi="Arial" w:cs="Arial"/>
        </w:rPr>
        <w:t>Monika Piccardi</w:t>
      </w:r>
      <w:r w:rsidRPr="001548E9">
        <w:rPr>
          <w:rFonts w:ascii="Arial" w:hAnsi="Arial" w:cs="Arial"/>
          <w:vertAlign w:val="superscript"/>
        </w:rPr>
        <w:t>15</w:t>
      </w:r>
      <w:r w:rsidRPr="001548E9">
        <w:rPr>
          <w:rFonts w:ascii="Arial" w:hAnsi="Arial" w:cs="Arial"/>
        </w:rPr>
        <w:t>, Theresa Sandidge</w:t>
      </w:r>
      <w:r w:rsidRPr="001548E9">
        <w:rPr>
          <w:rFonts w:ascii="Arial" w:hAnsi="Arial" w:cs="Arial"/>
          <w:vertAlign w:val="superscript"/>
        </w:rPr>
        <w:t>16</w:t>
      </w:r>
      <w:r w:rsidRPr="001548E9">
        <w:rPr>
          <w:rFonts w:ascii="Arial" w:hAnsi="Arial" w:cs="Arial"/>
        </w:rPr>
        <w:t>, Xiaoyi Shan</w:t>
      </w:r>
      <w:r w:rsidRPr="001548E9">
        <w:rPr>
          <w:rFonts w:ascii="Arial" w:hAnsi="Arial" w:cs="Arial"/>
          <w:vertAlign w:val="superscript"/>
        </w:rPr>
        <w:t>17</w:t>
      </w:r>
      <w:r w:rsidRPr="001548E9">
        <w:rPr>
          <w:rFonts w:ascii="Arial" w:hAnsi="Arial" w:cs="Arial"/>
        </w:rPr>
        <w:t>, Charles J. Shumate</w:t>
      </w:r>
      <w:r w:rsidRPr="001548E9">
        <w:rPr>
          <w:rFonts w:ascii="Arial" w:hAnsi="Arial" w:cs="Arial"/>
          <w:vertAlign w:val="superscript"/>
        </w:rPr>
        <w:t>18</w:t>
      </w:r>
      <w:r w:rsidRPr="001548E9">
        <w:rPr>
          <w:rFonts w:ascii="Arial" w:hAnsi="Arial" w:cs="Arial"/>
        </w:rPr>
        <w:t>, Erin B. Stallings</w:t>
      </w:r>
      <w:r w:rsidRPr="001548E9">
        <w:rPr>
          <w:rFonts w:ascii="Arial" w:hAnsi="Arial" w:cs="Arial"/>
          <w:vertAlign w:val="superscript"/>
        </w:rPr>
        <w:t>11</w:t>
      </w:r>
      <w:r w:rsidRPr="001548E9">
        <w:rPr>
          <w:rFonts w:ascii="Arial" w:hAnsi="Arial" w:cs="Arial"/>
        </w:rPr>
        <w:t>, Roger Stevenson</w:t>
      </w:r>
      <w:r w:rsidRPr="001548E9">
        <w:rPr>
          <w:rFonts w:ascii="Arial" w:hAnsi="Arial" w:cs="Arial"/>
          <w:vertAlign w:val="superscript"/>
        </w:rPr>
        <w:t>19</w:t>
      </w:r>
      <w:r w:rsidRPr="001548E9">
        <w:rPr>
          <w:rFonts w:ascii="Arial" w:hAnsi="Arial" w:cs="Arial"/>
        </w:rPr>
        <w:t>, Philip J. Lupo</w:t>
      </w:r>
      <w:r w:rsidRPr="001548E9">
        <w:rPr>
          <w:rFonts w:ascii="Arial" w:hAnsi="Arial" w:cs="Arial"/>
          <w:vertAlign w:val="superscript"/>
        </w:rPr>
        <w:t>2</w:t>
      </w:r>
    </w:p>
    <w:p w14:paraId="36EDB8A2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vertAlign w:val="superscript"/>
        </w:rPr>
      </w:pPr>
    </w:p>
    <w:p w14:paraId="58D0DDB7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</w:t>
      </w:r>
      <w:r w:rsidRPr="001548E9">
        <w:rPr>
          <w:rFonts w:ascii="Arial" w:hAnsi="Arial" w:cs="Arial"/>
          <w:shd w:val="clear" w:color="auto" w:fill="FFFFFF"/>
        </w:rPr>
        <w:t xml:space="preserve"> Washington University in St. Louis School of Medicine, St. Louis, Missouri, USA </w:t>
      </w:r>
    </w:p>
    <w:p w14:paraId="5FD69E87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2</w:t>
      </w:r>
      <w:r w:rsidRPr="001548E9">
        <w:rPr>
          <w:rFonts w:ascii="Arial" w:hAnsi="Arial" w:cs="Arial"/>
          <w:shd w:val="clear" w:color="auto" w:fill="FFFFFF"/>
        </w:rPr>
        <w:t xml:space="preserve"> Baylor College of Medicine, Houston, Texas, USA</w:t>
      </w:r>
    </w:p>
    <w:p w14:paraId="478C9435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vertAlign w:val="superscript"/>
        </w:rPr>
        <w:t>3</w:t>
      </w:r>
      <w:r w:rsidRPr="001548E9">
        <w:rPr>
          <w:rFonts w:ascii="Arial" w:hAnsi="Arial" w:cs="Arial"/>
        </w:rPr>
        <w:t xml:space="preserve"> </w:t>
      </w:r>
      <w:r w:rsidRPr="001548E9">
        <w:rPr>
          <w:rFonts w:ascii="Arial" w:hAnsi="Arial" w:cs="Arial"/>
          <w:shd w:val="clear" w:color="auto" w:fill="FFFFFF"/>
        </w:rPr>
        <w:t>Mass General for Children, Boston, Massachusetts, USA</w:t>
      </w:r>
    </w:p>
    <w:p w14:paraId="771E960F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4</w:t>
      </w:r>
      <w:r w:rsidRPr="001548E9">
        <w:rPr>
          <w:rFonts w:ascii="Arial" w:hAnsi="Arial" w:cs="Arial"/>
          <w:shd w:val="clear" w:color="auto" w:fill="FFFFFF"/>
        </w:rPr>
        <w:t xml:space="preserve"> The Johns Hopkins University School of Medicine, Baltimore, MD, USA</w:t>
      </w:r>
    </w:p>
    <w:p w14:paraId="6B6FB15C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5</w:t>
      </w:r>
      <w:r w:rsidRPr="001548E9">
        <w:rPr>
          <w:rFonts w:ascii="Arial" w:hAnsi="Arial" w:cs="Arial"/>
          <w:shd w:val="clear" w:color="auto" w:fill="FFFFFF"/>
        </w:rPr>
        <w:t xml:space="preserve"> University of Florida College of Medicine, Gainesville, Florida, USA</w:t>
      </w:r>
    </w:p>
    <w:p w14:paraId="36F416A0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6</w:t>
      </w:r>
      <w:r w:rsidRPr="001548E9">
        <w:rPr>
          <w:rFonts w:ascii="Arial" w:hAnsi="Arial" w:cs="Arial"/>
          <w:shd w:val="clear" w:color="auto" w:fill="FFFFFF"/>
        </w:rPr>
        <w:t xml:space="preserve"> South Carolina Department of Health and Environmental Control, Columbia, South Carolina, USA</w:t>
      </w:r>
    </w:p>
    <w:p w14:paraId="4D14C9DF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7</w:t>
      </w:r>
      <w:r w:rsidRPr="001548E9">
        <w:rPr>
          <w:rFonts w:ascii="Arial" w:hAnsi="Arial" w:cs="Arial"/>
          <w:shd w:val="clear" w:color="auto" w:fill="FFFFFF"/>
        </w:rPr>
        <w:t xml:space="preserve"> University of South Florida, Tampa, Florida, USA</w:t>
      </w:r>
    </w:p>
    <w:p w14:paraId="3191505F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8</w:t>
      </w:r>
      <w:r w:rsidRPr="001548E9">
        <w:rPr>
          <w:rFonts w:ascii="Arial" w:hAnsi="Arial" w:cs="Arial"/>
          <w:shd w:val="clear" w:color="auto" w:fill="FFFFFF"/>
        </w:rPr>
        <w:t xml:space="preserve"> Massachusetts Department of Public Health, Boston, Massachusetts, USA</w:t>
      </w:r>
    </w:p>
    <w:p w14:paraId="2EC5169E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vertAlign w:val="superscript"/>
        </w:rPr>
        <w:t>9</w:t>
      </w:r>
      <w:r w:rsidRPr="001548E9">
        <w:rPr>
          <w:rFonts w:ascii="Arial" w:hAnsi="Arial" w:cs="Arial"/>
        </w:rPr>
        <w:t xml:space="preserve"> </w:t>
      </w:r>
      <w:r w:rsidRPr="001548E9">
        <w:rPr>
          <w:rFonts w:ascii="Arial" w:hAnsi="Arial" w:cs="Arial"/>
          <w:shd w:val="clear" w:color="auto" w:fill="FFFFFF"/>
        </w:rPr>
        <w:t>UTHealth School of Public Health, Houston, Texas, USA</w:t>
      </w:r>
    </w:p>
    <w:p w14:paraId="5A017786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10</w:t>
      </w:r>
      <w:r w:rsidRPr="001548E9">
        <w:rPr>
          <w:rFonts w:ascii="Arial" w:hAnsi="Arial" w:cs="Arial"/>
          <w:shd w:val="clear" w:color="auto" w:fill="FFFFFF"/>
        </w:rPr>
        <w:t xml:space="preserve"> University of Utah Health, Salt Lake City, Utah, USA</w:t>
      </w:r>
    </w:p>
    <w:p w14:paraId="05533E81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 xml:space="preserve">11 </w:t>
      </w:r>
      <w:r w:rsidRPr="001548E9">
        <w:rPr>
          <w:rFonts w:ascii="Arial" w:hAnsi="Arial" w:cs="Arial"/>
          <w:shd w:val="clear" w:color="auto" w:fill="FFFFFF"/>
        </w:rPr>
        <w:t>Centers for Disease Control and Prevention, Atlanta, Georgia, USA</w:t>
      </w:r>
    </w:p>
    <w:p w14:paraId="659180C6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12</w:t>
      </w:r>
      <w:r w:rsidRPr="001548E9">
        <w:rPr>
          <w:rFonts w:ascii="Arial" w:hAnsi="Arial" w:cs="Arial"/>
          <w:shd w:val="clear" w:color="auto" w:fill="FFFFFF"/>
        </w:rPr>
        <w:t xml:space="preserve"> North Carolina Department of Health and Human Services, Raleigh, North Carolina, USA</w:t>
      </w:r>
    </w:p>
    <w:p w14:paraId="1A0628B0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13</w:t>
      </w:r>
      <w:r w:rsidRPr="001548E9">
        <w:rPr>
          <w:rFonts w:ascii="Arial" w:hAnsi="Arial" w:cs="Arial"/>
          <w:shd w:val="clear" w:color="auto" w:fill="FFFFFF"/>
        </w:rPr>
        <w:t xml:space="preserve"> Utah Department of Health and Human Services, Salt Lake City, Utah, USA</w:t>
      </w:r>
    </w:p>
    <w:p w14:paraId="7953ABF8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 xml:space="preserve">14 </w:t>
      </w:r>
      <w:r w:rsidRPr="001548E9">
        <w:rPr>
          <w:rFonts w:ascii="Arial" w:hAnsi="Arial" w:cs="Arial"/>
          <w:shd w:val="clear" w:color="auto" w:fill="FFFFFF"/>
        </w:rPr>
        <w:t>University of Arkansas for Medical Sciences, Little Rock, Arkansas, USA</w:t>
      </w:r>
    </w:p>
    <w:p w14:paraId="19F9469A" w14:textId="77777777" w:rsidR="00964709" w:rsidRPr="001548E9" w:rsidRDefault="00964709" w:rsidP="00964709">
      <w:pPr>
        <w:spacing w:after="0" w:line="480" w:lineRule="auto"/>
        <w:rPr>
          <w:rFonts w:ascii="Arial" w:hAnsi="Arial" w:cs="Arial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15</w:t>
      </w:r>
      <w:r w:rsidRPr="001548E9">
        <w:rPr>
          <w:rFonts w:ascii="Arial" w:hAnsi="Arial" w:cs="Arial"/>
          <w:shd w:val="clear" w:color="auto" w:fill="FFFFFF"/>
        </w:rPr>
        <w:t xml:space="preserve"> </w:t>
      </w:r>
      <w:r w:rsidRPr="001548E9">
        <w:rPr>
          <w:rFonts w:ascii="Arial" w:hAnsi="Arial" w:cs="Arial"/>
        </w:rPr>
        <w:t>Maryland Department of Health, Baltimore, Maryland, USA</w:t>
      </w:r>
    </w:p>
    <w:p w14:paraId="0B163F04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vertAlign w:val="superscript"/>
        </w:rPr>
        <w:lastRenderedPageBreak/>
        <w:t>16</w:t>
      </w:r>
      <w:r w:rsidRPr="001548E9">
        <w:rPr>
          <w:rFonts w:ascii="Arial" w:hAnsi="Arial" w:cs="Arial"/>
        </w:rPr>
        <w:t xml:space="preserve"> </w:t>
      </w:r>
      <w:r w:rsidRPr="001548E9">
        <w:rPr>
          <w:rFonts w:ascii="Arial" w:hAnsi="Arial" w:cs="Arial"/>
          <w:shd w:val="clear" w:color="auto" w:fill="FFFFFF"/>
        </w:rPr>
        <w:t>Illinois Department of Public Health, Springfield, Illinois, USA</w:t>
      </w:r>
    </w:p>
    <w:p w14:paraId="6F7C315A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17</w:t>
      </w:r>
      <w:r w:rsidRPr="001548E9">
        <w:rPr>
          <w:rFonts w:ascii="Arial" w:hAnsi="Arial" w:cs="Arial"/>
          <w:shd w:val="clear" w:color="auto" w:fill="FFFFFF"/>
        </w:rPr>
        <w:t xml:space="preserve"> Arkansas Children’s Research Institute, Little Rock, Arkansas, USA</w:t>
      </w:r>
    </w:p>
    <w:p w14:paraId="0A7E2CAE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18</w:t>
      </w:r>
      <w:r w:rsidRPr="001548E9">
        <w:rPr>
          <w:rFonts w:ascii="Arial" w:hAnsi="Arial" w:cs="Arial"/>
          <w:shd w:val="clear" w:color="auto" w:fill="FFFFFF"/>
        </w:rPr>
        <w:t xml:space="preserve"> Texas Department of State Health Services, Austin, Texas, USA</w:t>
      </w:r>
    </w:p>
    <w:p w14:paraId="2584C0BE" w14:textId="77777777" w:rsidR="00964709" w:rsidRPr="001548E9" w:rsidRDefault="00964709" w:rsidP="00964709">
      <w:pPr>
        <w:spacing w:after="0" w:line="480" w:lineRule="auto"/>
        <w:rPr>
          <w:rFonts w:ascii="Arial" w:hAnsi="Arial" w:cs="Arial"/>
          <w:shd w:val="clear" w:color="auto" w:fill="FFFFFF"/>
        </w:rPr>
      </w:pPr>
      <w:r w:rsidRPr="001548E9">
        <w:rPr>
          <w:rFonts w:ascii="Arial" w:hAnsi="Arial" w:cs="Arial"/>
          <w:shd w:val="clear" w:color="auto" w:fill="FFFFFF"/>
          <w:vertAlign w:val="superscript"/>
        </w:rPr>
        <w:t>19</w:t>
      </w:r>
      <w:r w:rsidRPr="001548E9">
        <w:rPr>
          <w:rFonts w:ascii="Arial" w:hAnsi="Arial" w:cs="Arial"/>
          <w:shd w:val="clear" w:color="auto" w:fill="FFFFFF"/>
        </w:rPr>
        <w:t xml:space="preserve"> Greenwood Genetic Center, Greenwood, South Carolina, USA</w:t>
      </w:r>
    </w:p>
    <w:p w14:paraId="04B15F3D" w14:textId="77777777" w:rsidR="00964709" w:rsidRPr="008325B7" w:rsidRDefault="00964709" w:rsidP="000461AF">
      <w:pPr>
        <w:spacing w:line="480" w:lineRule="auto"/>
        <w:rPr>
          <w:rFonts w:ascii="Arial" w:hAnsi="Arial" w:cs="Arial"/>
        </w:rPr>
      </w:pPr>
    </w:p>
    <w:p w14:paraId="068C3D2D" w14:textId="77777777" w:rsidR="000461AF" w:rsidRDefault="000461AF" w:rsidP="000461AF"/>
    <w:p w14:paraId="6BB28DF2" w14:textId="77777777" w:rsidR="00335ABF" w:rsidRDefault="00335A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0910F6" w14:textId="623022C3" w:rsidR="00335ABF" w:rsidRPr="004853D8" w:rsidRDefault="00335ABF" w:rsidP="00335ABF">
      <w:pPr>
        <w:rPr>
          <w:rFonts w:ascii="Arial" w:hAnsi="Arial" w:cs="Arial"/>
        </w:rPr>
      </w:pPr>
      <w:r w:rsidRPr="004853D8">
        <w:rPr>
          <w:rFonts w:ascii="Arial" w:hAnsi="Arial" w:cs="Arial"/>
        </w:rPr>
        <w:lastRenderedPageBreak/>
        <w:t xml:space="preserve">Supplementary Table 1. </w:t>
      </w:r>
      <w:r>
        <w:rPr>
          <w:rFonts w:ascii="Arial" w:hAnsi="Arial" w:cs="Arial"/>
        </w:rPr>
        <w:t>Birth defect coding system by birth defect surveillance program</w:t>
      </w:r>
    </w:p>
    <w:tbl>
      <w:tblPr>
        <w:tblStyle w:val="ListTable2-Accent31"/>
        <w:tblW w:w="9506" w:type="dxa"/>
        <w:tblLook w:val="04A0" w:firstRow="1" w:lastRow="0" w:firstColumn="1" w:lastColumn="0" w:noHBand="0" w:noVBand="1"/>
      </w:tblPr>
      <w:tblGrid>
        <w:gridCol w:w="4753"/>
        <w:gridCol w:w="4753"/>
      </w:tblGrid>
      <w:tr w:rsidR="00335ABF" w:rsidRPr="004853D8" w14:paraId="4B40EA56" w14:textId="77777777" w:rsidTr="000C0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  <w:vAlign w:val="center"/>
          </w:tcPr>
          <w:p w14:paraId="68DC72C0" w14:textId="77777777" w:rsidR="00335ABF" w:rsidRPr="004853D8" w:rsidRDefault="00335ABF" w:rsidP="000C0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</w:p>
        </w:tc>
        <w:tc>
          <w:tcPr>
            <w:tcW w:w="4753" w:type="dxa"/>
            <w:vAlign w:val="center"/>
          </w:tcPr>
          <w:p w14:paraId="6C2B113B" w14:textId="77777777" w:rsidR="00335ABF" w:rsidRPr="004853D8" w:rsidRDefault="00335ABF" w:rsidP="000C05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Codes</w:t>
            </w:r>
          </w:p>
        </w:tc>
      </w:tr>
      <w:tr w:rsidR="00335ABF" w:rsidRPr="004853D8" w14:paraId="0AC8B39E" w14:textId="77777777" w:rsidTr="000C0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</w:tcPr>
          <w:p w14:paraId="146AC048" w14:textId="77777777" w:rsidR="00335ABF" w:rsidRPr="004853D8" w:rsidRDefault="00335ABF" w:rsidP="000C05A0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 w:rsidRPr="00397B79">
              <w:rPr>
                <w:rFonts w:ascii="Arial" w:hAnsi="Arial" w:cs="Arial"/>
                <w:b w:val="0"/>
                <w:bCs w:val="0"/>
              </w:rPr>
              <w:t>Arkansas Reproductive Health Monitoring System</w:t>
            </w:r>
          </w:p>
        </w:tc>
        <w:tc>
          <w:tcPr>
            <w:tcW w:w="4753" w:type="dxa"/>
          </w:tcPr>
          <w:p w14:paraId="5E5F583B" w14:textId="77777777" w:rsidR="00335ABF" w:rsidRPr="004853D8" w:rsidRDefault="00335ABF" w:rsidP="000C05A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BPA</w:t>
            </w:r>
            <w:r w:rsidRPr="002B1256">
              <w:rPr>
                <w:rFonts w:ascii="Arial" w:eastAsia="Times New Roman" w:hAnsi="Arial" w:cs="Arial"/>
                <w:color w:val="1C1D1E"/>
                <w:sz w:val="21"/>
                <w:szCs w:val="21"/>
                <w:vertAlign w:val="superscript"/>
              </w:rPr>
              <w:t>‡</w:t>
            </w:r>
            <w:r>
              <w:rPr>
                <w:rFonts w:ascii="Arial" w:hAnsi="Arial" w:cs="Arial"/>
              </w:rPr>
              <w:t xml:space="preserve"> codes modified by CDC</w:t>
            </w:r>
            <w:r w:rsidRPr="002B1256">
              <w:rPr>
                <w:rFonts w:ascii="Arial" w:eastAsia="Times New Roman" w:hAnsi="Arial" w:cs="Arial"/>
                <w:color w:val="1C1D1E"/>
                <w:sz w:val="21"/>
                <w:szCs w:val="21"/>
                <w:vertAlign w:val="superscript"/>
              </w:rPr>
              <w:t>†</w:t>
            </w:r>
          </w:p>
        </w:tc>
      </w:tr>
      <w:tr w:rsidR="00335ABF" w:rsidRPr="004853D8" w14:paraId="642C75F2" w14:textId="77777777" w:rsidTr="000C05A0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</w:tcPr>
          <w:p w14:paraId="509F6241" w14:textId="77777777" w:rsidR="00335ABF" w:rsidRPr="004853D8" w:rsidRDefault="00335ABF" w:rsidP="000C05A0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 w:rsidRPr="00397B79">
              <w:rPr>
                <w:rFonts w:ascii="Arial" w:hAnsi="Arial" w:cs="Arial"/>
                <w:b w:val="0"/>
                <w:bCs w:val="0"/>
              </w:rPr>
              <w:t>California Birth Defects Monitoring Program</w:t>
            </w:r>
          </w:p>
        </w:tc>
        <w:tc>
          <w:tcPr>
            <w:tcW w:w="4753" w:type="dxa"/>
          </w:tcPr>
          <w:p w14:paraId="0D8937C0" w14:textId="77777777" w:rsidR="00335ABF" w:rsidRPr="004853D8" w:rsidRDefault="00335ABF" w:rsidP="000C05A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BPA codes modified by the California Birth Defects Monitoring Program</w:t>
            </w:r>
          </w:p>
        </w:tc>
      </w:tr>
      <w:tr w:rsidR="00335ABF" w:rsidRPr="004853D8" w14:paraId="55820565" w14:textId="77777777" w:rsidTr="000C0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</w:tcPr>
          <w:p w14:paraId="18B5C3C5" w14:textId="77777777" w:rsidR="00335ABF" w:rsidRPr="004853D8" w:rsidRDefault="00335ABF" w:rsidP="000C05A0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 w:rsidRPr="00397B79">
              <w:rPr>
                <w:rFonts w:ascii="Arial" w:hAnsi="Arial" w:cs="Arial"/>
                <w:b w:val="0"/>
                <w:bCs w:val="0"/>
              </w:rPr>
              <w:t>Massachusetts Birth Defects Monitoring Program</w:t>
            </w:r>
          </w:p>
        </w:tc>
        <w:tc>
          <w:tcPr>
            <w:tcW w:w="4753" w:type="dxa"/>
          </w:tcPr>
          <w:p w14:paraId="102423E7" w14:textId="531498B0" w:rsidR="00335ABF" w:rsidRPr="004853D8" w:rsidRDefault="00335ABF" w:rsidP="000C05A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17FB">
              <w:rPr>
                <w:rFonts w:ascii="Arial" w:hAnsi="Arial" w:cs="Arial"/>
              </w:rPr>
              <w:t>BPA codes modified by CDC</w:t>
            </w:r>
          </w:p>
        </w:tc>
      </w:tr>
      <w:tr w:rsidR="00335ABF" w:rsidRPr="004853D8" w14:paraId="3B98C58A" w14:textId="77777777" w:rsidTr="000C05A0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  <w:vAlign w:val="center"/>
          </w:tcPr>
          <w:p w14:paraId="7815E188" w14:textId="77777777" w:rsidR="00335ABF" w:rsidRPr="004853D8" w:rsidRDefault="00335ABF" w:rsidP="000C05A0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Metropolitan Atlanta Congenital Defects Program</w:t>
            </w:r>
          </w:p>
        </w:tc>
        <w:tc>
          <w:tcPr>
            <w:tcW w:w="4753" w:type="dxa"/>
          </w:tcPr>
          <w:p w14:paraId="7A7A298B" w14:textId="58327260" w:rsidR="00335ABF" w:rsidRPr="004853D8" w:rsidRDefault="00335ABF" w:rsidP="000C05A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817FB">
              <w:rPr>
                <w:rFonts w:ascii="Arial" w:hAnsi="Arial" w:cs="Arial"/>
              </w:rPr>
              <w:t>BPA codes modified by CDC</w:t>
            </w:r>
          </w:p>
        </w:tc>
      </w:tr>
      <w:tr w:rsidR="00335ABF" w:rsidRPr="004853D8" w14:paraId="3B259E06" w14:textId="77777777" w:rsidTr="000C0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  <w:vAlign w:val="center"/>
          </w:tcPr>
          <w:p w14:paraId="6EDF0557" w14:textId="77777777" w:rsidR="00335ABF" w:rsidRPr="009E3C7F" w:rsidRDefault="00335ABF" w:rsidP="000C05A0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 w:rsidRPr="001A4C62">
              <w:rPr>
                <w:rFonts w:ascii="Arial" w:hAnsi="Arial" w:cs="Arial"/>
                <w:b w:val="0"/>
                <w:bCs w:val="0"/>
              </w:rPr>
              <w:t>South Carolina Birth Defects Program</w:t>
            </w:r>
            <w:r>
              <w:rPr>
                <w:rFonts w:ascii="Arial" w:hAnsi="Arial" w:cs="Arial"/>
                <w:b w:val="0"/>
                <w:bCs w:val="0"/>
              </w:rPr>
              <w:t>/Greenwood Genetic Center</w:t>
            </w:r>
          </w:p>
        </w:tc>
        <w:tc>
          <w:tcPr>
            <w:tcW w:w="4753" w:type="dxa"/>
          </w:tcPr>
          <w:p w14:paraId="7CDCBC02" w14:textId="77777777" w:rsidR="00335ABF" w:rsidRPr="004853D8" w:rsidRDefault="00335ABF" w:rsidP="000C05A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ICD-9</w:t>
            </w:r>
            <w:r w:rsidRPr="002B1256">
              <w:rPr>
                <w:rFonts w:ascii="Arial" w:eastAsia="Times New Roman" w:hAnsi="Arial" w:cs="Arial"/>
                <w:color w:val="1C1D1E"/>
                <w:sz w:val="24"/>
                <w:szCs w:val="24"/>
                <w:vertAlign w:val="superscript"/>
              </w:rPr>
              <w:t>§</w:t>
            </w:r>
            <w:r>
              <w:rPr>
                <w:rFonts w:ascii="Arial" w:hAnsi="Arial" w:cs="Arial"/>
              </w:rPr>
              <w:t>, ICD-10</w:t>
            </w:r>
          </w:p>
        </w:tc>
      </w:tr>
      <w:tr w:rsidR="00335ABF" w:rsidRPr="004853D8" w14:paraId="6018DFED" w14:textId="77777777" w:rsidTr="000C05A0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  <w:vAlign w:val="center"/>
          </w:tcPr>
          <w:p w14:paraId="2D2C2B6A" w14:textId="77777777" w:rsidR="00335ABF" w:rsidRPr="009E3C7F" w:rsidRDefault="00335ABF" w:rsidP="000C05A0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 w:rsidRPr="00497003">
              <w:rPr>
                <w:rFonts w:ascii="Arial" w:hAnsi="Arial" w:cs="Arial"/>
                <w:b w:val="0"/>
                <w:bCs w:val="0"/>
              </w:rPr>
              <w:t>Texas Birth Defects Epidemiology and Surveillance Branch</w:t>
            </w:r>
          </w:p>
        </w:tc>
        <w:tc>
          <w:tcPr>
            <w:tcW w:w="4753" w:type="dxa"/>
          </w:tcPr>
          <w:p w14:paraId="128A562E" w14:textId="77777777" w:rsidR="00335ABF" w:rsidRPr="004853D8" w:rsidRDefault="00335ABF" w:rsidP="000C05A0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BPA codes modified by the Texas Birth Defects Epidemiology and Surveillance Branch</w:t>
            </w:r>
          </w:p>
        </w:tc>
      </w:tr>
      <w:tr w:rsidR="00335ABF" w:rsidRPr="004853D8" w14:paraId="144FA4E6" w14:textId="77777777" w:rsidTr="000C0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3" w:type="dxa"/>
            <w:vAlign w:val="center"/>
          </w:tcPr>
          <w:p w14:paraId="3553704C" w14:textId="77777777" w:rsidR="00335ABF" w:rsidRPr="009E3C7F" w:rsidRDefault="00335ABF" w:rsidP="000C05A0">
            <w:pPr>
              <w:spacing w:line="480" w:lineRule="auto"/>
              <w:rPr>
                <w:rFonts w:ascii="Arial" w:hAnsi="Arial" w:cs="Arial"/>
                <w:b w:val="0"/>
                <w:bCs w:val="0"/>
              </w:rPr>
            </w:pPr>
            <w:r w:rsidRPr="003911DB">
              <w:rPr>
                <w:rFonts w:ascii="Arial" w:hAnsi="Arial" w:cs="Arial"/>
                <w:b w:val="0"/>
                <w:bCs w:val="0"/>
              </w:rPr>
              <w:t>Utah Birth Defect Network</w:t>
            </w:r>
          </w:p>
        </w:tc>
        <w:tc>
          <w:tcPr>
            <w:tcW w:w="4753" w:type="dxa"/>
          </w:tcPr>
          <w:p w14:paraId="5D07EE59" w14:textId="77777777" w:rsidR="00335ABF" w:rsidRPr="004853D8" w:rsidRDefault="00335ABF" w:rsidP="000C05A0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BPA codes modified by the Utah Birth Defect Network</w:t>
            </w:r>
          </w:p>
        </w:tc>
      </w:tr>
    </w:tbl>
    <w:p w14:paraId="4E75D9DB" w14:textId="77777777" w:rsidR="00335ABF" w:rsidRDefault="00335ABF" w:rsidP="00335ABF">
      <w:pPr>
        <w:rPr>
          <w:rFonts w:ascii="Arial" w:eastAsia="Times New Roman" w:hAnsi="Arial" w:cs="Arial"/>
          <w:color w:val="1C1D1E"/>
        </w:rPr>
      </w:pPr>
      <w:bookmarkStart w:id="0" w:name="OLE_LINK12"/>
    </w:p>
    <w:p w14:paraId="1D048831" w14:textId="77777777" w:rsidR="007A6FD9" w:rsidRPr="002B1256" w:rsidRDefault="00335ABF" w:rsidP="007A6FD9">
      <w:pPr>
        <w:rPr>
          <w:rFonts w:ascii="Arial" w:hAnsi="Arial" w:cs="Arial"/>
        </w:rPr>
      </w:pPr>
      <w:r w:rsidRPr="002B1256">
        <w:rPr>
          <w:rFonts w:ascii="Arial" w:eastAsia="Times New Roman" w:hAnsi="Arial" w:cs="Arial"/>
          <w:color w:val="1C1D1E"/>
        </w:rPr>
        <w:t>†</w:t>
      </w:r>
      <w:bookmarkEnd w:id="0"/>
      <w:r w:rsidRPr="002B1256">
        <w:rPr>
          <w:rFonts w:ascii="Arial" w:eastAsia="Times New Roman" w:hAnsi="Arial" w:cs="Arial"/>
          <w:color w:val="1C1D1E"/>
        </w:rPr>
        <w:t xml:space="preserve"> </w:t>
      </w:r>
      <w:r w:rsidR="007A6FD9" w:rsidRPr="002B1256">
        <w:rPr>
          <w:rFonts w:ascii="Arial" w:eastAsia="Times New Roman" w:hAnsi="Arial" w:cs="Arial"/>
          <w:color w:val="1C1D1E"/>
        </w:rPr>
        <w:t>British Pediatric Association</w:t>
      </w:r>
      <w:r w:rsidR="007A6FD9">
        <w:rPr>
          <w:rFonts w:ascii="Arial" w:eastAsia="Times New Roman" w:hAnsi="Arial" w:cs="Arial"/>
          <w:color w:val="1C1D1E"/>
        </w:rPr>
        <w:t xml:space="preserve"> (BPA) classification of diseases</w:t>
      </w:r>
    </w:p>
    <w:p w14:paraId="43C08703" w14:textId="05FB3201" w:rsidR="00335ABF" w:rsidRPr="002B1256" w:rsidRDefault="00335ABF" w:rsidP="00335ABF">
      <w:pPr>
        <w:rPr>
          <w:rFonts w:ascii="Arial" w:hAnsi="Arial" w:cs="Arial"/>
        </w:rPr>
      </w:pPr>
      <w:r w:rsidRPr="002B1256">
        <w:rPr>
          <w:rFonts w:ascii="Arial" w:eastAsia="Times New Roman" w:hAnsi="Arial" w:cs="Arial"/>
          <w:color w:val="1C1D1E"/>
        </w:rPr>
        <w:t xml:space="preserve">‡ </w:t>
      </w:r>
      <w:r w:rsidR="007A6FD9" w:rsidRPr="002B1256">
        <w:rPr>
          <w:rFonts w:ascii="Arial" w:eastAsia="Times New Roman" w:hAnsi="Arial" w:cs="Arial"/>
          <w:color w:val="1C1D1E"/>
        </w:rPr>
        <w:t>Center for Disease Control and Prevention</w:t>
      </w:r>
      <w:r w:rsidR="007A6FD9">
        <w:rPr>
          <w:rFonts w:ascii="Arial" w:eastAsia="Times New Roman" w:hAnsi="Arial" w:cs="Arial"/>
          <w:color w:val="1C1D1E"/>
        </w:rPr>
        <w:t xml:space="preserve"> (CDC)</w:t>
      </w:r>
    </w:p>
    <w:p w14:paraId="4C085F59" w14:textId="77777777" w:rsidR="00335ABF" w:rsidRPr="00D72296" w:rsidRDefault="00335ABF" w:rsidP="00335ABF">
      <w:pPr>
        <w:rPr>
          <w:rFonts w:ascii="Arial" w:eastAsia="Times New Roman" w:hAnsi="Arial" w:cs="Arial"/>
          <w:color w:val="1C1D1E"/>
        </w:rPr>
      </w:pPr>
      <w:r w:rsidRPr="002B1256">
        <w:rPr>
          <w:rFonts w:ascii="Arial" w:eastAsia="Times New Roman" w:hAnsi="Arial" w:cs="Arial"/>
          <w:color w:val="1C1D1E"/>
        </w:rPr>
        <w:t>§ International Classification of Diseases</w:t>
      </w:r>
      <w:r>
        <w:rPr>
          <w:rFonts w:ascii="Arial" w:eastAsia="Times New Roman" w:hAnsi="Arial" w:cs="Arial"/>
          <w:color w:val="1C1D1E"/>
        </w:rPr>
        <w:t xml:space="preserve"> (ICD)</w:t>
      </w:r>
    </w:p>
    <w:p w14:paraId="783EAA54" w14:textId="77777777" w:rsidR="00335ABF" w:rsidRDefault="00335ABF" w:rsidP="00335ABF">
      <w:pPr>
        <w:rPr>
          <w:rFonts w:ascii="Arial" w:hAnsi="Arial" w:cs="Arial"/>
        </w:rPr>
      </w:pPr>
    </w:p>
    <w:p w14:paraId="17193FEB" w14:textId="77777777" w:rsidR="00335ABF" w:rsidRDefault="00335ABF" w:rsidP="00335ABF">
      <w:pPr>
        <w:rPr>
          <w:rFonts w:ascii="Arial" w:hAnsi="Arial" w:cs="Arial"/>
        </w:rPr>
      </w:pPr>
    </w:p>
    <w:p w14:paraId="3EB5E753" w14:textId="77777777" w:rsidR="00335ABF" w:rsidRDefault="00335ABF" w:rsidP="00335ABF">
      <w:pPr>
        <w:rPr>
          <w:rFonts w:ascii="Arial" w:hAnsi="Arial" w:cs="Arial"/>
        </w:rPr>
      </w:pPr>
    </w:p>
    <w:tbl>
      <w:tblPr>
        <w:tblStyle w:val="ListTable2-Accent31"/>
        <w:tblpPr w:leftFromText="180" w:rightFromText="180" w:vertAnchor="text" w:horzAnchor="margin" w:tblpY="823"/>
        <w:tblW w:w="47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20" w:firstRow="1" w:lastRow="0" w:firstColumn="0" w:lastColumn="0" w:noHBand="0" w:noVBand="1"/>
      </w:tblPr>
      <w:tblGrid>
        <w:gridCol w:w="1551"/>
        <w:gridCol w:w="2319"/>
        <w:gridCol w:w="2224"/>
        <w:gridCol w:w="2738"/>
      </w:tblGrid>
      <w:tr w:rsidR="00335ABF" w:rsidRPr="003E47C5" w14:paraId="5820A6F4" w14:textId="77777777" w:rsidTr="00801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vAlign w:val="center"/>
            <w:hideMark/>
          </w:tcPr>
          <w:p w14:paraId="63782388" w14:textId="77777777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lastRenderedPageBreak/>
              <w:t>Program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vAlign w:val="center"/>
            <w:hideMark/>
          </w:tcPr>
          <w:p w14:paraId="622F2F87" w14:textId="62BF7368" w:rsidR="00801E49" w:rsidRDefault="0094215C" w:rsidP="00801E49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All c</w:t>
            </w:r>
            <w:r w:rsidR="00335AB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ases</w:t>
            </w:r>
            <w:r w:rsidR="00801E49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12F80415" w14:textId="4414D25A" w:rsidR="00335ABF" w:rsidRPr="00D72296" w:rsidRDefault="00801E49" w:rsidP="00801E49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 w:rsidRPr="00801E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01E49">
              <w:rPr>
                <w:rFonts w:ascii="Arial" w:hAnsi="Arial" w:cs="Arial"/>
                <w:sz w:val="20"/>
                <w:szCs w:val="20"/>
              </w:rPr>
              <w:t>&gt;</w:t>
            </w:r>
            <w:r w:rsidR="00DB6FA5">
              <w:rPr>
                <w:rFonts w:ascii="Arial" w:hAnsi="Arial" w:cs="Arial"/>
                <w:sz w:val="20"/>
                <w:szCs w:val="20"/>
              </w:rPr>
              <w:t>20</w:t>
            </w:r>
            <w:r w:rsidRPr="00801E49">
              <w:rPr>
                <w:rFonts w:ascii="Arial" w:hAnsi="Arial" w:cs="Arial"/>
                <w:sz w:val="20"/>
                <w:szCs w:val="20"/>
              </w:rPr>
              <w:t xml:space="preserve"> weeks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1E49">
              <w:rPr>
                <w:rFonts w:ascii="Arial" w:hAnsi="Arial" w:cs="Arial"/>
                <w:sz w:val="20"/>
                <w:szCs w:val="20"/>
              </w:rPr>
              <w:t>gestation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vAlign w:val="center"/>
            <w:hideMark/>
          </w:tcPr>
          <w:p w14:paraId="0BFE4608" w14:textId="77777777" w:rsidR="00801E49" w:rsidRDefault="00335ABF" w:rsidP="000C05A0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Female live births</w:t>
            </w:r>
            <w:r w:rsidR="00801E49">
              <w:rPr>
                <w:rFonts w:ascii="Arial" w:eastAsia="Times New Roman" w:hAnsi="Arial" w:cs="Arial"/>
                <w:sz w:val="20"/>
                <w:szCs w:val="20"/>
              </w:rPr>
              <w:t>,</w:t>
            </w:r>
          </w:p>
          <w:p w14:paraId="4FC14DC7" w14:textId="0892767E" w:rsidR="00335ABF" w:rsidRPr="003E47C5" w:rsidRDefault="00801E49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1E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01E49">
              <w:rPr>
                <w:rFonts w:ascii="Arial" w:hAnsi="Arial" w:cs="Arial"/>
                <w:sz w:val="20"/>
                <w:szCs w:val="20"/>
              </w:rPr>
              <w:t>&gt;</w:t>
            </w:r>
            <w:r w:rsidR="00DB6FA5">
              <w:rPr>
                <w:rFonts w:ascii="Arial" w:hAnsi="Arial" w:cs="Arial"/>
                <w:sz w:val="20"/>
                <w:szCs w:val="20"/>
              </w:rPr>
              <w:t>20</w:t>
            </w:r>
            <w:r w:rsidRPr="00801E49">
              <w:rPr>
                <w:rFonts w:ascii="Arial" w:hAnsi="Arial" w:cs="Arial"/>
                <w:sz w:val="20"/>
                <w:szCs w:val="20"/>
              </w:rPr>
              <w:t xml:space="preserve"> weeks gestation</w:t>
            </w:r>
            <w:r w:rsidR="00135A29" w:rsidRPr="00801E49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  <w:vAlign w:val="center"/>
          </w:tcPr>
          <w:p w14:paraId="45D1B551" w14:textId="77777777" w:rsidR="00335ABF" w:rsidRDefault="00335ABF" w:rsidP="000C05A0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Prevalence per</w:t>
            </w:r>
          </w:p>
          <w:p w14:paraId="1925BF17" w14:textId="77777777" w:rsidR="00335ABF" w:rsidRPr="00581EA1" w:rsidRDefault="00335ABF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10,000 live births</w:t>
            </w:r>
          </w:p>
        </w:tc>
      </w:tr>
      <w:tr w:rsidR="00335ABF" w:rsidRPr="003E47C5" w14:paraId="0C9B686D" w14:textId="77777777" w:rsidTr="00801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77B1B10F" w14:textId="33F528E7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Utah</w:t>
            </w:r>
            <w:r w:rsidR="00DE3A2F" w:rsidRPr="002B1256">
              <w:rPr>
                <w:rFonts w:ascii="Arial" w:eastAsia="Times New Roman" w:hAnsi="Arial" w:cs="Arial"/>
                <w:color w:val="1C1D1E"/>
                <w:sz w:val="21"/>
                <w:szCs w:val="21"/>
                <w:vertAlign w:val="superscript"/>
              </w:rPr>
              <w:t>†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76E28528" w14:textId="6479FD70" w:rsidR="00335ABF" w:rsidRPr="003E47C5" w:rsidRDefault="00DE0A4D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78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6B1B4158" w14:textId="3F17B918" w:rsidR="00335ABF" w:rsidRPr="003E47C5" w:rsidRDefault="00F60C5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228,</w:t>
            </w:r>
            <w:r w:rsidR="00802758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6</w:t>
            </w:r>
            <w:r w:rsidR="00424E5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35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0FA6C9E1" w14:textId="4527B5CB" w:rsidR="00335ABF" w:rsidRPr="003E47C5" w:rsidRDefault="00DE0A4D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3.4</w:t>
            </w:r>
            <w:r w:rsidR="00335ABF"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2.7-4.3</w:t>
            </w:r>
            <w:r w:rsidR="00335ABF"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  <w:r w:rsidR="00335AB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</w:tr>
      <w:tr w:rsidR="00335ABF" w:rsidRPr="003E47C5" w14:paraId="02820DA8" w14:textId="77777777" w:rsidTr="00801E49">
        <w:trPr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4101CD1A" w14:textId="77777777" w:rsidR="00335ABF" w:rsidRPr="001407F5" w:rsidRDefault="00335ABF" w:rsidP="000C05A0">
            <w:pPr>
              <w:spacing w:line="480" w:lineRule="auto"/>
              <w:rPr>
                <w:rFonts w:ascii="Arial" w:eastAsia="Times New Roman" w:hAnsi="Arial" w:cs="Arial"/>
                <w:color w:val="1C1D1E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Massachusetts</w:t>
            </w:r>
            <w:r w:rsidRPr="00D6195C">
              <w:rPr>
                <w:rFonts w:ascii="Arial" w:eastAsia="Times New Roman" w:hAnsi="Arial" w:cs="Arial"/>
                <w:color w:val="1C1D1E"/>
                <w:sz w:val="20"/>
                <w:szCs w:val="20"/>
              </w:rPr>
              <w:t xml:space="preserve"> 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7D263E6D" w14:textId="2BD8205B" w:rsidR="00335ABF" w:rsidRPr="003E47C5" w:rsidRDefault="0075609C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41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</w:tcPr>
          <w:p w14:paraId="3F35CF96" w14:textId="0333FD1A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245,</w:t>
            </w:r>
            <w:r w:rsidR="0075609C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321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0E698E3A" w14:textId="156005A0" w:rsidR="00335ABF" w:rsidRPr="003E47C5" w:rsidRDefault="00E74B07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1.7</w:t>
            </w:r>
            <w:r w:rsidR="00335AB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(1.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2-2.3</w:t>
            </w:r>
            <w:r w:rsidR="00335AB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) </w:t>
            </w:r>
          </w:p>
        </w:tc>
      </w:tr>
      <w:tr w:rsidR="00335ABF" w:rsidRPr="003E47C5" w14:paraId="57255A30" w14:textId="77777777" w:rsidTr="00801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52529D8D" w14:textId="77777777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California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46731AEB" w14:textId="348FCA74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="00407BEC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48DC7B0B" w14:textId="641A7A8E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399,</w:t>
            </w:r>
            <w:r w:rsidR="00407BEC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301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4D692E63" w14:textId="28243ACF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1.</w:t>
            </w:r>
            <w:r w:rsidR="00750F0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4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1.1-1.</w:t>
            </w:r>
            <w:r w:rsidR="007207F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8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</w:tr>
      <w:tr w:rsidR="00335ABF" w:rsidRPr="003E47C5" w14:paraId="2BD7FA38" w14:textId="77777777" w:rsidTr="00801E49">
        <w:trPr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4F01D58D" w14:textId="4F993AF6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MACDP</w:t>
            </w:r>
            <w:r w:rsidR="00DE3A2F" w:rsidRPr="00DE3A2F">
              <w:rPr>
                <w:rFonts w:ascii="Arial" w:eastAsia="Times New Roman" w:hAnsi="Arial" w:cs="Arial"/>
                <w:color w:val="1C1D1E"/>
                <w:vertAlign w:val="superscript"/>
              </w:rPr>
              <w:t>‡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146A7491" w14:textId="2A9F735D" w:rsidR="00335ABF" w:rsidRPr="003E47C5" w:rsidRDefault="008D52E7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89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53069932" w14:textId="798D503C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32</w:t>
            </w:r>
            <w:r w:rsidR="008D52E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8,865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3F2FE7AF" w14:textId="54AD3898" w:rsidR="00335ABF" w:rsidRPr="003E47C5" w:rsidRDefault="00BE5054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2.7</w:t>
            </w:r>
            <w:r w:rsidR="00335AB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(2.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  <w:r w:rsidR="00335AB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-3.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</w:t>
            </w:r>
            <w:r w:rsidR="00335ABF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</w:tr>
      <w:tr w:rsidR="00335ABF" w:rsidRPr="003E47C5" w14:paraId="12D5B261" w14:textId="77777777" w:rsidTr="00801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17A7016D" w14:textId="77777777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Arkansas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7CEE6638" w14:textId="256B17FF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="00750F0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60D47850" w14:textId="3A17B6E4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320,</w:t>
            </w:r>
            <w:r w:rsidR="00750F0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599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52188C93" w14:textId="5CDD63EC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1.</w:t>
            </w:r>
            <w:r w:rsidR="00750F0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6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1.</w:t>
            </w:r>
            <w:r w:rsidR="00750F0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-2.</w:t>
            </w:r>
            <w:r w:rsidR="00750F0B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</w:tr>
      <w:tr w:rsidR="00335ABF" w:rsidRPr="003E47C5" w14:paraId="206DC9F9" w14:textId="77777777" w:rsidTr="00801E49">
        <w:trPr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2B28F7F3" w14:textId="77777777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Texas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5DBCEE68" w14:textId="52BBF9E3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7</w:t>
            </w:r>
            <w:r w:rsidR="00696DD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04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3412F069" w14:textId="4A8103D8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3,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46</w:t>
            </w:r>
            <w:r w:rsidR="00696DD7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1,429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559DC3CF" w14:textId="612F7286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2.</w:t>
            </w:r>
            <w:r w:rsidR="003421D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</w:t>
            </w:r>
            <w:r w:rsidR="003421D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1.9-2.2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</w:tr>
      <w:tr w:rsidR="00335ABF" w:rsidRPr="003E47C5" w14:paraId="73AA595F" w14:textId="77777777" w:rsidTr="00801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2EEA0CE8" w14:textId="77777777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South Carolina</w:t>
            </w:r>
          </w:p>
        </w:tc>
        <w:tc>
          <w:tcPr>
            <w:tcW w:w="1313" w:type="pct"/>
            <w:tcBorders>
              <w:bottom w:val="single" w:sz="4" w:space="0" w:color="C9C9C9" w:themeColor="accent3" w:themeTint="99"/>
            </w:tcBorders>
            <w:hideMark/>
          </w:tcPr>
          <w:p w14:paraId="63FDE3A4" w14:textId="719F629C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</w:t>
            </w:r>
            <w:r w:rsidR="00E1462E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1259" w:type="pct"/>
            <w:tcBorders>
              <w:bottom w:val="single" w:sz="4" w:space="0" w:color="C9C9C9" w:themeColor="accent3" w:themeTint="99"/>
            </w:tcBorders>
            <w:hideMark/>
          </w:tcPr>
          <w:p w14:paraId="1E12EFBC" w14:textId="5FBE3D19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474,</w:t>
            </w:r>
            <w:r w:rsidR="00E1462E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771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5783BB03" w14:textId="0BE03257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</w:t>
            </w:r>
            <w:r w:rsidR="00E1462E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3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0.2-0.</w:t>
            </w:r>
            <w:r w:rsidR="00E1462E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</w:tr>
      <w:tr w:rsidR="00335ABF" w:rsidRPr="003E47C5" w14:paraId="480AFE84" w14:textId="77777777" w:rsidTr="00801E49">
        <w:trPr>
          <w:trHeight w:val="612"/>
        </w:trPr>
        <w:tc>
          <w:tcPr>
            <w:tcW w:w="877" w:type="pct"/>
            <w:tcBorders>
              <w:top w:val="single" w:sz="4" w:space="0" w:color="C9C9C9" w:themeColor="accent3" w:themeTint="99"/>
              <w:left w:val="nil"/>
              <w:bottom w:val="single" w:sz="4" w:space="0" w:color="C9C9C9" w:themeColor="accent3" w:themeTint="99"/>
            </w:tcBorders>
            <w:hideMark/>
          </w:tcPr>
          <w:p w14:paraId="6933984E" w14:textId="77777777" w:rsidR="00335ABF" w:rsidRPr="003E47C5" w:rsidRDefault="00335ABF" w:rsidP="000C05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E47C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Total</w:t>
            </w:r>
          </w:p>
        </w:tc>
        <w:tc>
          <w:tcPr>
            <w:tcW w:w="1313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7B66DFD8" w14:textId="4FAFDDB4" w:rsidR="00335ABF" w:rsidRPr="003E47C5" w:rsidRDefault="00DB6FA5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1,129</w:t>
            </w:r>
          </w:p>
        </w:tc>
        <w:tc>
          <w:tcPr>
            <w:tcW w:w="1259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</w:tcBorders>
            <w:hideMark/>
          </w:tcPr>
          <w:p w14:paraId="34A656CF" w14:textId="41F91740" w:rsidR="00335ABF" w:rsidRPr="003E47C5" w:rsidRDefault="00DB6FA5" w:rsidP="000C05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5,458,939</w:t>
            </w:r>
          </w:p>
        </w:tc>
        <w:tc>
          <w:tcPr>
            <w:tcW w:w="1550" w:type="pct"/>
            <w:tcBorders>
              <w:top w:val="single" w:sz="4" w:space="0" w:color="C9C9C9" w:themeColor="accent3" w:themeTint="99"/>
              <w:bottom w:val="single" w:sz="4" w:space="0" w:color="C9C9C9" w:themeColor="accent3" w:themeTint="99"/>
              <w:right w:val="nil"/>
            </w:tcBorders>
          </w:tcPr>
          <w:p w14:paraId="6C5D080E" w14:textId="3BE20A51" w:rsidR="00335ABF" w:rsidRPr="003E47C5" w:rsidRDefault="00335ABF" w:rsidP="000C05A0">
            <w:pPr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2.</w:t>
            </w:r>
            <w:r w:rsidR="00DB6FA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 xml:space="preserve"> (2.</w:t>
            </w:r>
            <w:r w:rsidR="00DB6FA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-2.</w:t>
            </w:r>
            <w:r w:rsidR="00DB6FA5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</w:tr>
    </w:tbl>
    <w:p w14:paraId="68D2EA7D" w14:textId="13902DD4" w:rsidR="00335ABF" w:rsidRDefault="00335ABF" w:rsidP="00335ABF">
      <w:pPr>
        <w:rPr>
          <w:rFonts w:ascii="Arial" w:hAnsi="Arial" w:cs="Arial"/>
        </w:rPr>
      </w:pPr>
      <w:r w:rsidRPr="004853D8">
        <w:rPr>
          <w:rFonts w:ascii="Arial" w:hAnsi="Arial" w:cs="Arial"/>
        </w:rPr>
        <w:t xml:space="preserve"> Supplemen</w:t>
      </w:r>
      <w:r>
        <w:rPr>
          <w:rFonts w:ascii="Arial" w:hAnsi="Arial" w:cs="Arial"/>
        </w:rPr>
        <w:t>t</w:t>
      </w:r>
      <w:r w:rsidRPr="004853D8">
        <w:rPr>
          <w:rFonts w:ascii="Arial" w:hAnsi="Arial" w:cs="Arial"/>
        </w:rPr>
        <w:t xml:space="preserve">ary Table </w:t>
      </w:r>
      <w:r>
        <w:rPr>
          <w:rFonts w:ascii="Arial" w:hAnsi="Arial" w:cs="Arial"/>
        </w:rPr>
        <w:t>2. Prevalence of Turner syndrome cases &gt;</w:t>
      </w:r>
      <w:r w:rsidR="00DB6FA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weeks gestational age</w:t>
      </w:r>
    </w:p>
    <w:p w14:paraId="7E7AA3C2" w14:textId="77777777" w:rsidR="00335ABF" w:rsidRDefault="00335ABF" w:rsidP="00335ABF">
      <w:pPr>
        <w:rPr>
          <w:rFonts w:ascii="Arial" w:hAnsi="Arial" w:cs="Arial"/>
        </w:rPr>
      </w:pPr>
    </w:p>
    <w:p w14:paraId="41E94E53" w14:textId="77777777" w:rsidR="00335ABF" w:rsidRDefault="00335ABF" w:rsidP="00335ABF">
      <w:pPr>
        <w:spacing w:after="0" w:line="480" w:lineRule="auto"/>
        <w:rPr>
          <w:rFonts w:ascii="Arial" w:hAnsi="Arial" w:cs="Arial"/>
          <w:color w:val="1C1D1E"/>
          <w:sz w:val="20"/>
          <w:szCs w:val="20"/>
          <w:shd w:val="clear" w:color="auto" w:fill="FFFFFF"/>
        </w:rPr>
      </w:pPr>
    </w:p>
    <w:p w14:paraId="41A2B11C" w14:textId="254F8F7F" w:rsidR="00DE3A2F" w:rsidRDefault="00335ABF" w:rsidP="00335ABF">
      <w:pPr>
        <w:spacing w:after="0" w:line="480" w:lineRule="auto"/>
        <w:rPr>
          <w:rFonts w:ascii="Arial" w:eastAsia="Times New Roman" w:hAnsi="Arial" w:cs="Arial"/>
          <w:color w:val="1C1D1E"/>
        </w:rPr>
      </w:pPr>
      <w:r w:rsidRPr="00724A0F">
        <w:rPr>
          <w:rFonts w:ascii="Arial" w:hAnsi="Arial" w:cs="Arial"/>
          <w:color w:val="1C1D1E"/>
          <w:shd w:val="clear" w:color="auto" w:fill="FFFFFF"/>
        </w:rPr>
        <w:t>†</w:t>
      </w:r>
      <w:r w:rsidRPr="00724A0F">
        <w:rPr>
          <w:rFonts w:ascii="Arial" w:eastAsia="Times New Roman" w:hAnsi="Arial" w:cs="Arial"/>
          <w:color w:val="1C1D1E"/>
        </w:rPr>
        <w:t xml:space="preserve"> </w:t>
      </w:r>
      <w:r w:rsidR="00AC7A46">
        <w:rPr>
          <w:rFonts w:ascii="Arial" w:eastAsia="Times New Roman" w:hAnsi="Arial" w:cs="Arial"/>
          <w:color w:val="1C1D1E"/>
        </w:rPr>
        <w:t>Gestational</w:t>
      </w:r>
      <w:r w:rsidR="008B53B7">
        <w:rPr>
          <w:rFonts w:ascii="Arial" w:eastAsia="Times New Roman" w:hAnsi="Arial" w:cs="Arial"/>
          <w:color w:val="1C1D1E"/>
        </w:rPr>
        <w:t xml:space="preserve"> age data was not available</w:t>
      </w:r>
      <w:r w:rsidR="00AC7A46">
        <w:rPr>
          <w:rFonts w:ascii="Arial" w:eastAsia="Times New Roman" w:hAnsi="Arial" w:cs="Arial"/>
          <w:color w:val="1C1D1E"/>
        </w:rPr>
        <w:t xml:space="preserve"> in Utah</w:t>
      </w:r>
      <w:r w:rsidR="008B53B7">
        <w:rPr>
          <w:rFonts w:ascii="Arial" w:eastAsia="Times New Roman" w:hAnsi="Arial" w:cs="Arial"/>
          <w:color w:val="1C1D1E"/>
        </w:rPr>
        <w:t xml:space="preserve"> for years prior to 2009. Thus, </w:t>
      </w:r>
      <w:r w:rsidR="001E771D">
        <w:rPr>
          <w:rFonts w:ascii="Arial" w:eastAsia="Times New Roman" w:hAnsi="Arial" w:cs="Arial"/>
          <w:color w:val="1C1D1E"/>
        </w:rPr>
        <w:t xml:space="preserve">for this analysis, </w:t>
      </w:r>
      <w:r w:rsidR="008B53B7">
        <w:rPr>
          <w:rFonts w:ascii="Arial" w:eastAsia="Times New Roman" w:hAnsi="Arial" w:cs="Arial"/>
          <w:color w:val="1C1D1E"/>
        </w:rPr>
        <w:t xml:space="preserve">the </w:t>
      </w:r>
      <w:r w:rsidR="00DE3A2F">
        <w:rPr>
          <w:rFonts w:ascii="Arial" w:eastAsia="Times New Roman" w:hAnsi="Arial" w:cs="Arial"/>
          <w:color w:val="1C1D1E"/>
        </w:rPr>
        <w:t xml:space="preserve">data </w:t>
      </w:r>
      <w:r w:rsidR="001E771D">
        <w:rPr>
          <w:rFonts w:ascii="Arial" w:eastAsia="Times New Roman" w:hAnsi="Arial" w:cs="Arial"/>
          <w:color w:val="1C1D1E"/>
        </w:rPr>
        <w:t xml:space="preserve">for this program </w:t>
      </w:r>
      <w:r w:rsidR="00DE3A2F">
        <w:rPr>
          <w:rFonts w:ascii="Arial" w:eastAsia="Times New Roman" w:hAnsi="Arial" w:cs="Arial"/>
          <w:color w:val="1C1D1E"/>
        </w:rPr>
        <w:t>represents years 2009 to 2017</w:t>
      </w:r>
      <w:r w:rsidR="001E771D">
        <w:rPr>
          <w:rFonts w:ascii="Arial" w:eastAsia="Times New Roman" w:hAnsi="Arial" w:cs="Arial"/>
          <w:color w:val="1C1D1E"/>
        </w:rPr>
        <w:t>.</w:t>
      </w:r>
    </w:p>
    <w:p w14:paraId="2E6EA1F1" w14:textId="2A3A533E" w:rsidR="00335ABF" w:rsidRPr="00724A0F" w:rsidRDefault="00DE3A2F" w:rsidP="00335ABF">
      <w:pPr>
        <w:spacing w:after="0" w:line="480" w:lineRule="auto"/>
        <w:rPr>
          <w:rFonts w:ascii="Arial" w:eastAsia="Times New Roman" w:hAnsi="Arial" w:cs="Arial"/>
          <w:color w:val="1C1D1E"/>
        </w:rPr>
      </w:pPr>
      <w:r w:rsidRPr="002B1256">
        <w:rPr>
          <w:rFonts w:ascii="Arial" w:eastAsia="Times New Roman" w:hAnsi="Arial" w:cs="Arial"/>
          <w:color w:val="1C1D1E"/>
        </w:rPr>
        <w:t>‡</w:t>
      </w:r>
      <w:r>
        <w:rPr>
          <w:rFonts w:ascii="Arial" w:eastAsia="Times New Roman" w:hAnsi="Arial" w:cs="Arial"/>
          <w:color w:val="1C1D1E"/>
        </w:rPr>
        <w:t xml:space="preserve"> </w:t>
      </w:r>
      <w:r w:rsidR="00335ABF" w:rsidRPr="00724A0F">
        <w:rPr>
          <w:rFonts w:ascii="Arial" w:eastAsia="Times New Roman" w:hAnsi="Arial" w:cs="Arial"/>
          <w:color w:val="1C1D1E"/>
        </w:rPr>
        <w:t>Metropolitan Atlanta Congenital Defects Program</w:t>
      </w:r>
    </w:p>
    <w:p w14:paraId="65476195" w14:textId="495C24C5" w:rsidR="00335ABF" w:rsidRDefault="00335ABF" w:rsidP="00335ABF">
      <w:pPr>
        <w:rPr>
          <w:rFonts w:ascii="Arial" w:hAnsi="Arial" w:cs="Arial"/>
        </w:rPr>
      </w:pPr>
      <w:r w:rsidRPr="00BA101A">
        <w:rPr>
          <w:rFonts w:ascii="Arial" w:hAnsi="Arial" w:cs="Arial"/>
        </w:rPr>
        <w:t xml:space="preserve"> </w:t>
      </w:r>
    </w:p>
    <w:p w14:paraId="6EFB665E" w14:textId="77777777" w:rsidR="00335ABF" w:rsidRDefault="00335A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19FF18" w14:textId="3A76C121" w:rsidR="00335ABF" w:rsidRPr="00CD4365" w:rsidRDefault="007E3635" w:rsidP="00335ABF">
      <w:pPr>
        <w:rPr>
          <w:rFonts w:ascii="Arial" w:eastAsia="Times New Roman" w:hAnsi="Arial" w:cs="Arial"/>
          <w:color w:val="1C1D1E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FBF8D35" wp14:editId="6EF34D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2670810"/>
            <wp:effectExtent l="0" t="0" r="0" b="0"/>
            <wp:wrapSquare wrapText="bothSides"/>
            <wp:docPr id="2" name="Picture 2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DCEDFB" w14:textId="6010816D" w:rsidR="000461AF" w:rsidRPr="00905565" w:rsidRDefault="000461AF" w:rsidP="000461AF"/>
    <w:p w14:paraId="53A29B90" w14:textId="77777777" w:rsidR="000461AF" w:rsidRPr="00422BF7" w:rsidRDefault="000461AF" w:rsidP="000461AF">
      <w:pPr>
        <w:spacing w:line="480" w:lineRule="auto"/>
        <w:rPr>
          <w:rFonts w:ascii="Arial" w:hAnsi="Arial" w:cs="Arial"/>
        </w:rPr>
      </w:pPr>
      <w:r w:rsidRPr="00422BF7">
        <w:rPr>
          <w:rFonts w:ascii="Arial" w:hAnsi="Arial" w:cs="Arial"/>
        </w:rPr>
        <w:t xml:space="preserve">Supplementary Figure </w:t>
      </w:r>
      <w:r>
        <w:rPr>
          <w:rFonts w:ascii="Arial" w:hAnsi="Arial" w:cs="Arial"/>
        </w:rPr>
        <w:t>1</w:t>
      </w:r>
      <w:r w:rsidRPr="00422BF7">
        <w:rPr>
          <w:rFonts w:ascii="Arial" w:hAnsi="Arial" w:cs="Arial"/>
        </w:rPr>
        <w:t>. Leave-one-out sensitivity analysis of the crude prevalence of Turner syndrome. The x-axis represents the log of the prevalence estimate, while the estimates in the left-hand table are the raw values.</w:t>
      </w:r>
      <w:r>
        <w:rPr>
          <w:rFonts w:ascii="Arial" w:hAnsi="Arial" w:cs="Arial"/>
        </w:rPr>
        <w:t xml:space="preserve"> Each row indicates the prevalence estimate resulting from removal of data from that respective program. MACDP = Metropolitan Atlanta Congenital Defects Program.</w:t>
      </w:r>
    </w:p>
    <w:p w14:paraId="2036B3F0" w14:textId="77777777" w:rsidR="000461AF" w:rsidRDefault="000461AF" w:rsidP="000461AF">
      <w:r>
        <w:br w:type="page"/>
      </w:r>
    </w:p>
    <w:p w14:paraId="6DA1C2BF" w14:textId="77777777" w:rsidR="000461AF" w:rsidRDefault="000461AF" w:rsidP="000461AF"/>
    <w:p w14:paraId="71B8FAF1" w14:textId="77777777" w:rsidR="000461AF" w:rsidRDefault="000461AF" w:rsidP="000461AF">
      <w:r>
        <w:rPr>
          <w:noProof/>
        </w:rPr>
        <w:drawing>
          <wp:inline distT="0" distB="0" distL="0" distR="0" wp14:anchorId="72034952" wp14:editId="0320BA17">
            <wp:extent cx="5943600" cy="2750185"/>
            <wp:effectExtent l="0" t="0" r="0" b="0"/>
            <wp:docPr id="10" name="Picture 10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061">
        <w:t xml:space="preserve"> </w:t>
      </w:r>
      <w:r w:rsidRPr="001F5751">
        <w:t xml:space="preserve"> </w:t>
      </w:r>
    </w:p>
    <w:p w14:paraId="607FDC92" w14:textId="77777777" w:rsidR="000461AF" w:rsidRDefault="000461AF" w:rsidP="000461AF">
      <w:pPr>
        <w:rPr>
          <w:rFonts w:ascii="Arial" w:hAnsi="Arial" w:cs="Arial"/>
        </w:rPr>
      </w:pPr>
    </w:p>
    <w:p w14:paraId="243DB1F8" w14:textId="77777777" w:rsidR="000461AF" w:rsidRPr="008409EE" w:rsidRDefault="000461AF" w:rsidP="000461AF">
      <w:pPr>
        <w:spacing w:line="480" w:lineRule="auto"/>
        <w:rPr>
          <w:rFonts w:ascii="Arial" w:hAnsi="Arial" w:cs="Arial"/>
        </w:rPr>
      </w:pPr>
      <w:r w:rsidRPr="008409EE">
        <w:rPr>
          <w:rFonts w:ascii="Arial" w:hAnsi="Arial" w:cs="Arial"/>
        </w:rPr>
        <w:t xml:space="preserve">Supplementary Figure </w:t>
      </w:r>
      <w:r>
        <w:rPr>
          <w:rFonts w:ascii="Arial" w:hAnsi="Arial" w:cs="Arial"/>
        </w:rPr>
        <w:t>2</w:t>
      </w:r>
      <w:r w:rsidRPr="008409EE">
        <w:rPr>
          <w:rFonts w:ascii="Arial" w:hAnsi="Arial" w:cs="Arial"/>
        </w:rPr>
        <w:t xml:space="preserve">. One-year survival by karyotype of individuals with (A) Turner syndrome and (B) Turner syndrome without hypoplastic left-heart (non-HLH). “Other” includes Turner syndrome </w:t>
      </w:r>
      <w:r>
        <w:rPr>
          <w:rFonts w:ascii="Arial" w:hAnsi="Arial" w:cs="Arial"/>
        </w:rPr>
        <w:t xml:space="preserve">cases with rare karyotypes and cases </w:t>
      </w:r>
      <w:r w:rsidRPr="008409EE">
        <w:rPr>
          <w:rFonts w:ascii="Arial" w:hAnsi="Arial" w:cs="Arial"/>
        </w:rPr>
        <w:t>not otherwise specified. “Structural abnormalities” include 46,XX,del(Xp22.3), 46,X,r(X)/46,XX, 46,X, i(Xq), and 46,X, idic(Xp). “Mosaics” include 45,X/46,XX</w:t>
      </w:r>
      <w:r>
        <w:rPr>
          <w:rFonts w:ascii="Arial" w:hAnsi="Arial" w:cs="Arial"/>
        </w:rPr>
        <w:t>;</w:t>
      </w:r>
      <w:r w:rsidRPr="008409EE">
        <w:rPr>
          <w:rFonts w:ascii="Arial" w:hAnsi="Arial" w:cs="Arial"/>
        </w:rPr>
        <w:t xml:space="preserve"> 45,X/47,XXX</w:t>
      </w:r>
      <w:r>
        <w:rPr>
          <w:rFonts w:ascii="Arial" w:hAnsi="Arial" w:cs="Arial"/>
        </w:rPr>
        <w:t>;</w:t>
      </w:r>
      <w:r w:rsidRPr="008409EE">
        <w:rPr>
          <w:rFonts w:ascii="Arial" w:hAnsi="Arial" w:cs="Arial"/>
        </w:rPr>
        <w:t xml:space="preserve"> 45,X/46,XX/47,XXX</w:t>
      </w:r>
      <w:r>
        <w:rPr>
          <w:rFonts w:ascii="Arial" w:hAnsi="Arial" w:cs="Arial"/>
        </w:rPr>
        <w:t>; and 45,X/46,XY.</w:t>
      </w:r>
    </w:p>
    <w:p w14:paraId="6DE14444" w14:textId="77777777" w:rsidR="000461AF" w:rsidRDefault="000461AF" w:rsidP="000461AF"/>
    <w:p w14:paraId="7604E859" w14:textId="77777777" w:rsidR="000461AF" w:rsidRDefault="000461AF" w:rsidP="000461AF"/>
    <w:p w14:paraId="3552A414" w14:textId="77777777" w:rsidR="000461AF" w:rsidRDefault="000461AF" w:rsidP="000461AF"/>
    <w:p w14:paraId="3E6D75F2" w14:textId="77777777" w:rsidR="000461AF" w:rsidRDefault="000461AF" w:rsidP="000461AF"/>
    <w:p w14:paraId="0852A739" w14:textId="77777777" w:rsidR="000461AF" w:rsidRDefault="000461AF" w:rsidP="000461AF"/>
    <w:p w14:paraId="65E5F52B" w14:textId="77777777" w:rsidR="000461AF" w:rsidRDefault="000461AF" w:rsidP="000461AF"/>
    <w:p w14:paraId="41FB6D0E" w14:textId="77777777" w:rsidR="000461AF" w:rsidRDefault="000461AF" w:rsidP="000461AF"/>
    <w:p w14:paraId="65938448" w14:textId="77777777" w:rsidR="000461AF" w:rsidRDefault="000461AF" w:rsidP="000461AF">
      <w:r>
        <w:br w:type="page"/>
      </w:r>
    </w:p>
    <w:p w14:paraId="6746A1F5" w14:textId="77777777" w:rsidR="000461AF" w:rsidRDefault="000461AF" w:rsidP="000461A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98FBC08" wp14:editId="3A2D30D0">
            <wp:simplePos x="0" y="0"/>
            <wp:positionH relativeFrom="column">
              <wp:posOffset>708660</wp:posOffset>
            </wp:positionH>
            <wp:positionV relativeFrom="paragraph">
              <wp:posOffset>0</wp:posOffset>
            </wp:positionV>
            <wp:extent cx="4030980" cy="3263265"/>
            <wp:effectExtent l="0" t="0" r="7620" b="0"/>
            <wp:wrapSquare wrapText="bothSides"/>
            <wp:docPr id="8" name="Picture 8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0321C" w14:textId="77777777" w:rsidR="000461AF" w:rsidRDefault="000461AF" w:rsidP="000461AF"/>
    <w:p w14:paraId="374F2A8C" w14:textId="77777777" w:rsidR="000461AF" w:rsidRDefault="000461AF" w:rsidP="000461AF">
      <w:r w:rsidRPr="008D5445">
        <w:t xml:space="preserve"> </w:t>
      </w:r>
    </w:p>
    <w:p w14:paraId="7320168C" w14:textId="77777777" w:rsidR="000461AF" w:rsidRDefault="000461AF" w:rsidP="000461AF"/>
    <w:p w14:paraId="310DE2F6" w14:textId="77777777" w:rsidR="000461AF" w:rsidRDefault="000461AF" w:rsidP="000461AF"/>
    <w:p w14:paraId="7CC8B2A2" w14:textId="77777777" w:rsidR="000461AF" w:rsidRDefault="000461AF" w:rsidP="000461AF"/>
    <w:p w14:paraId="3A79E4B1" w14:textId="77777777" w:rsidR="000461AF" w:rsidRDefault="000461AF" w:rsidP="000461AF"/>
    <w:p w14:paraId="71472D3E" w14:textId="77777777" w:rsidR="000461AF" w:rsidRDefault="000461AF" w:rsidP="000461AF"/>
    <w:p w14:paraId="529FA6A6" w14:textId="77777777" w:rsidR="000461AF" w:rsidRDefault="000461AF" w:rsidP="000461AF">
      <w:pPr>
        <w:rPr>
          <w:rFonts w:ascii="Arial" w:hAnsi="Arial" w:cs="Arial"/>
        </w:rPr>
      </w:pPr>
    </w:p>
    <w:p w14:paraId="51C90359" w14:textId="77777777" w:rsidR="000461AF" w:rsidRDefault="000461AF" w:rsidP="000461AF">
      <w:pPr>
        <w:rPr>
          <w:rFonts w:ascii="Arial" w:hAnsi="Arial" w:cs="Arial"/>
        </w:rPr>
      </w:pPr>
    </w:p>
    <w:p w14:paraId="27924D64" w14:textId="77777777" w:rsidR="000461AF" w:rsidRDefault="000461AF" w:rsidP="000461AF">
      <w:pPr>
        <w:rPr>
          <w:rFonts w:ascii="Arial" w:hAnsi="Arial" w:cs="Arial"/>
        </w:rPr>
      </w:pPr>
    </w:p>
    <w:p w14:paraId="32AFC9EC" w14:textId="77777777" w:rsidR="000461AF" w:rsidRDefault="000461AF" w:rsidP="000461AF">
      <w:pPr>
        <w:rPr>
          <w:rFonts w:ascii="Arial" w:hAnsi="Arial" w:cs="Arial"/>
        </w:rPr>
      </w:pPr>
    </w:p>
    <w:p w14:paraId="1CE23F59" w14:textId="77777777" w:rsidR="000461AF" w:rsidRDefault="000461AF" w:rsidP="000461AF">
      <w:pPr>
        <w:rPr>
          <w:rFonts w:ascii="Arial" w:hAnsi="Arial" w:cs="Arial"/>
        </w:rPr>
      </w:pPr>
    </w:p>
    <w:p w14:paraId="2EA5004A" w14:textId="77777777" w:rsidR="000461AF" w:rsidRDefault="000461AF" w:rsidP="000461A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B664FD" wp14:editId="5A4D3E69">
            <wp:simplePos x="0" y="0"/>
            <wp:positionH relativeFrom="column">
              <wp:posOffset>756285</wp:posOffset>
            </wp:positionH>
            <wp:positionV relativeFrom="paragraph">
              <wp:posOffset>35560</wp:posOffset>
            </wp:positionV>
            <wp:extent cx="3936162" cy="3264408"/>
            <wp:effectExtent l="0" t="0" r="7620" b="0"/>
            <wp:wrapSquare wrapText="bothSides"/>
            <wp:docPr id="11" name="Picture 1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162" cy="326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8F140" w14:textId="77777777" w:rsidR="000461AF" w:rsidRDefault="000461AF" w:rsidP="000461AF">
      <w:pPr>
        <w:rPr>
          <w:rFonts w:ascii="Arial" w:hAnsi="Arial" w:cs="Arial"/>
        </w:rPr>
      </w:pPr>
    </w:p>
    <w:p w14:paraId="711BD9F9" w14:textId="77777777" w:rsidR="000461AF" w:rsidRDefault="000461AF" w:rsidP="000461AF">
      <w:pPr>
        <w:rPr>
          <w:rFonts w:ascii="Arial" w:hAnsi="Arial" w:cs="Arial"/>
        </w:rPr>
      </w:pPr>
    </w:p>
    <w:p w14:paraId="5486085D" w14:textId="77777777" w:rsidR="000461AF" w:rsidRDefault="000461AF" w:rsidP="000461AF">
      <w:pPr>
        <w:rPr>
          <w:rFonts w:ascii="Arial" w:hAnsi="Arial" w:cs="Arial"/>
        </w:rPr>
      </w:pPr>
    </w:p>
    <w:p w14:paraId="34FBA8A2" w14:textId="77777777" w:rsidR="000461AF" w:rsidRDefault="000461AF" w:rsidP="000461AF">
      <w:pPr>
        <w:rPr>
          <w:rFonts w:ascii="Arial" w:hAnsi="Arial" w:cs="Arial"/>
        </w:rPr>
      </w:pPr>
    </w:p>
    <w:p w14:paraId="35812851" w14:textId="77777777" w:rsidR="000461AF" w:rsidRDefault="000461AF" w:rsidP="000461AF">
      <w:pPr>
        <w:rPr>
          <w:rFonts w:ascii="Arial" w:hAnsi="Arial" w:cs="Arial"/>
        </w:rPr>
      </w:pPr>
    </w:p>
    <w:p w14:paraId="36F4809F" w14:textId="77777777" w:rsidR="000461AF" w:rsidRDefault="000461AF" w:rsidP="000461AF">
      <w:pPr>
        <w:rPr>
          <w:rFonts w:ascii="Arial" w:hAnsi="Arial" w:cs="Arial"/>
        </w:rPr>
      </w:pPr>
    </w:p>
    <w:p w14:paraId="5CF71B64" w14:textId="77777777" w:rsidR="000461AF" w:rsidRDefault="000461AF" w:rsidP="000461AF">
      <w:pPr>
        <w:rPr>
          <w:rFonts w:ascii="Arial" w:hAnsi="Arial" w:cs="Arial"/>
        </w:rPr>
      </w:pPr>
    </w:p>
    <w:p w14:paraId="0EE2BE0C" w14:textId="77777777" w:rsidR="000461AF" w:rsidRDefault="000461AF" w:rsidP="000461AF">
      <w:pPr>
        <w:rPr>
          <w:rFonts w:ascii="Arial" w:hAnsi="Arial" w:cs="Arial"/>
        </w:rPr>
      </w:pPr>
    </w:p>
    <w:p w14:paraId="2BA1895C" w14:textId="77777777" w:rsidR="000461AF" w:rsidRDefault="000461AF" w:rsidP="000461AF">
      <w:pPr>
        <w:rPr>
          <w:rFonts w:ascii="Arial" w:hAnsi="Arial" w:cs="Arial"/>
        </w:rPr>
      </w:pPr>
    </w:p>
    <w:p w14:paraId="6F1F4E55" w14:textId="77777777" w:rsidR="000461AF" w:rsidRDefault="000461AF" w:rsidP="000461AF">
      <w:pPr>
        <w:rPr>
          <w:rFonts w:ascii="Arial" w:hAnsi="Arial" w:cs="Arial"/>
        </w:rPr>
      </w:pPr>
    </w:p>
    <w:p w14:paraId="1F0D10C3" w14:textId="77777777" w:rsidR="000461AF" w:rsidRDefault="000461AF" w:rsidP="000461AF">
      <w:pPr>
        <w:rPr>
          <w:rFonts w:ascii="Arial" w:hAnsi="Arial" w:cs="Arial"/>
        </w:rPr>
      </w:pPr>
    </w:p>
    <w:p w14:paraId="5348C24F" w14:textId="77777777" w:rsidR="000461AF" w:rsidRDefault="000461AF" w:rsidP="000461AF">
      <w:pPr>
        <w:rPr>
          <w:rFonts w:ascii="Arial" w:hAnsi="Arial" w:cs="Arial"/>
        </w:rPr>
      </w:pPr>
    </w:p>
    <w:p w14:paraId="295336C1" w14:textId="42F4FB83" w:rsidR="000461AF" w:rsidRPr="00F81E85" w:rsidRDefault="000461AF" w:rsidP="000461AF">
      <w:pPr>
        <w:spacing w:line="480" w:lineRule="auto"/>
        <w:rPr>
          <w:rFonts w:ascii="Arial" w:hAnsi="Arial" w:cs="Arial"/>
        </w:rPr>
      </w:pPr>
      <w:r w:rsidRPr="008409EE">
        <w:rPr>
          <w:rFonts w:ascii="Arial" w:hAnsi="Arial" w:cs="Arial"/>
        </w:rPr>
        <w:t xml:space="preserve">Supplementary Figure </w:t>
      </w:r>
      <w:r>
        <w:rPr>
          <w:rFonts w:ascii="Arial" w:hAnsi="Arial" w:cs="Arial"/>
        </w:rPr>
        <w:t>3</w:t>
      </w:r>
      <w:r w:rsidRPr="008409EE">
        <w:rPr>
          <w:rFonts w:ascii="Arial" w:hAnsi="Arial" w:cs="Arial"/>
        </w:rPr>
        <w:t>. One-year survival by maternal race</w:t>
      </w:r>
      <w:r w:rsidR="001801FA">
        <w:rPr>
          <w:rFonts w:ascii="Arial" w:hAnsi="Arial" w:cs="Arial"/>
        </w:rPr>
        <w:t xml:space="preserve"> and </w:t>
      </w:r>
      <w:r w:rsidRPr="008409EE">
        <w:rPr>
          <w:rFonts w:ascii="Arial" w:hAnsi="Arial" w:cs="Arial"/>
        </w:rPr>
        <w:t>ethnicity of individuals with (A) Turner syndrome and (B) Turner syndrome without hypoplastic left-heart (non-HLH).</w:t>
      </w:r>
    </w:p>
    <w:p w14:paraId="78684CB9" w14:textId="77777777" w:rsidR="000461AF" w:rsidRDefault="000461AF" w:rsidP="000461AF"/>
    <w:p w14:paraId="54544167" w14:textId="77777777" w:rsidR="000461AF" w:rsidRDefault="000461AF" w:rsidP="000461AF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0602FC3" wp14:editId="65154213">
            <wp:simplePos x="0" y="0"/>
            <wp:positionH relativeFrom="column">
              <wp:posOffset>91440</wp:posOffset>
            </wp:positionH>
            <wp:positionV relativeFrom="paragraph">
              <wp:posOffset>23495</wp:posOffset>
            </wp:positionV>
            <wp:extent cx="5943600" cy="3335020"/>
            <wp:effectExtent l="0" t="0" r="0" b="0"/>
            <wp:wrapTopAndBottom/>
            <wp:docPr id="17" name="Picture 17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ab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FA1A67" w14:textId="2698B4BD" w:rsidR="008C7478" w:rsidRPr="00620BEB" w:rsidRDefault="000461AF" w:rsidP="00620BEB">
      <w:pPr>
        <w:spacing w:line="480" w:lineRule="auto"/>
        <w:rPr>
          <w:rFonts w:ascii="Arial" w:hAnsi="Arial" w:cs="Arial"/>
        </w:rPr>
      </w:pPr>
      <w:r w:rsidRPr="008409EE">
        <w:rPr>
          <w:rFonts w:ascii="Arial" w:hAnsi="Arial" w:cs="Arial"/>
        </w:rPr>
        <w:t xml:space="preserve">Supplementary Figure </w:t>
      </w:r>
      <w:r>
        <w:rPr>
          <w:rFonts w:ascii="Arial" w:hAnsi="Arial" w:cs="Arial"/>
        </w:rPr>
        <w:t>4</w:t>
      </w:r>
      <w:r w:rsidRPr="008409EE">
        <w:rPr>
          <w:rFonts w:ascii="Arial" w:hAnsi="Arial" w:cs="Arial"/>
        </w:rPr>
        <w:t>. One-year survival by year of delivery</w:t>
      </w:r>
      <w:r>
        <w:rPr>
          <w:rFonts w:ascii="Arial" w:hAnsi="Arial" w:cs="Arial"/>
        </w:rPr>
        <w:t xml:space="preserve"> category</w:t>
      </w:r>
      <w:r w:rsidRPr="008409EE">
        <w:rPr>
          <w:rFonts w:ascii="Arial" w:hAnsi="Arial" w:cs="Arial"/>
        </w:rPr>
        <w:t xml:space="preserve"> of individuals with (A) Turner syndrome and (B) Turner syndrome without hypoplastic left-heart (non-HLH).</w:t>
      </w:r>
    </w:p>
    <w:sectPr w:rsidR="008C7478" w:rsidRPr="00620BEB" w:rsidSect="00A955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E405" w14:textId="77777777" w:rsidR="009A0195" w:rsidRDefault="009A0195">
      <w:pPr>
        <w:spacing w:after="0" w:line="240" w:lineRule="auto"/>
      </w:pPr>
      <w:r>
        <w:separator/>
      </w:r>
    </w:p>
  </w:endnote>
  <w:endnote w:type="continuationSeparator" w:id="0">
    <w:p w14:paraId="72113310" w14:textId="77777777" w:rsidR="009A0195" w:rsidRDefault="009A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4556" w14:textId="77777777" w:rsidR="00B07A4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A1CA" w14:textId="77777777" w:rsidR="009C6D1D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6D1F" w14:textId="77777777" w:rsidR="00B07A4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D07B" w14:textId="77777777" w:rsidR="009A0195" w:rsidRDefault="009A0195">
      <w:pPr>
        <w:spacing w:after="0" w:line="240" w:lineRule="auto"/>
      </w:pPr>
      <w:r>
        <w:separator/>
      </w:r>
    </w:p>
  </w:footnote>
  <w:footnote w:type="continuationSeparator" w:id="0">
    <w:p w14:paraId="5C2A5015" w14:textId="77777777" w:rsidR="009A0195" w:rsidRDefault="009A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CC7" w14:textId="77777777" w:rsidR="00B07A4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CC77" w14:textId="77777777" w:rsidR="009C6D1D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8C0E" w14:textId="77777777" w:rsidR="00B07A4D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AF"/>
    <w:rsid w:val="000461AF"/>
    <w:rsid w:val="000E5BC3"/>
    <w:rsid w:val="00135A29"/>
    <w:rsid w:val="001548E9"/>
    <w:rsid w:val="00157FE9"/>
    <w:rsid w:val="001801FA"/>
    <w:rsid w:val="001E771D"/>
    <w:rsid w:val="002B423E"/>
    <w:rsid w:val="002C2E50"/>
    <w:rsid w:val="00335ABF"/>
    <w:rsid w:val="003421D5"/>
    <w:rsid w:val="00407BEC"/>
    <w:rsid w:val="00424E59"/>
    <w:rsid w:val="004C182E"/>
    <w:rsid w:val="004E28B2"/>
    <w:rsid w:val="00620BEB"/>
    <w:rsid w:val="006407B3"/>
    <w:rsid w:val="00696DD7"/>
    <w:rsid w:val="00712988"/>
    <w:rsid w:val="007207F7"/>
    <w:rsid w:val="00750F0B"/>
    <w:rsid w:val="0075609C"/>
    <w:rsid w:val="007A6FD9"/>
    <w:rsid w:val="007E3635"/>
    <w:rsid w:val="00801E49"/>
    <w:rsid w:val="00802758"/>
    <w:rsid w:val="008325B7"/>
    <w:rsid w:val="008B53B7"/>
    <w:rsid w:val="008C7478"/>
    <w:rsid w:val="008D52E7"/>
    <w:rsid w:val="00930228"/>
    <w:rsid w:val="0094215C"/>
    <w:rsid w:val="00964709"/>
    <w:rsid w:val="009A0195"/>
    <w:rsid w:val="009E0102"/>
    <w:rsid w:val="00A0430F"/>
    <w:rsid w:val="00AC7A46"/>
    <w:rsid w:val="00B96813"/>
    <w:rsid w:val="00BE5054"/>
    <w:rsid w:val="00C43F46"/>
    <w:rsid w:val="00CB1893"/>
    <w:rsid w:val="00CB55A5"/>
    <w:rsid w:val="00CC29EF"/>
    <w:rsid w:val="00D3263A"/>
    <w:rsid w:val="00DB6FA5"/>
    <w:rsid w:val="00DC2394"/>
    <w:rsid w:val="00DE0A4D"/>
    <w:rsid w:val="00DE3A2F"/>
    <w:rsid w:val="00DF0E1E"/>
    <w:rsid w:val="00E1462E"/>
    <w:rsid w:val="00E30309"/>
    <w:rsid w:val="00E74B07"/>
    <w:rsid w:val="00F10BA6"/>
    <w:rsid w:val="00F353DA"/>
    <w:rsid w:val="00F60C5F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8CDA"/>
  <w15:chartTrackingRefBased/>
  <w15:docId w15:val="{8215C2F7-705A-428D-A1EC-6421BF4D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1AF"/>
  </w:style>
  <w:style w:type="paragraph" w:styleId="Footer">
    <w:name w:val="footer"/>
    <w:basedOn w:val="Normal"/>
    <w:link w:val="FooterChar"/>
    <w:uiPriority w:val="99"/>
    <w:unhideWhenUsed/>
    <w:rsid w:val="00046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1AF"/>
  </w:style>
  <w:style w:type="table" w:customStyle="1" w:styleId="ListTable2-Accent31">
    <w:name w:val="List Table 2 - Accent 31"/>
    <w:basedOn w:val="TableNormal"/>
    <w:uiPriority w:val="47"/>
    <w:rsid w:val="00335AB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DB6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Martin-Giacalone</dc:creator>
  <cp:keywords/>
  <dc:description/>
  <cp:lastModifiedBy>Bailey Martin-Giacalone</cp:lastModifiedBy>
  <cp:revision>3</cp:revision>
  <dcterms:created xsi:type="dcterms:W3CDTF">2023-02-02T20:15:00Z</dcterms:created>
  <dcterms:modified xsi:type="dcterms:W3CDTF">2023-02-02T20:15:00Z</dcterms:modified>
</cp:coreProperties>
</file>