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8A" w:rsidRPr="004C1B79" w:rsidRDefault="005D1116" w:rsidP="004C1B79">
      <w:pPr>
        <w:spacing w:after="0" w:line="240" w:lineRule="auto"/>
        <w:contextualSpacing/>
        <w:rPr>
          <w:rFonts w:ascii="Times New Roman" w:eastAsia="Times New Roman" w:hAnsi="Times New Roman" w:cs="Times New Roman"/>
          <w:bCs/>
          <w:sz w:val="24"/>
          <w:szCs w:val="24"/>
        </w:rPr>
      </w:pPr>
      <w:r w:rsidRPr="004C1B79">
        <w:rPr>
          <w:rFonts w:ascii="Times New Roman" w:hAnsi="Times New Roman" w:cs="Times New Roman"/>
          <w:sz w:val="24"/>
          <w:szCs w:val="24"/>
        </w:rPr>
        <w:t>Supplementary T</w:t>
      </w:r>
      <w:r w:rsidR="00AC0E8A" w:rsidRPr="004C1B79">
        <w:rPr>
          <w:rFonts w:ascii="Times New Roman" w:hAnsi="Times New Roman" w:cs="Times New Roman"/>
          <w:sz w:val="24"/>
          <w:szCs w:val="24"/>
        </w:rPr>
        <w:t xml:space="preserve">able </w:t>
      </w:r>
      <w:r w:rsidRPr="004C1B79">
        <w:rPr>
          <w:rFonts w:ascii="Times New Roman" w:hAnsi="Times New Roman" w:cs="Times New Roman"/>
          <w:sz w:val="24"/>
          <w:szCs w:val="24"/>
        </w:rPr>
        <w:t>1</w:t>
      </w:r>
      <w:r w:rsidR="00AC0E8A" w:rsidRPr="004C1B79">
        <w:rPr>
          <w:rFonts w:ascii="Times New Roman" w:hAnsi="Times New Roman" w:cs="Times New Roman"/>
          <w:sz w:val="24"/>
          <w:szCs w:val="24"/>
        </w:rPr>
        <w:t xml:space="preserve">. Odds </w:t>
      </w:r>
      <w:proofErr w:type="spellStart"/>
      <w:r w:rsidR="00AC0E8A" w:rsidRPr="004C1B79">
        <w:rPr>
          <w:rFonts w:ascii="Times New Roman" w:hAnsi="Times New Roman" w:cs="Times New Roman"/>
          <w:sz w:val="24"/>
          <w:szCs w:val="24"/>
        </w:rPr>
        <w:t>ratios</w:t>
      </w:r>
      <w:r w:rsidR="004C1B79" w:rsidRPr="004C1B79">
        <w:rPr>
          <w:rFonts w:ascii="Times New Roman" w:hAnsi="Times New Roman" w:cs="Times New Roman"/>
          <w:sz w:val="24"/>
          <w:szCs w:val="24"/>
          <w:vertAlign w:val="superscript"/>
        </w:rPr>
        <w:t>a</w:t>
      </w:r>
      <w:proofErr w:type="spellEnd"/>
      <w:r w:rsidR="00AC0E8A" w:rsidRPr="004C1B79">
        <w:rPr>
          <w:rFonts w:ascii="Times New Roman" w:hAnsi="Times New Roman" w:cs="Times New Roman"/>
          <w:sz w:val="24"/>
          <w:szCs w:val="24"/>
        </w:rPr>
        <w:t xml:space="preserve"> for associations between </w:t>
      </w:r>
      <w:proofErr w:type="spellStart"/>
      <w:r w:rsidR="00AC0E8A" w:rsidRPr="004C1B79">
        <w:rPr>
          <w:rFonts w:ascii="Times New Roman" w:hAnsi="Times New Roman" w:cs="Times New Roman"/>
          <w:sz w:val="24"/>
          <w:szCs w:val="24"/>
        </w:rPr>
        <w:t>periconceptional</w:t>
      </w:r>
      <w:proofErr w:type="spellEnd"/>
      <w:r w:rsidR="00AC0E8A" w:rsidRPr="004C1B79">
        <w:rPr>
          <w:rFonts w:ascii="Times New Roman" w:hAnsi="Times New Roman" w:cs="Times New Roman"/>
          <w:sz w:val="24"/>
          <w:szCs w:val="24"/>
        </w:rPr>
        <w:t xml:space="preserve"> use of maternal thyroid hormone and birth defects</w:t>
      </w:r>
      <w:r w:rsidR="004C1B79" w:rsidRPr="004C1B79">
        <w:t xml:space="preserve"> </w:t>
      </w:r>
      <w:r w:rsidR="004C1B79" w:rsidRPr="004C1B79">
        <w:rPr>
          <w:rFonts w:ascii="Times New Roman" w:hAnsi="Times New Roman" w:cs="Times New Roman"/>
          <w:sz w:val="24"/>
          <w:szCs w:val="24"/>
        </w:rPr>
        <w:t xml:space="preserve">by time </w:t>
      </w:r>
      <w:proofErr w:type="spellStart"/>
      <w:r w:rsidR="004C1B79" w:rsidRPr="004C1B79">
        <w:rPr>
          <w:rFonts w:ascii="Times New Roman" w:hAnsi="Times New Roman" w:cs="Times New Roman"/>
          <w:sz w:val="24"/>
          <w:szCs w:val="24"/>
        </w:rPr>
        <w:t>period</w:t>
      </w:r>
      <w:r w:rsidR="004C1B79" w:rsidRPr="004C1B79">
        <w:rPr>
          <w:rFonts w:ascii="Times New Roman" w:hAnsi="Times New Roman" w:cs="Times New Roman"/>
          <w:sz w:val="24"/>
          <w:szCs w:val="24"/>
          <w:vertAlign w:val="superscript"/>
        </w:rPr>
        <w:t>b</w:t>
      </w:r>
      <w:proofErr w:type="spellEnd"/>
      <w:r w:rsidR="00AC0E8A" w:rsidRPr="004C1B79">
        <w:rPr>
          <w:rFonts w:ascii="Times New Roman" w:hAnsi="Times New Roman" w:cs="Times New Roman"/>
          <w:sz w:val="24"/>
          <w:szCs w:val="24"/>
        </w:rPr>
        <w:t xml:space="preserve">, </w:t>
      </w:r>
      <w:r w:rsidRPr="004C1B79">
        <w:rPr>
          <w:rFonts w:ascii="Times New Roman" w:hAnsi="Times New Roman" w:cs="Times New Roman"/>
          <w:sz w:val="24"/>
          <w:szCs w:val="24"/>
        </w:rPr>
        <w:t>1997–2004 and 2005–2011</w:t>
      </w:r>
      <w:r w:rsidR="00AC0E8A" w:rsidRPr="004C1B79">
        <w:rPr>
          <w:rFonts w:ascii="Times New Roman" w:hAnsi="Times New Roman" w:cs="Times New Roman"/>
          <w:sz w:val="24"/>
          <w:szCs w:val="24"/>
        </w:rPr>
        <w:t xml:space="preserve"> </w:t>
      </w:r>
    </w:p>
    <w:tbl>
      <w:tblPr>
        <w:tblW w:w="10435" w:type="dxa"/>
        <w:jc w:val="center"/>
        <w:tblBorders>
          <w:top w:val="single" w:sz="12" w:space="0" w:color="000000"/>
          <w:bottom w:val="single" w:sz="12" w:space="0" w:color="000000"/>
        </w:tblBorders>
        <w:tblLayout w:type="fixed"/>
        <w:tblLook w:val="0000" w:firstRow="0" w:lastRow="0" w:firstColumn="0" w:lastColumn="0" w:noHBand="0" w:noVBand="0"/>
      </w:tblPr>
      <w:tblGrid>
        <w:gridCol w:w="3510"/>
        <w:gridCol w:w="1710"/>
        <w:gridCol w:w="1980"/>
        <w:gridCol w:w="1350"/>
        <w:gridCol w:w="1885"/>
      </w:tblGrid>
      <w:tr w:rsidR="00AC0E8A" w:rsidRPr="004C1B79" w:rsidTr="00993D85">
        <w:trPr>
          <w:jc w:val="center"/>
        </w:trPr>
        <w:tc>
          <w:tcPr>
            <w:tcW w:w="3510" w:type="dxa"/>
            <w:vMerge w:val="restart"/>
            <w:tcBorders>
              <w:top w:val="single" w:sz="4" w:space="0" w:color="auto"/>
              <w:left w:val="nil"/>
              <w:right w:val="nil"/>
            </w:tcBorders>
          </w:tcPr>
          <w:p w:rsidR="00AC0E8A" w:rsidRPr="004C1B79" w:rsidRDefault="00AC0E8A" w:rsidP="004C1B79">
            <w:pPr>
              <w:pStyle w:val="Title"/>
              <w:contextualSpacing/>
            </w:pPr>
          </w:p>
          <w:p w:rsidR="00AC0E8A" w:rsidRPr="004C1B79" w:rsidRDefault="00AC0E8A" w:rsidP="004C1B79">
            <w:pPr>
              <w:pStyle w:val="Title"/>
              <w:contextualSpacing/>
            </w:pPr>
            <w:r w:rsidRPr="004C1B79">
              <w:t>Birth Defect</w:t>
            </w:r>
          </w:p>
        </w:tc>
        <w:tc>
          <w:tcPr>
            <w:tcW w:w="3690" w:type="dxa"/>
            <w:gridSpan w:val="2"/>
            <w:tcBorders>
              <w:top w:val="single" w:sz="4" w:space="0" w:color="auto"/>
              <w:left w:val="nil"/>
              <w:bottom w:val="single" w:sz="4" w:space="0" w:color="auto"/>
              <w:right w:val="single" w:sz="4" w:space="0" w:color="auto"/>
            </w:tcBorders>
            <w:shd w:val="clear" w:color="auto" w:fill="auto"/>
            <w:vAlign w:val="center"/>
          </w:tcPr>
          <w:p w:rsidR="00AC0E8A" w:rsidRPr="004C1B79" w:rsidRDefault="005D1116" w:rsidP="004C1B79">
            <w:pPr>
              <w:pStyle w:val="Title"/>
              <w:contextualSpacing/>
              <w:rPr>
                <w:b w:val="0"/>
              </w:rPr>
            </w:pPr>
            <w:r w:rsidRPr="004C1B79">
              <w:t>1997–2004</w:t>
            </w:r>
            <w:r w:rsidR="004C1B79" w:rsidRPr="004C1B79">
              <w:rPr>
                <w:b w:val="0"/>
                <w:vertAlign w:val="superscript"/>
              </w:rPr>
              <w:t>c</w:t>
            </w:r>
          </w:p>
        </w:tc>
        <w:tc>
          <w:tcPr>
            <w:tcW w:w="3235" w:type="dxa"/>
            <w:gridSpan w:val="2"/>
            <w:tcBorders>
              <w:top w:val="single" w:sz="4" w:space="0" w:color="auto"/>
              <w:left w:val="single" w:sz="4" w:space="0" w:color="auto"/>
              <w:bottom w:val="single" w:sz="4" w:space="0" w:color="auto"/>
              <w:right w:val="nil"/>
            </w:tcBorders>
            <w:vAlign w:val="center"/>
          </w:tcPr>
          <w:p w:rsidR="00AC0E8A" w:rsidRPr="004C1B79" w:rsidRDefault="005D1116" w:rsidP="004C1B79">
            <w:pPr>
              <w:pStyle w:val="Title"/>
              <w:contextualSpacing/>
            </w:pPr>
            <w:r w:rsidRPr="004C1B79">
              <w:t>2005–2011</w:t>
            </w:r>
            <w:r w:rsidR="004C1B79" w:rsidRPr="004C1B79">
              <w:rPr>
                <w:b w:val="0"/>
                <w:vertAlign w:val="superscript"/>
              </w:rPr>
              <w:t>d</w:t>
            </w:r>
          </w:p>
        </w:tc>
      </w:tr>
      <w:tr w:rsidR="00AC0E8A" w:rsidRPr="004C1B79" w:rsidTr="004C1B79">
        <w:trPr>
          <w:jc w:val="center"/>
        </w:trPr>
        <w:tc>
          <w:tcPr>
            <w:tcW w:w="3510" w:type="dxa"/>
            <w:vMerge/>
            <w:tcBorders>
              <w:left w:val="nil"/>
              <w:bottom w:val="single" w:sz="4" w:space="0" w:color="auto"/>
              <w:right w:val="nil"/>
            </w:tcBorders>
          </w:tcPr>
          <w:p w:rsidR="00AC0E8A" w:rsidRPr="004C1B79" w:rsidRDefault="00AC0E8A" w:rsidP="004C1B79">
            <w:pPr>
              <w:pStyle w:val="Title"/>
              <w:contextualSpacing/>
            </w:pPr>
          </w:p>
        </w:tc>
        <w:tc>
          <w:tcPr>
            <w:tcW w:w="1710" w:type="dxa"/>
            <w:tcBorders>
              <w:top w:val="single" w:sz="4" w:space="0" w:color="auto"/>
              <w:left w:val="nil"/>
              <w:bottom w:val="single" w:sz="4" w:space="0" w:color="auto"/>
              <w:right w:val="nil"/>
            </w:tcBorders>
            <w:shd w:val="clear" w:color="auto" w:fill="auto"/>
            <w:vAlign w:val="center"/>
          </w:tcPr>
          <w:p w:rsidR="00AC0E8A" w:rsidRPr="004C1B79" w:rsidRDefault="00AC0E8A" w:rsidP="004C1B79">
            <w:pPr>
              <w:pStyle w:val="Title"/>
              <w:contextualSpacing/>
            </w:pPr>
            <w:r w:rsidRPr="004C1B79">
              <w:t>Exposed/ Unexposed</w:t>
            </w:r>
          </w:p>
        </w:tc>
        <w:tc>
          <w:tcPr>
            <w:tcW w:w="1980" w:type="dxa"/>
            <w:tcBorders>
              <w:top w:val="single" w:sz="4" w:space="0" w:color="auto"/>
              <w:left w:val="nil"/>
              <w:bottom w:val="single" w:sz="4" w:space="0" w:color="auto"/>
              <w:right w:val="single" w:sz="4" w:space="0" w:color="auto"/>
            </w:tcBorders>
            <w:shd w:val="clear" w:color="auto" w:fill="auto"/>
            <w:vAlign w:val="center"/>
          </w:tcPr>
          <w:p w:rsidR="00AC0E8A" w:rsidRPr="004C1B79" w:rsidRDefault="00AC0E8A" w:rsidP="004C1B79">
            <w:pPr>
              <w:pStyle w:val="Title"/>
              <w:contextualSpacing/>
              <w:rPr>
                <w:b w:val="0"/>
                <w:vertAlign w:val="superscript"/>
              </w:rPr>
            </w:pPr>
            <w:r w:rsidRPr="004C1B79">
              <w:t>OR (95% CI)</w:t>
            </w:r>
          </w:p>
        </w:tc>
        <w:tc>
          <w:tcPr>
            <w:tcW w:w="1350" w:type="dxa"/>
            <w:tcBorders>
              <w:top w:val="single" w:sz="4" w:space="0" w:color="auto"/>
              <w:left w:val="single" w:sz="4" w:space="0" w:color="auto"/>
              <w:bottom w:val="single" w:sz="4" w:space="0" w:color="auto"/>
              <w:right w:val="nil"/>
            </w:tcBorders>
            <w:vAlign w:val="center"/>
          </w:tcPr>
          <w:p w:rsidR="00AC0E8A" w:rsidRPr="004C1B79" w:rsidRDefault="00AC0E8A" w:rsidP="004C1B79">
            <w:pPr>
              <w:pStyle w:val="Title"/>
              <w:contextualSpacing/>
            </w:pPr>
            <w:r w:rsidRPr="004C1B79">
              <w:t>Exposed/ Unexposed</w:t>
            </w:r>
          </w:p>
        </w:tc>
        <w:tc>
          <w:tcPr>
            <w:tcW w:w="1885" w:type="dxa"/>
            <w:tcBorders>
              <w:top w:val="single" w:sz="4" w:space="0" w:color="auto"/>
              <w:left w:val="nil"/>
              <w:bottom w:val="single" w:sz="4" w:space="0" w:color="auto"/>
              <w:right w:val="nil"/>
            </w:tcBorders>
            <w:vAlign w:val="center"/>
          </w:tcPr>
          <w:p w:rsidR="00AC0E8A" w:rsidRPr="004C1B79" w:rsidRDefault="00AC0E8A" w:rsidP="004C1B79">
            <w:pPr>
              <w:pStyle w:val="Title"/>
              <w:contextualSpacing/>
              <w:rPr>
                <w:vertAlign w:val="superscript"/>
              </w:rPr>
            </w:pPr>
            <w:r w:rsidRPr="004C1B79">
              <w:t>OR (95% CI)</w:t>
            </w:r>
          </w:p>
        </w:tc>
      </w:tr>
      <w:tr w:rsidR="004C1B79" w:rsidRPr="004C1B79" w:rsidTr="00632D4B">
        <w:trPr>
          <w:jc w:val="center"/>
        </w:trPr>
        <w:tc>
          <w:tcPr>
            <w:tcW w:w="3510" w:type="dxa"/>
            <w:tcBorders>
              <w:top w:val="single" w:sz="4" w:space="0" w:color="auto"/>
              <w:left w:val="nil"/>
              <w:bottom w:val="nil"/>
              <w:right w:val="nil"/>
            </w:tcBorders>
            <w:vAlign w:val="center"/>
          </w:tcPr>
          <w:p w:rsidR="004C1B79" w:rsidRPr="004C1B79" w:rsidRDefault="004C1B79" w:rsidP="004C1B79">
            <w:pPr>
              <w:pStyle w:val="Title"/>
              <w:contextualSpacing/>
              <w:jc w:val="left"/>
              <w:rPr>
                <w:b w:val="0"/>
              </w:rPr>
            </w:pPr>
            <w:r w:rsidRPr="004C1B79">
              <w:rPr>
                <w:b w:val="0"/>
              </w:rPr>
              <w:t>Amniotic band sequence</w:t>
            </w:r>
          </w:p>
        </w:tc>
        <w:tc>
          <w:tcPr>
            <w:tcW w:w="1710" w:type="dxa"/>
            <w:tcBorders>
              <w:top w:val="single" w:sz="4" w:space="0" w:color="auto"/>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1/180</w:t>
            </w:r>
          </w:p>
        </w:tc>
        <w:tc>
          <w:tcPr>
            <w:tcW w:w="1980" w:type="dxa"/>
            <w:tcBorders>
              <w:top w:val="single" w:sz="4" w:space="0" w:color="auto"/>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single" w:sz="4" w:space="0" w:color="auto"/>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2/150</w:t>
            </w:r>
          </w:p>
        </w:tc>
        <w:tc>
          <w:tcPr>
            <w:tcW w:w="1885" w:type="dxa"/>
            <w:tcBorders>
              <w:top w:val="single" w:sz="4" w:space="0" w:color="auto"/>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Central nervous system</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Anencephaly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4/297</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0.82 (0.27, 2.19)</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15/320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2.27 (1.29, 3.99)</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lang w:val="fr-FR"/>
              </w:rPr>
            </w:pPr>
            <w:r w:rsidRPr="004C1B79">
              <w:rPr>
                <w:b w:val="0"/>
                <w:lang w:val="fr-FR"/>
              </w:rPr>
              <w:t xml:space="preserve">     Spina bifida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11/621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1.15 (0.61, 2.17)</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14/617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0.96 (0.55, 1.68)</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lang w:val="fr-FR"/>
              </w:rPr>
            </w:pPr>
            <w:r w:rsidRPr="004C1B79">
              <w:rPr>
                <w:b w:val="0"/>
                <w:lang w:val="fr-FR"/>
              </w:rPr>
              <w:t xml:space="preserve">     </w:t>
            </w:r>
            <w:proofErr w:type="spellStart"/>
            <w:r w:rsidRPr="004C1B79">
              <w:rPr>
                <w:b w:val="0"/>
                <w:lang w:val="fr-FR"/>
              </w:rPr>
              <w:t>Encephalocele</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2/113</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1/107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Holoprosencephaly</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3/72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2.53 (0.50, 7.92)</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4/93</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1.67 (0.44, 4.52)</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Dandy-Walker malformation</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3/84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2.17 (0.43, 6.75)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3/94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1.24 (0.25, 3.82)</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Hydrocephaly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11/252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2.85 (1.49, 5.43)</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6/240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1.03 (0.45, 2.38)</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Cerebellar hypoplasia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0/14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0/47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Eye</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Anophthalmia/microphthalmia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2/126</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2/101</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Congenital cataracts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sz w:val="24"/>
                <w:szCs w:val="24"/>
              </w:rPr>
            </w:pPr>
            <w:r w:rsidRPr="004C1B79">
              <w:rPr>
                <w:rFonts w:ascii="Times New Roman" w:hAnsi="Times New Roman" w:cs="Times New Roman"/>
                <w:sz w:val="24"/>
                <w:szCs w:val="24"/>
              </w:rPr>
              <w:t>2/155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sz w:val="24"/>
                <w:szCs w:val="24"/>
              </w:rPr>
            </w:pPr>
            <w:r w:rsidRPr="004C1B79">
              <w:rPr>
                <w:rFonts w:ascii="Times New Roman" w:hAnsi="Times New Roman" w:cs="Times New Roman"/>
                <w:sz w:val="24"/>
                <w:szCs w:val="24"/>
              </w:rPr>
              <w:t>6/191</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1.26 (0.55, 2.93)</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Glaucoma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0/76</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6/99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2.71 (1.14, 6.47)</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proofErr w:type="spellStart"/>
            <w:r w:rsidRPr="004C1B79">
              <w:rPr>
                <w:b w:val="0"/>
              </w:rPr>
              <w:t>Anotia</w:t>
            </w:r>
            <w:proofErr w:type="spellEnd"/>
            <w:r w:rsidRPr="004C1B79">
              <w:rPr>
                <w:b w:val="0"/>
              </w:rPr>
              <w:t>/microtia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3/366</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0.50 (0.10, 1.51)</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6/306</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1.00 (0.43, 2.33)</w:t>
            </w:r>
          </w:p>
        </w:tc>
      </w:tr>
      <w:tr w:rsidR="004C1B79" w:rsidRPr="004C1B79" w:rsidTr="00632D4B">
        <w:trPr>
          <w:trHeight w:val="279"/>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Orofacial </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Choanal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3/84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2.17 (0.43, 6.75)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4/70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2.22 (0.58, 6.07)</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Pr>
                <w:b w:val="0"/>
              </w:rPr>
              <w:t xml:space="preserve">     Cleft palate only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19/810</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1.32 (0.80, 2.20)</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27/734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1.35 (0.88, 2.06)</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Cleft lip only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12/528</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1.31 (0.71, 2.42)</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19/529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1.35 (0.83, 2.20)</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Cleft lip with cleft palate</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13/1004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0.87 (0.48, 1.57)</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20/963</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0.90 (0.55, 1.45)</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Gastrointestinal</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Esophageal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4/376</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0.65 (0.17, 1.72)</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14/352</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1.43 (0.81, 2.53)</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Duodenal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0/105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1/126</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Small intestinal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6/225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2.02 (0.87, 4.73)</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8/235</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1.63 (0.78, 3.42)</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Colonic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0/24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0/31</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Anorectal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10/565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1.12 (0.58, 2.18)</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10/483</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0.96 (0.50, 1.85)</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Biliary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0/98</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4/95</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1.64 (0.43, 4.43)</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Genitourinary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Hypospadias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39/1107</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1.78 (1.11, 2.85)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36/1359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0.97 (0.64, 1.48)</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Renal agenesis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1/99</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3/85</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1.37 (0.27, 4.23)</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Bladder </w:t>
            </w:r>
            <w:proofErr w:type="spellStart"/>
            <w:r w:rsidRPr="004C1B79">
              <w:rPr>
                <w:b w:val="0"/>
              </w:rPr>
              <w:t>exstrophy</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2/41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Cloacal </w:t>
            </w:r>
            <w:proofErr w:type="spellStart"/>
            <w:r w:rsidRPr="004C1B79">
              <w:rPr>
                <w:b w:val="0"/>
              </w:rPr>
              <w:t>exstrophy</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3/51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3.57 (0.70, 11.35)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Musculoskeletal</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Longitudinal limb deficiency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6/271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1.41 (0.61, 3.27)</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9/247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1.71 (0.85, 3.44)</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Transverse limb deficiency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7/363</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1.22 (0.56, 2.66)</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9/336</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1.07 (0.53, 2.14)</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Craniosynostosis</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26/643</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1.87 (1.19, 2.93)</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27/889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0.89 (0.58, 1.37)</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Diaphragmatic hernia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5/435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0.66 (0.27, 1.64)</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8/415</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0.81 (0.39, 1.68)</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Omphalocele</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6/235</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1.58 (0.68, 3.68)</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6/190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1.25 (0.54, 2.90)</w:t>
            </w:r>
          </w:p>
        </w:tc>
      </w:tr>
      <w:tr w:rsidR="004C1B79" w:rsidRPr="004C1B79" w:rsidTr="00632D4B">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Gastroschisis</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2/608</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11/783</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1.61 (0.84, 3.10)</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Sacral agenesis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0/44</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proofErr w:type="spellStart"/>
            <w:r w:rsidRPr="004C1B79">
              <w:rPr>
                <w:b w:val="0"/>
              </w:rPr>
              <w:t>Conotruncal</w:t>
            </w:r>
            <w:proofErr w:type="spellEnd"/>
            <w:r w:rsidRPr="004C1B79">
              <w:rPr>
                <w:b w:val="0"/>
              </w:rPr>
              <w:t xml:space="preserve"> defects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Truncus arteriosus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3/62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2.94 (0.58, 9.25)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lastRenderedPageBreak/>
              <w:t xml:space="preserve">     IAA type b</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0/21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Tetralogy of </w:t>
            </w:r>
            <w:proofErr w:type="spellStart"/>
            <w:r w:rsidRPr="004C1B79">
              <w:rPr>
                <w:b w:val="0"/>
              </w:rPr>
              <w:t>Fallot</w:t>
            </w:r>
            <w:proofErr w:type="spellEnd"/>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11/603</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1.08 (0.57, 2.04)</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14/575</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0.97 (0.55, 1.69)</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D-TGA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8/413</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1.07 (0.52, 2.24)</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13/329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1.47 (0.82, 2.66)</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DORV-TGA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3/77</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2.37 (0.47, 7.38)</w:t>
            </w:r>
          </w:p>
        </w:tc>
        <w:tc>
          <w:tcPr>
            <w:tcW w:w="1350" w:type="dxa"/>
            <w:tcBorders>
              <w:top w:val="nil"/>
              <w:left w:val="single" w:sz="4" w:space="0" w:color="auto"/>
              <w:bottom w:val="nil"/>
              <w:right w:val="nil"/>
            </w:tcBorders>
            <w:vAlign w:val="bottom"/>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3/106</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1.10 (0.22, 3.37)</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Other DORV</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1/67</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1/53</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Conoventricular</w:t>
            </w:r>
            <w:proofErr w:type="spellEnd"/>
            <w:r w:rsidRPr="004C1B79">
              <w:rPr>
                <w:b w:val="0"/>
              </w:rPr>
              <w:t xml:space="preserve"> VSD</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1/106</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Atrioventricular septal defect</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5/172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1.74 (0.69, 4.38)</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8/184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1.73 (0.83, 3.64)</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Total anomalous pulmonary venous return</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4/149</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1.63 (0.43, 43.40)</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5/142</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1.70 (0.67, 4.29)</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LVOTO defects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Hypoplastic</w:t>
            </w:r>
            <w:proofErr w:type="spellEnd"/>
            <w:r w:rsidRPr="004C1B79">
              <w:rPr>
                <w:b w:val="0"/>
              </w:rPr>
              <w:t xml:space="preserve"> heart syndrome</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8/301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1.48 (0.71, 3.10)</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11/334</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1.20 (0.64, 2.27)</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IAA type 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0/10</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Coarctation</w:t>
            </w:r>
            <w:proofErr w:type="spellEnd"/>
            <w:r w:rsidRPr="004C1B79">
              <w:rPr>
                <w:b w:val="0"/>
              </w:rPr>
              <w:t xml:space="preserve"> of the aorta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15/531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1.39 (0.79, 2.42)</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15/602</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0.86 (0.50, 1.48)</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Aortic valve stenosis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9/218</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2.06 (1.02, 4.19)</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5/272</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0.61 (0.24, 1.50)</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RVOTO defects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Pulmonary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2/128</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3/128</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0.91 (0.18, 2.78)</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Pulmonary valve stenosis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12/742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0.92 (0.50, 1.69)</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17/772</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0.83 (0.49, 1.39)</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Tricuspid atresia</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1/89</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1/88</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proofErr w:type="spellStart"/>
            <w:r w:rsidRPr="004C1B79">
              <w:rPr>
                <w:b w:val="0"/>
              </w:rPr>
              <w:t>Ebstein</w:t>
            </w:r>
            <w:proofErr w:type="spellEnd"/>
            <w:r w:rsidRPr="004C1B79">
              <w:rPr>
                <w:b w:val="0"/>
              </w:rPr>
              <w:t xml:space="preserve"> anomaly</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1/91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2/86</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Septal defects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 </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Perimembranous</w:t>
            </w:r>
            <w:proofErr w:type="spellEnd"/>
            <w:r w:rsidRPr="004C1B79">
              <w:rPr>
                <w:b w:val="0"/>
              </w:rPr>
              <w:t xml:space="preserve"> VSD</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23/1192</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1.16 (0.73, 1.84)</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8/217</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1.73 (0.72, 4.15)</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Muscular VSD</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1/189</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 xml:space="preserve">     </w:t>
            </w:r>
            <w:proofErr w:type="spellStart"/>
            <w:r w:rsidRPr="004C1B79">
              <w:rPr>
                <w:b w:val="0"/>
              </w:rPr>
              <w:t>Secundum</w:t>
            </w:r>
            <w:proofErr w:type="spellEnd"/>
            <w:r w:rsidRPr="004C1B79">
              <w:rPr>
                <w:b w:val="0"/>
              </w:rPr>
              <w:t xml:space="preserve"> atrial septal defect </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31/1721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1.08 (0.71, 1.65)</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35/1270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1.15 (0.78, 1.69)</w:t>
            </w:r>
          </w:p>
        </w:tc>
      </w:tr>
      <w:tr w:rsidR="004C1B79" w:rsidRPr="004C1B79" w:rsidTr="004C1B79">
        <w:trPr>
          <w:jc w:val="center"/>
        </w:trPr>
        <w:tc>
          <w:tcPr>
            <w:tcW w:w="3510" w:type="dxa"/>
            <w:tcBorders>
              <w:top w:val="nil"/>
              <w:left w:val="nil"/>
              <w:bottom w:val="nil"/>
              <w:right w:val="nil"/>
            </w:tcBorders>
            <w:vAlign w:val="center"/>
          </w:tcPr>
          <w:p w:rsidR="004C1B79" w:rsidRPr="004C1B79" w:rsidRDefault="004C1B79" w:rsidP="004C1B79">
            <w:pPr>
              <w:pStyle w:val="Title"/>
              <w:contextualSpacing/>
              <w:jc w:val="left"/>
              <w:rPr>
                <w:b w:val="0"/>
              </w:rPr>
            </w:pPr>
            <w:r w:rsidRPr="004C1B79">
              <w:rPr>
                <w:b w:val="0"/>
              </w:rPr>
              <w:t>Single ventricle defects</w:t>
            </w:r>
          </w:p>
        </w:tc>
        <w:tc>
          <w:tcPr>
            <w:tcW w:w="1710" w:type="dxa"/>
            <w:tcBorders>
              <w:top w:val="nil"/>
              <w:left w:val="nil"/>
              <w:bottom w:val="nil"/>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3/101</w:t>
            </w:r>
          </w:p>
        </w:tc>
        <w:tc>
          <w:tcPr>
            <w:tcW w:w="1980" w:type="dxa"/>
            <w:tcBorders>
              <w:top w:val="nil"/>
              <w:left w:val="nil"/>
              <w:bottom w:val="nil"/>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1.80 (0.35, 5.58)</w:t>
            </w:r>
          </w:p>
        </w:tc>
        <w:tc>
          <w:tcPr>
            <w:tcW w:w="1350" w:type="dxa"/>
            <w:tcBorders>
              <w:top w:val="nil"/>
              <w:left w:val="single" w:sz="4" w:space="0" w:color="auto"/>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0/70</w:t>
            </w:r>
          </w:p>
        </w:tc>
        <w:tc>
          <w:tcPr>
            <w:tcW w:w="1885" w:type="dxa"/>
            <w:tcBorders>
              <w:top w:val="nil"/>
              <w:left w:val="nil"/>
              <w:bottom w:val="nil"/>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4C1B79" w:rsidRPr="004C1B79" w:rsidTr="004C1B79">
        <w:trPr>
          <w:jc w:val="center"/>
        </w:trPr>
        <w:tc>
          <w:tcPr>
            <w:tcW w:w="3510" w:type="dxa"/>
            <w:tcBorders>
              <w:top w:val="nil"/>
              <w:left w:val="nil"/>
              <w:bottom w:val="single" w:sz="4" w:space="0" w:color="auto"/>
              <w:right w:val="nil"/>
            </w:tcBorders>
            <w:vAlign w:val="center"/>
          </w:tcPr>
          <w:p w:rsidR="004C1B79" w:rsidRPr="004C1B79" w:rsidRDefault="004C1B79" w:rsidP="004C1B79">
            <w:pPr>
              <w:pStyle w:val="Title"/>
              <w:contextualSpacing/>
              <w:jc w:val="left"/>
              <w:rPr>
                <w:b w:val="0"/>
              </w:rPr>
            </w:pPr>
            <w:proofErr w:type="spellStart"/>
            <w:r w:rsidRPr="004C1B79">
              <w:rPr>
                <w:b w:val="0"/>
              </w:rPr>
              <w:t>Heterotaxy</w:t>
            </w:r>
            <w:proofErr w:type="spellEnd"/>
          </w:p>
        </w:tc>
        <w:tc>
          <w:tcPr>
            <w:tcW w:w="1710" w:type="dxa"/>
            <w:tcBorders>
              <w:top w:val="nil"/>
              <w:left w:val="nil"/>
              <w:bottom w:val="single" w:sz="4" w:space="0" w:color="auto"/>
              <w:right w:val="nil"/>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2/181</w:t>
            </w:r>
          </w:p>
        </w:tc>
        <w:tc>
          <w:tcPr>
            <w:tcW w:w="1980" w:type="dxa"/>
            <w:tcBorders>
              <w:top w:val="nil"/>
              <w:left w:val="nil"/>
              <w:bottom w:val="single" w:sz="4" w:space="0" w:color="auto"/>
              <w:right w:val="single" w:sz="4" w:space="0" w:color="auto"/>
            </w:tcBorders>
            <w:shd w:val="clear" w:color="auto" w:fill="auto"/>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c>
          <w:tcPr>
            <w:tcW w:w="1350" w:type="dxa"/>
            <w:tcBorders>
              <w:top w:val="nil"/>
              <w:left w:val="single" w:sz="4" w:space="0" w:color="auto"/>
              <w:bottom w:val="single" w:sz="4" w:space="0" w:color="auto"/>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1/159</w:t>
            </w:r>
          </w:p>
        </w:tc>
        <w:tc>
          <w:tcPr>
            <w:tcW w:w="1885" w:type="dxa"/>
            <w:tcBorders>
              <w:top w:val="nil"/>
              <w:left w:val="nil"/>
              <w:bottom w:val="single" w:sz="4" w:space="0" w:color="auto"/>
              <w:right w:val="nil"/>
            </w:tcBorders>
            <w:vAlign w:val="center"/>
          </w:tcPr>
          <w:p w:rsidR="004C1B79" w:rsidRPr="004C1B79" w:rsidRDefault="004C1B79" w:rsidP="004C1B79">
            <w:pPr>
              <w:spacing w:after="0" w:line="240" w:lineRule="auto"/>
              <w:contextualSpacing/>
              <w:jc w:val="center"/>
              <w:rPr>
                <w:rFonts w:ascii="Times New Roman" w:hAnsi="Times New Roman" w:cs="Times New Roman"/>
                <w:color w:val="000000"/>
                <w:sz w:val="24"/>
                <w:szCs w:val="24"/>
              </w:rPr>
            </w:pPr>
            <w:r w:rsidRPr="004C1B79">
              <w:rPr>
                <w:rFonts w:ascii="Times New Roman" w:hAnsi="Times New Roman" w:cs="Times New Roman"/>
                <w:color w:val="000000"/>
                <w:sz w:val="24"/>
                <w:szCs w:val="24"/>
              </w:rPr>
              <w:t>NC</w:t>
            </w:r>
          </w:p>
        </w:tc>
      </w:tr>
      <w:tr w:rsidR="005D1116" w:rsidRPr="004C1B79" w:rsidTr="00993D85">
        <w:trPr>
          <w:trHeight w:val="70"/>
          <w:jc w:val="center"/>
        </w:trPr>
        <w:tc>
          <w:tcPr>
            <w:tcW w:w="10435" w:type="dxa"/>
            <w:gridSpan w:val="5"/>
            <w:tcBorders>
              <w:top w:val="single" w:sz="4" w:space="0" w:color="auto"/>
              <w:left w:val="nil"/>
              <w:bottom w:val="nil"/>
              <w:right w:val="nil"/>
            </w:tcBorders>
            <w:vAlign w:val="center"/>
          </w:tcPr>
          <w:p w:rsidR="005D1116" w:rsidRPr="004C1B79" w:rsidRDefault="005D1116" w:rsidP="004C1B79">
            <w:pPr>
              <w:spacing w:after="0" w:line="240" w:lineRule="auto"/>
              <w:contextualSpacing/>
              <w:rPr>
                <w:rFonts w:ascii="Times New Roman" w:hAnsi="Times New Roman" w:cs="Times New Roman"/>
                <w:sz w:val="24"/>
                <w:szCs w:val="24"/>
              </w:rPr>
            </w:pPr>
            <w:r w:rsidRPr="004C1B79">
              <w:rPr>
                <w:rFonts w:ascii="Times New Roman" w:hAnsi="Times New Roman" w:cs="Times New Roman"/>
                <w:sz w:val="24"/>
                <w:szCs w:val="24"/>
              </w:rPr>
              <w:t xml:space="preserve">OR=odds ratio, CI=confidence interval, NC=not calculated, IAA=interrupted aortic arch, TGA=transposition of the great arteries, DORV=double outlet right ventricle, VSD=ventricular septal defect, LVOTO=left ventricular outflow tract obstruction, RVOTO=right ventricular outflow tract obstruction. </w:t>
            </w:r>
          </w:p>
          <w:p w:rsidR="004C1B79" w:rsidRPr="00CD73AB" w:rsidRDefault="005D1116" w:rsidP="004C1B79">
            <w:pPr>
              <w:spacing w:after="0" w:line="240" w:lineRule="auto"/>
              <w:contextualSpacing/>
              <w:rPr>
                <w:rFonts w:ascii="Times New Roman" w:hAnsi="Times New Roman" w:cs="Times New Roman"/>
                <w:sz w:val="24"/>
                <w:szCs w:val="24"/>
              </w:rPr>
            </w:pPr>
            <w:proofErr w:type="spellStart"/>
            <w:r w:rsidRPr="00CD73AB">
              <w:rPr>
                <w:rFonts w:ascii="Times New Roman" w:hAnsi="Times New Roman" w:cs="Times New Roman"/>
                <w:sz w:val="24"/>
                <w:szCs w:val="24"/>
                <w:vertAlign w:val="superscript"/>
              </w:rPr>
              <w:t>a</w:t>
            </w:r>
            <w:proofErr w:type="spellEnd"/>
            <w:r w:rsidRPr="00CD73AB">
              <w:rPr>
                <w:rFonts w:ascii="Times New Roman" w:hAnsi="Times New Roman" w:cs="Times New Roman"/>
                <w:sz w:val="24"/>
                <w:szCs w:val="24"/>
                <w:vertAlign w:val="superscript"/>
              </w:rPr>
              <w:t xml:space="preserve"> </w:t>
            </w:r>
            <w:proofErr w:type="gramStart"/>
            <w:r w:rsidRPr="00CD73AB">
              <w:rPr>
                <w:rFonts w:ascii="Times New Roman" w:hAnsi="Times New Roman" w:cs="Times New Roman"/>
                <w:sz w:val="24"/>
                <w:szCs w:val="24"/>
              </w:rPr>
              <w:t>For</w:t>
            </w:r>
            <w:proofErr w:type="gramEnd"/>
            <w:r w:rsidRPr="00CD73AB">
              <w:rPr>
                <w:rFonts w:ascii="Times New Roman" w:hAnsi="Times New Roman" w:cs="Times New Roman"/>
                <w:sz w:val="24"/>
                <w:szCs w:val="24"/>
              </w:rPr>
              <w:t xml:space="preserve"> defects with 5+ exposed cases, estimates were adjusted for maternal age, maternal race/ethnicity, and state of residence at the time of birth. Counts in the adjusted analysis were slightly lower than presented due to missing values for some covariates. Crude ORs and exact 95% CIs are presented for defects groups with 3-4 exposed cases. Estimates are not presented for analyses based on &lt; 3 exposed cases.  Infants of mothers who did not report any thyroid medication use were the reference group.  </w:t>
            </w:r>
          </w:p>
          <w:p w:rsidR="004C1B79" w:rsidRPr="00CD73AB" w:rsidRDefault="004C1B79" w:rsidP="004C1B79">
            <w:pPr>
              <w:spacing w:after="0" w:line="240" w:lineRule="auto"/>
              <w:contextualSpacing/>
              <w:jc w:val="both"/>
              <w:rPr>
                <w:rFonts w:ascii="Times New Roman" w:hAnsi="Times New Roman" w:cs="Times New Roman"/>
                <w:sz w:val="24"/>
                <w:szCs w:val="24"/>
              </w:rPr>
            </w:pPr>
            <w:proofErr w:type="spellStart"/>
            <w:r w:rsidRPr="00CD73AB">
              <w:rPr>
                <w:rFonts w:ascii="Times New Roman" w:hAnsi="Times New Roman" w:cs="Times New Roman"/>
                <w:color w:val="000000"/>
                <w:sz w:val="24"/>
                <w:szCs w:val="24"/>
                <w:vertAlign w:val="superscript"/>
              </w:rPr>
              <w:t>b</w:t>
            </w:r>
            <w:r w:rsidRPr="00CD73AB">
              <w:rPr>
                <w:rFonts w:ascii="Times New Roman" w:hAnsi="Times New Roman" w:cs="Times New Roman"/>
                <w:color w:val="000000"/>
                <w:sz w:val="24"/>
                <w:szCs w:val="24"/>
              </w:rPr>
              <w:t>The</w:t>
            </w:r>
            <w:proofErr w:type="spellEnd"/>
            <w:r w:rsidRPr="00CD73AB">
              <w:rPr>
                <w:rFonts w:ascii="Times New Roman" w:hAnsi="Times New Roman" w:cs="Times New Roman"/>
                <w:color w:val="000000"/>
                <w:sz w:val="24"/>
                <w:szCs w:val="24"/>
              </w:rPr>
              <w:t xml:space="preserve"> </w:t>
            </w:r>
            <w:proofErr w:type="gramStart"/>
            <w:r w:rsidRPr="00CD73AB">
              <w:rPr>
                <w:rFonts w:ascii="Times New Roman" w:hAnsi="Times New Roman" w:cs="Times New Roman"/>
                <w:color w:val="000000"/>
                <w:sz w:val="24"/>
                <w:szCs w:val="24"/>
              </w:rPr>
              <w:t>time period</w:t>
            </w:r>
            <w:proofErr w:type="gramEnd"/>
            <w:r w:rsidRPr="00CD73AB">
              <w:rPr>
                <w:rFonts w:ascii="Times New Roman" w:hAnsi="Times New Roman" w:cs="Times New Roman"/>
                <w:color w:val="000000"/>
                <w:sz w:val="24"/>
                <w:szCs w:val="24"/>
              </w:rPr>
              <w:t xml:space="preserve"> 1997–2004 aligns with the time period previously analyzed by Browne et al.  However, there are differences in inclusion criteria between the current analysis and the previous NBDPS analysis that account for the differences in counts and estimates presented here and within that manuscript.</w:t>
            </w:r>
          </w:p>
          <w:p w:rsidR="004C1B79" w:rsidRPr="004C1B79" w:rsidRDefault="004C1B79" w:rsidP="004C1B79">
            <w:pPr>
              <w:spacing w:after="0" w:line="240" w:lineRule="auto"/>
              <w:contextualSpacing/>
              <w:rPr>
                <w:rFonts w:ascii="Times New Roman" w:hAnsi="Times New Roman" w:cs="Times New Roman"/>
                <w:sz w:val="24"/>
                <w:szCs w:val="24"/>
              </w:rPr>
            </w:pPr>
            <w:proofErr w:type="spellStart"/>
            <w:r w:rsidRPr="00CD73AB">
              <w:rPr>
                <w:rFonts w:ascii="Times New Roman" w:hAnsi="Times New Roman" w:cs="Times New Roman"/>
                <w:sz w:val="24"/>
                <w:szCs w:val="24"/>
                <w:vertAlign w:val="superscript"/>
              </w:rPr>
              <w:t>c</w:t>
            </w:r>
            <w:r w:rsidRPr="00CD73AB">
              <w:rPr>
                <w:rFonts w:ascii="Times New Roman" w:hAnsi="Times New Roman" w:cs="Times New Roman"/>
                <w:sz w:val="24"/>
                <w:szCs w:val="24"/>
              </w:rPr>
              <w:t>The</w:t>
            </w:r>
            <w:proofErr w:type="spellEnd"/>
            <w:r w:rsidRPr="00CD73AB">
              <w:rPr>
                <w:rFonts w:ascii="Times New Roman" w:hAnsi="Times New Roman" w:cs="Times New Roman"/>
                <w:sz w:val="24"/>
                <w:szCs w:val="24"/>
              </w:rPr>
              <w:t xml:space="preserve"> a</w:t>
            </w:r>
            <w:r w:rsidR="005D1116" w:rsidRPr="00CD73AB">
              <w:rPr>
                <w:rFonts w:ascii="Times New Roman" w:hAnsi="Times New Roman" w:cs="Times New Roman"/>
                <w:sz w:val="24"/>
                <w:szCs w:val="24"/>
              </w:rPr>
              <w:t xml:space="preserve">nalyses </w:t>
            </w:r>
            <w:r w:rsidRPr="00CD73AB">
              <w:rPr>
                <w:rFonts w:ascii="Times New Roman" w:hAnsi="Times New Roman" w:cs="Times New Roman"/>
                <w:sz w:val="24"/>
                <w:szCs w:val="24"/>
              </w:rPr>
              <w:t>for the 1997</w:t>
            </w:r>
            <w:r w:rsidRPr="00CD73AB">
              <w:rPr>
                <w:rFonts w:ascii="Engravers MT" w:hAnsi="Engravers MT" w:cs="Times New Roman"/>
                <w:sz w:val="24"/>
                <w:szCs w:val="24"/>
              </w:rPr>
              <w:t>–</w:t>
            </w:r>
            <w:proofErr w:type="gramStart"/>
            <w:r w:rsidRPr="00CD73AB">
              <w:rPr>
                <w:rFonts w:ascii="Times New Roman" w:hAnsi="Times New Roman" w:cs="Times New Roman"/>
                <w:sz w:val="24"/>
                <w:szCs w:val="24"/>
              </w:rPr>
              <w:t>2004 ti</w:t>
            </w:r>
            <w:bookmarkStart w:id="0" w:name="_GoBack"/>
            <w:bookmarkEnd w:id="0"/>
            <w:r w:rsidRPr="00CD73AB">
              <w:rPr>
                <w:rFonts w:ascii="Times New Roman" w:hAnsi="Times New Roman" w:cs="Times New Roman"/>
                <w:sz w:val="24"/>
                <w:szCs w:val="24"/>
              </w:rPr>
              <w:t>me</w:t>
            </w:r>
            <w:proofErr w:type="gramEnd"/>
            <w:r w:rsidRPr="00CD73AB">
              <w:rPr>
                <w:rFonts w:ascii="Times New Roman" w:hAnsi="Times New Roman" w:cs="Times New Roman"/>
                <w:sz w:val="24"/>
                <w:szCs w:val="24"/>
              </w:rPr>
              <w:t xml:space="preserve"> period </w:t>
            </w:r>
            <w:r w:rsidR="005D1116" w:rsidRPr="00CD73AB">
              <w:rPr>
                <w:rFonts w:ascii="Times New Roman" w:hAnsi="Times New Roman" w:cs="Times New Roman"/>
                <w:sz w:val="24"/>
                <w:szCs w:val="24"/>
              </w:rPr>
              <w:t xml:space="preserve">included </w:t>
            </w:r>
            <w:r w:rsidRPr="00CD73AB">
              <w:rPr>
                <w:rFonts w:ascii="Times New Roman" w:hAnsi="Times New Roman" w:cs="Times New Roman"/>
                <w:sz w:val="24"/>
                <w:szCs w:val="24"/>
              </w:rPr>
              <w:t>95</w:t>
            </w:r>
            <w:r w:rsidR="005D1116" w:rsidRPr="00CD73AB">
              <w:rPr>
                <w:rFonts w:ascii="Times New Roman" w:hAnsi="Times New Roman" w:cs="Times New Roman"/>
                <w:sz w:val="24"/>
                <w:szCs w:val="24"/>
              </w:rPr>
              <w:t xml:space="preserve"> exposed and </w:t>
            </w:r>
            <w:r w:rsidRPr="00CD73AB">
              <w:rPr>
                <w:rFonts w:ascii="Times New Roman" w:hAnsi="Times New Roman" w:cs="Times New Roman"/>
                <w:sz w:val="24"/>
                <w:szCs w:val="24"/>
              </w:rPr>
              <w:t xml:space="preserve">5,767 </w:t>
            </w:r>
            <w:r w:rsidR="005D1116" w:rsidRPr="00CD73AB">
              <w:rPr>
                <w:rFonts w:ascii="Times New Roman" w:hAnsi="Times New Roman" w:cs="Times New Roman"/>
                <w:sz w:val="24"/>
                <w:szCs w:val="24"/>
              </w:rPr>
              <w:t>unexposed control infants</w:t>
            </w:r>
            <w:r w:rsidRPr="00CD73AB">
              <w:rPr>
                <w:rFonts w:ascii="Times New Roman" w:hAnsi="Times New Roman" w:cs="Times New Roman"/>
                <w:sz w:val="24"/>
                <w:szCs w:val="24"/>
              </w:rPr>
              <w:t>, except: congenital cataracts and glaucoma 71 exposed and 4,072 unexposed controls, clefts included 90 exposed and 5,639 unexposed controls, hypospadias included 44 exposed and 2,906 unexposed male controls, pulmonary valve stenosis included 90 exposed and 5,302 unexposed</w:t>
            </w:r>
            <w:r w:rsidRPr="004C1B79">
              <w:rPr>
                <w:rFonts w:ascii="Times New Roman" w:hAnsi="Times New Roman" w:cs="Times New Roman"/>
                <w:sz w:val="24"/>
                <w:szCs w:val="24"/>
              </w:rPr>
              <w:t xml:space="preserve"> controls, and muscular VSDs included 12 exposed and 707 unexposed controls.</w:t>
            </w:r>
          </w:p>
          <w:p w:rsidR="005D1116" w:rsidRPr="004C1B79" w:rsidRDefault="004C1B79" w:rsidP="004C1B79">
            <w:pPr>
              <w:spacing w:after="0" w:line="240" w:lineRule="auto"/>
              <w:contextualSpacing/>
              <w:rPr>
                <w:rFonts w:ascii="Times New Roman" w:hAnsi="Times New Roman" w:cs="Times New Roman"/>
                <w:sz w:val="24"/>
                <w:szCs w:val="24"/>
              </w:rPr>
            </w:pPr>
            <w:proofErr w:type="spellStart"/>
            <w:r w:rsidRPr="004C1B79">
              <w:rPr>
                <w:rFonts w:ascii="Times New Roman" w:hAnsi="Times New Roman" w:cs="Times New Roman"/>
                <w:sz w:val="24"/>
                <w:szCs w:val="24"/>
                <w:vertAlign w:val="superscript"/>
              </w:rPr>
              <w:t>d</w:t>
            </w:r>
            <w:r w:rsidRPr="004C1B79">
              <w:rPr>
                <w:rFonts w:ascii="Times New Roman" w:hAnsi="Times New Roman" w:cs="Times New Roman"/>
                <w:sz w:val="24"/>
                <w:szCs w:val="24"/>
              </w:rPr>
              <w:t>The</w:t>
            </w:r>
            <w:proofErr w:type="spellEnd"/>
            <w:r w:rsidRPr="004C1B79">
              <w:rPr>
                <w:rFonts w:ascii="Times New Roman" w:hAnsi="Times New Roman" w:cs="Times New Roman"/>
                <w:sz w:val="24"/>
                <w:szCs w:val="24"/>
              </w:rPr>
              <w:t xml:space="preserve"> analyses for the 2005</w:t>
            </w:r>
            <w:r w:rsidRPr="004C1B79">
              <w:rPr>
                <w:rFonts w:ascii="Engravers MT" w:hAnsi="Engravers MT" w:cs="Times New Roman"/>
                <w:sz w:val="24"/>
                <w:szCs w:val="24"/>
              </w:rPr>
              <w:t>–</w:t>
            </w:r>
            <w:r w:rsidRPr="004C1B79">
              <w:rPr>
                <w:rFonts w:ascii="Times New Roman" w:hAnsi="Times New Roman" w:cs="Times New Roman"/>
                <w:sz w:val="24"/>
                <w:szCs w:val="24"/>
              </w:rPr>
              <w:t xml:space="preserve">2011time period included 142 exposed and 5,523 unexposed control infants, expect: hypospadias included 66 exposed and 2,855 unexposed male </w:t>
            </w:r>
            <w:proofErr w:type="gramStart"/>
            <w:r w:rsidRPr="004C1B79">
              <w:rPr>
                <w:rFonts w:ascii="Times New Roman" w:hAnsi="Times New Roman" w:cs="Times New Roman"/>
                <w:sz w:val="24"/>
                <w:szCs w:val="24"/>
              </w:rPr>
              <w:t>controls,  pulmonary</w:t>
            </w:r>
            <w:proofErr w:type="gramEnd"/>
            <w:r w:rsidRPr="004C1B79">
              <w:rPr>
                <w:rFonts w:ascii="Times New Roman" w:hAnsi="Times New Roman" w:cs="Times New Roman"/>
                <w:sz w:val="24"/>
                <w:szCs w:val="24"/>
              </w:rPr>
              <w:t xml:space="preserve"> valve stenosis included 90 exposed and 5,302 unexposed controls, and </w:t>
            </w:r>
            <w:proofErr w:type="spellStart"/>
            <w:r w:rsidRPr="004C1B79">
              <w:rPr>
                <w:rFonts w:ascii="Times New Roman" w:hAnsi="Times New Roman" w:cs="Times New Roman"/>
                <w:sz w:val="24"/>
                <w:szCs w:val="24"/>
              </w:rPr>
              <w:t>conventricular</w:t>
            </w:r>
            <w:proofErr w:type="spellEnd"/>
            <w:r w:rsidRPr="004C1B79">
              <w:rPr>
                <w:rFonts w:ascii="Times New Roman" w:hAnsi="Times New Roman" w:cs="Times New Roman"/>
                <w:sz w:val="24"/>
                <w:szCs w:val="24"/>
              </w:rPr>
              <w:t xml:space="preserve"> and </w:t>
            </w:r>
            <w:proofErr w:type="spellStart"/>
            <w:r w:rsidRPr="004C1B79">
              <w:rPr>
                <w:rFonts w:ascii="Times New Roman" w:hAnsi="Times New Roman" w:cs="Times New Roman"/>
                <w:sz w:val="24"/>
                <w:szCs w:val="24"/>
              </w:rPr>
              <w:t>perimembranous</w:t>
            </w:r>
            <w:proofErr w:type="spellEnd"/>
            <w:r w:rsidRPr="004C1B79">
              <w:rPr>
                <w:rFonts w:ascii="Times New Roman" w:hAnsi="Times New Roman" w:cs="Times New Roman"/>
                <w:sz w:val="24"/>
                <w:szCs w:val="24"/>
              </w:rPr>
              <w:t xml:space="preserve"> VSDs included 17 exposed and 828 unexposed controls. </w:t>
            </w:r>
          </w:p>
          <w:p w:rsidR="004C1B79" w:rsidRPr="004C1B79" w:rsidRDefault="004C1B79" w:rsidP="004C1B79">
            <w:pPr>
              <w:spacing w:after="0" w:line="240" w:lineRule="auto"/>
              <w:contextualSpacing/>
              <w:rPr>
                <w:rFonts w:ascii="Times New Roman" w:hAnsi="Times New Roman" w:cs="Times New Roman"/>
                <w:sz w:val="24"/>
                <w:szCs w:val="24"/>
                <w:highlight w:val="yellow"/>
              </w:rPr>
            </w:pPr>
          </w:p>
          <w:p w:rsidR="004C1B79" w:rsidRPr="004C1B79" w:rsidRDefault="004C1B79" w:rsidP="004C1B79">
            <w:pPr>
              <w:spacing w:after="0" w:line="240" w:lineRule="auto"/>
              <w:contextualSpacing/>
              <w:rPr>
                <w:rFonts w:ascii="Times New Roman" w:hAnsi="Times New Roman" w:cs="Times New Roman"/>
                <w:sz w:val="24"/>
                <w:szCs w:val="24"/>
              </w:rPr>
            </w:pPr>
          </w:p>
          <w:p w:rsidR="005D1116" w:rsidRPr="004C1B79" w:rsidRDefault="005D1116" w:rsidP="004C1B79">
            <w:pPr>
              <w:spacing w:after="0" w:line="240" w:lineRule="auto"/>
              <w:contextualSpacing/>
              <w:rPr>
                <w:rFonts w:ascii="Times New Roman" w:hAnsi="Times New Roman" w:cs="Times New Roman"/>
                <w:sz w:val="24"/>
                <w:szCs w:val="24"/>
              </w:rPr>
            </w:pPr>
          </w:p>
          <w:p w:rsidR="005D1116" w:rsidRPr="004C1B79" w:rsidRDefault="005D1116" w:rsidP="004C1B79">
            <w:pPr>
              <w:spacing w:after="0" w:line="240" w:lineRule="auto"/>
              <w:contextualSpacing/>
              <w:rPr>
                <w:rFonts w:ascii="Times New Roman" w:hAnsi="Times New Roman" w:cs="Times New Roman"/>
                <w:color w:val="000000"/>
                <w:sz w:val="24"/>
                <w:szCs w:val="24"/>
              </w:rPr>
            </w:pPr>
          </w:p>
        </w:tc>
      </w:tr>
    </w:tbl>
    <w:p w:rsidR="00CB4AA9" w:rsidRPr="004C1B79" w:rsidRDefault="00CB4AA9" w:rsidP="004C1B79">
      <w:pPr>
        <w:spacing w:after="0" w:line="240" w:lineRule="auto"/>
        <w:contextualSpacing/>
        <w:rPr>
          <w:rFonts w:ascii="Times New Roman" w:hAnsi="Times New Roman" w:cs="Times New Roman"/>
          <w:sz w:val="24"/>
          <w:szCs w:val="24"/>
        </w:rPr>
      </w:pPr>
    </w:p>
    <w:sectPr w:rsidR="00CB4AA9" w:rsidRPr="004C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8A"/>
    <w:rsid w:val="004C1B79"/>
    <w:rsid w:val="005D1116"/>
    <w:rsid w:val="00A20C15"/>
    <w:rsid w:val="00AC0E8A"/>
    <w:rsid w:val="00CB4AA9"/>
    <w:rsid w:val="00CD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1467A-D0AA-43DE-A3A8-E1E4C707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0E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0E8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C0E8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Howley</dc:creator>
  <cp:keywords/>
  <dc:description/>
  <cp:lastModifiedBy>Howley, Meredith M (HEALTH)</cp:lastModifiedBy>
  <cp:revision>3</cp:revision>
  <dcterms:created xsi:type="dcterms:W3CDTF">2017-05-04T16:06:00Z</dcterms:created>
  <dcterms:modified xsi:type="dcterms:W3CDTF">2017-06-15T18:18:00Z</dcterms:modified>
</cp:coreProperties>
</file>