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88C86" w14:textId="77777777" w:rsidR="00BA09AA" w:rsidRPr="0001112F" w:rsidRDefault="00BA09AA" w:rsidP="00BA09AA">
      <w:pPr>
        <w:spacing w:after="0" w:line="480" w:lineRule="auto"/>
        <w:contextualSpacing/>
        <w:rPr>
          <w:rFonts w:cstheme="minorHAnsi"/>
        </w:rPr>
      </w:pPr>
      <w:r w:rsidRPr="0001112F">
        <w:rPr>
          <w:rFonts w:cstheme="minorHAnsi"/>
        </w:rPr>
        <w:t>Appendix:</w:t>
      </w:r>
    </w:p>
    <w:tbl>
      <w:tblPr>
        <w:tblStyle w:val="TableGrid"/>
        <w:tblW w:w="9586" w:type="dxa"/>
        <w:tblLook w:val="04A0" w:firstRow="1" w:lastRow="0" w:firstColumn="1" w:lastColumn="0" w:noHBand="0" w:noVBand="1"/>
      </w:tblPr>
      <w:tblGrid>
        <w:gridCol w:w="2065"/>
        <w:gridCol w:w="7521"/>
      </w:tblGrid>
      <w:tr w:rsidR="00BA09AA" w:rsidRPr="0001112F" w14:paraId="162BC1A9" w14:textId="77777777" w:rsidTr="000D2D29">
        <w:trPr>
          <w:trHeight w:val="315"/>
        </w:trPr>
        <w:tc>
          <w:tcPr>
            <w:tcW w:w="9586" w:type="dxa"/>
            <w:gridSpan w:val="2"/>
            <w:noWrap/>
            <w:hideMark/>
          </w:tcPr>
          <w:p w14:paraId="5463DD40" w14:textId="77777777" w:rsidR="00BA09AA" w:rsidRPr="0001112F" w:rsidRDefault="00BA09AA" w:rsidP="000D2D29">
            <w:pPr>
              <w:spacing w:line="480" w:lineRule="auto"/>
              <w:contextualSpacing/>
              <w:rPr>
                <w:b/>
                <w:bCs/>
              </w:rPr>
            </w:pPr>
            <w:r w:rsidRPr="03074C8D">
              <w:rPr>
                <w:b/>
                <w:bCs/>
              </w:rPr>
              <w:t>ICD-10-CM codes for Traumatic Brain Injury (TBI), Suicide Attempt and Intentional self-harm</w:t>
            </w:r>
          </w:p>
        </w:tc>
      </w:tr>
      <w:tr w:rsidR="00BA09AA" w:rsidRPr="0001112F" w14:paraId="307A7A88" w14:textId="77777777" w:rsidTr="000D2D29">
        <w:trPr>
          <w:trHeight w:val="315"/>
        </w:trPr>
        <w:tc>
          <w:tcPr>
            <w:tcW w:w="2065" w:type="dxa"/>
            <w:noWrap/>
            <w:hideMark/>
          </w:tcPr>
          <w:p w14:paraId="27B128F8" w14:textId="77777777" w:rsidR="00BA09AA" w:rsidRPr="0001112F" w:rsidRDefault="00BA09AA" w:rsidP="000D2D29">
            <w:pPr>
              <w:spacing w:line="480" w:lineRule="auto"/>
              <w:contextualSpacing/>
              <w:rPr>
                <w:rFonts w:cstheme="minorHAnsi"/>
                <w:b/>
                <w:bCs/>
              </w:rPr>
            </w:pPr>
            <w:r w:rsidRPr="0001112F">
              <w:rPr>
                <w:rFonts w:cstheme="minorHAnsi"/>
                <w:b/>
                <w:bCs/>
              </w:rPr>
              <w:t>Variable</w:t>
            </w:r>
          </w:p>
        </w:tc>
        <w:tc>
          <w:tcPr>
            <w:tcW w:w="7521" w:type="dxa"/>
            <w:noWrap/>
            <w:hideMark/>
          </w:tcPr>
          <w:p w14:paraId="527D6AE3" w14:textId="77777777" w:rsidR="00BA09AA" w:rsidRPr="0001112F" w:rsidRDefault="00BA09AA" w:rsidP="000D2D29">
            <w:pPr>
              <w:spacing w:line="480" w:lineRule="auto"/>
              <w:contextualSpacing/>
              <w:rPr>
                <w:rFonts w:cstheme="minorHAnsi"/>
                <w:b/>
                <w:bCs/>
              </w:rPr>
            </w:pPr>
            <w:r w:rsidRPr="0001112F">
              <w:rPr>
                <w:rFonts w:cstheme="minorHAnsi"/>
                <w:b/>
                <w:bCs/>
              </w:rPr>
              <w:t>ICD-10-CM</w:t>
            </w:r>
          </w:p>
        </w:tc>
      </w:tr>
      <w:tr w:rsidR="00BA09AA" w:rsidRPr="0001112F" w14:paraId="6E6DB417" w14:textId="77777777" w:rsidTr="000D2D29">
        <w:trPr>
          <w:trHeight w:val="360"/>
        </w:trPr>
        <w:tc>
          <w:tcPr>
            <w:tcW w:w="2065" w:type="dxa"/>
            <w:vMerge w:val="restart"/>
            <w:noWrap/>
            <w:hideMark/>
          </w:tcPr>
          <w:p w14:paraId="65BB74BE" w14:textId="77777777" w:rsidR="00BA09AA" w:rsidRPr="0001112F" w:rsidRDefault="00BA09AA" w:rsidP="000D2D29">
            <w:pPr>
              <w:spacing w:line="480" w:lineRule="auto"/>
              <w:contextualSpacing/>
              <w:rPr>
                <w:rFonts w:cstheme="minorHAnsi"/>
              </w:rPr>
            </w:pPr>
            <w:r w:rsidRPr="0001112F">
              <w:rPr>
                <w:rFonts w:cstheme="minorHAnsi"/>
              </w:rPr>
              <w:t>TBI</w:t>
            </w:r>
          </w:p>
        </w:tc>
        <w:tc>
          <w:tcPr>
            <w:tcW w:w="7521" w:type="dxa"/>
            <w:noWrap/>
            <w:hideMark/>
          </w:tcPr>
          <w:p w14:paraId="637A85D9" w14:textId="77777777" w:rsidR="00BA09AA" w:rsidRPr="0001112F" w:rsidRDefault="00BA09AA" w:rsidP="000D2D29">
            <w:pPr>
              <w:spacing w:line="480" w:lineRule="auto"/>
              <w:contextualSpacing/>
              <w:rPr>
                <w:rFonts w:cstheme="minorHAnsi"/>
              </w:rPr>
            </w:pPr>
            <w:r w:rsidRPr="0001112F">
              <w:rPr>
                <w:rFonts w:cstheme="minorHAnsi"/>
              </w:rPr>
              <w:t>S02.0, S02.1–</w:t>
            </w:r>
          </w:p>
        </w:tc>
      </w:tr>
      <w:tr w:rsidR="00BA09AA" w:rsidRPr="0001112F" w14:paraId="4CED65CB" w14:textId="77777777" w:rsidTr="000D2D29">
        <w:trPr>
          <w:trHeight w:val="360"/>
        </w:trPr>
        <w:tc>
          <w:tcPr>
            <w:tcW w:w="2065" w:type="dxa"/>
            <w:vMerge/>
            <w:hideMark/>
          </w:tcPr>
          <w:p w14:paraId="01A2C388" w14:textId="77777777" w:rsidR="00BA09AA" w:rsidRPr="0001112F" w:rsidRDefault="00BA09AA" w:rsidP="000D2D29">
            <w:pPr>
              <w:spacing w:line="480" w:lineRule="auto"/>
              <w:contextualSpacing/>
              <w:rPr>
                <w:rFonts w:cstheme="minorHAnsi"/>
              </w:rPr>
            </w:pPr>
          </w:p>
        </w:tc>
        <w:tc>
          <w:tcPr>
            <w:tcW w:w="7521" w:type="dxa"/>
            <w:noWrap/>
            <w:hideMark/>
          </w:tcPr>
          <w:p w14:paraId="5C33DE8B" w14:textId="77777777" w:rsidR="00BA09AA" w:rsidRPr="0001112F" w:rsidRDefault="00BA09AA" w:rsidP="000D2D29">
            <w:pPr>
              <w:spacing w:line="480" w:lineRule="auto"/>
              <w:contextualSpacing/>
              <w:rPr>
                <w:rFonts w:cstheme="minorHAnsi"/>
              </w:rPr>
            </w:pPr>
            <w:r w:rsidRPr="0001112F">
              <w:rPr>
                <w:rFonts w:cstheme="minorHAnsi"/>
              </w:rPr>
              <w:t>S02.8, S02.91</w:t>
            </w:r>
          </w:p>
        </w:tc>
      </w:tr>
      <w:tr w:rsidR="00BA09AA" w:rsidRPr="0001112F" w14:paraId="341F59CC" w14:textId="77777777" w:rsidTr="000D2D29">
        <w:trPr>
          <w:trHeight w:val="360"/>
        </w:trPr>
        <w:tc>
          <w:tcPr>
            <w:tcW w:w="2065" w:type="dxa"/>
            <w:vMerge/>
            <w:hideMark/>
          </w:tcPr>
          <w:p w14:paraId="4A67063F" w14:textId="77777777" w:rsidR="00BA09AA" w:rsidRPr="0001112F" w:rsidRDefault="00BA09AA" w:rsidP="000D2D29">
            <w:pPr>
              <w:spacing w:line="480" w:lineRule="auto"/>
              <w:contextualSpacing/>
              <w:rPr>
                <w:rFonts w:cstheme="minorHAnsi"/>
              </w:rPr>
            </w:pPr>
          </w:p>
        </w:tc>
        <w:tc>
          <w:tcPr>
            <w:tcW w:w="7521" w:type="dxa"/>
            <w:noWrap/>
            <w:hideMark/>
          </w:tcPr>
          <w:p w14:paraId="6D676F22" w14:textId="77777777" w:rsidR="00BA09AA" w:rsidRPr="0001112F" w:rsidRDefault="00BA09AA" w:rsidP="000D2D29">
            <w:pPr>
              <w:spacing w:line="480" w:lineRule="auto"/>
              <w:contextualSpacing/>
              <w:rPr>
                <w:rFonts w:cstheme="minorHAnsi"/>
              </w:rPr>
            </w:pPr>
            <w:r w:rsidRPr="0001112F">
              <w:rPr>
                <w:rFonts w:cstheme="minorHAnsi"/>
              </w:rPr>
              <w:t xml:space="preserve">S04.02, S04.03–, S04.04– </w:t>
            </w:r>
          </w:p>
        </w:tc>
      </w:tr>
      <w:tr w:rsidR="00BA09AA" w:rsidRPr="0001112F" w14:paraId="03C1D91A" w14:textId="77777777" w:rsidTr="000D2D29">
        <w:trPr>
          <w:trHeight w:val="360"/>
        </w:trPr>
        <w:tc>
          <w:tcPr>
            <w:tcW w:w="2065" w:type="dxa"/>
            <w:vMerge/>
            <w:hideMark/>
          </w:tcPr>
          <w:p w14:paraId="31C4B70F" w14:textId="77777777" w:rsidR="00BA09AA" w:rsidRPr="0001112F" w:rsidRDefault="00BA09AA" w:rsidP="000D2D29">
            <w:pPr>
              <w:spacing w:line="480" w:lineRule="auto"/>
              <w:contextualSpacing/>
              <w:rPr>
                <w:rFonts w:cstheme="minorHAnsi"/>
              </w:rPr>
            </w:pPr>
          </w:p>
        </w:tc>
        <w:tc>
          <w:tcPr>
            <w:tcW w:w="7521" w:type="dxa"/>
            <w:noWrap/>
            <w:hideMark/>
          </w:tcPr>
          <w:p w14:paraId="62AF8D05" w14:textId="77777777" w:rsidR="00BA09AA" w:rsidRPr="0001112F" w:rsidRDefault="00BA09AA" w:rsidP="000D2D29">
            <w:pPr>
              <w:spacing w:line="480" w:lineRule="auto"/>
              <w:contextualSpacing/>
              <w:rPr>
                <w:rFonts w:cstheme="minorHAnsi"/>
              </w:rPr>
            </w:pPr>
            <w:r w:rsidRPr="0001112F">
              <w:rPr>
                <w:rFonts w:cstheme="minorHAnsi"/>
              </w:rPr>
              <w:t>S06–</w:t>
            </w:r>
          </w:p>
        </w:tc>
      </w:tr>
      <w:tr w:rsidR="00BA09AA" w:rsidRPr="0001112F" w14:paraId="71A48A51" w14:textId="77777777" w:rsidTr="000D2D29">
        <w:trPr>
          <w:trHeight w:val="360"/>
        </w:trPr>
        <w:tc>
          <w:tcPr>
            <w:tcW w:w="2065" w:type="dxa"/>
            <w:vMerge/>
            <w:hideMark/>
          </w:tcPr>
          <w:p w14:paraId="3EB27D95" w14:textId="77777777" w:rsidR="00BA09AA" w:rsidRPr="0001112F" w:rsidRDefault="00BA09AA" w:rsidP="000D2D29">
            <w:pPr>
              <w:spacing w:line="480" w:lineRule="auto"/>
              <w:contextualSpacing/>
              <w:rPr>
                <w:rFonts w:cstheme="minorHAnsi"/>
              </w:rPr>
            </w:pPr>
          </w:p>
        </w:tc>
        <w:tc>
          <w:tcPr>
            <w:tcW w:w="7521" w:type="dxa"/>
            <w:noWrap/>
            <w:hideMark/>
          </w:tcPr>
          <w:p w14:paraId="60888D60" w14:textId="77777777" w:rsidR="00BA09AA" w:rsidRPr="0001112F" w:rsidRDefault="00BA09AA" w:rsidP="000D2D29">
            <w:pPr>
              <w:spacing w:line="480" w:lineRule="auto"/>
              <w:contextualSpacing/>
              <w:rPr>
                <w:rFonts w:cstheme="minorHAnsi"/>
              </w:rPr>
            </w:pPr>
            <w:r w:rsidRPr="0001112F">
              <w:rPr>
                <w:rFonts w:cstheme="minorHAnsi"/>
              </w:rPr>
              <w:t>S07.1</w:t>
            </w:r>
          </w:p>
        </w:tc>
      </w:tr>
      <w:tr w:rsidR="00BA09AA" w:rsidRPr="0001112F" w14:paraId="2F2C87CF" w14:textId="77777777" w:rsidTr="000D2D29">
        <w:trPr>
          <w:trHeight w:val="615"/>
        </w:trPr>
        <w:tc>
          <w:tcPr>
            <w:tcW w:w="2065" w:type="dxa"/>
            <w:vMerge/>
            <w:hideMark/>
          </w:tcPr>
          <w:p w14:paraId="505B3B96" w14:textId="77777777" w:rsidR="00BA09AA" w:rsidRPr="0001112F" w:rsidRDefault="00BA09AA" w:rsidP="000D2D29">
            <w:pPr>
              <w:spacing w:line="480" w:lineRule="auto"/>
              <w:contextualSpacing/>
              <w:rPr>
                <w:rFonts w:cstheme="minorHAnsi"/>
              </w:rPr>
            </w:pPr>
          </w:p>
        </w:tc>
        <w:tc>
          <w:tcPr>
            <w:tcW w:w="7521" w:type="dxa"/>
            <w:hideMark/>
          </w:tcPr>
          <w:p w14:paraId="5709D490" w14:textId="77777777" w:rsidR="00BA09AA" w:rsidRPr="0001112F" w:rsidRDefault="00BA09AA" w:rsidP="000D2D29">
            <w:pPr>
              <w:spacing w:line="480" w:lineRule="auto"/>
              <w:contextualSpacing/>
            </w:pPr>
            <w:r w:rsidRPr="019BC915">
              <w:t>Only include case if the 7th character is “A” or “B” for S02.0, S02.1, S02.8, S02.91 or “A” for S04.02, S04.03, S04.04, S06, S07.1,</w:t>
            </w:r>
            <w:r>
              <w:t xml:space="preserve"> </w:t>
            </w:r>
            <w:r w:rsidRPr="019BC915">
              <w:t>which indicates initial encounter. Cases with a 7th character of “missing” will also be included.</w:t>
            </w:r>
          </w:p>
        </w:tc>
      </w:tr>
      <w:tr w:rsidR="00BA09AA" w:rsidRPr="0001112F" w14:paraId="1E8578F7" w14:textId="77777777" w:rsidTr="000D2D29">
        <w:trPr>
          <w:trHeight w:val="278"/>
        </w:trPr>
        <w:tc>
          <w:tcPr>
            <w:tcW w:w="2065" w:type="dxa"/>
            <w:vMerge w:val="restart"/>
            <w:hideMark/>
          </w:tcPr>
          <w:p w14:paraId="5A62CE77" w14:textId="77777777" w:rsidR="00BA09AA" w:rsidRPr="0001112F" w:rsidRDefault="00BA09AA" w:rsidP="000D2D29">
            <w:pPr>
              <w:spacing w:line="480" w:lineRule="auto"/>
              <w:contextualSpacing/>
            </w:pPr>
            <w:r w:rsidRPr="03074C8D">
              <w:t>Suicide Attempt and Intentional self-harm</w:t>
            </w:r>
          </w:p>
        </w:tc>
        <w:tc>
          <w:tcPr>
            <w:tcW w:w="7521" w:type="dxa"/>
            <w:hideMark/>
          </w:tcPr>
          <w:p w14:paraId="1B9782E6" w14:textId="77777777" w:rsidR="00BA09AA" w:rsidRPr="0001112F" w:rsidRDefault="00BA09AA" w:rsidP="000D2D29">
            <w:pPr>
              <w:spacing w:line="480" w:lineRule="auto"/>
              <w:contextualSpacing/>
              <w:rPr>
                <w:rFonts w:cstheme="minorHAnsi"/>
              </w:rPr>
            </w:pPr>
            <w:r w:rsidRPr="0001112F">
              <w:rPr>
                <w:rFonts w:cstheme="minorHAnsi"/>
              </w:rPr>
              <w:t xml:space="preserve">X71–X83 </w:t>
            </w:r>
          </w:p>
        </w:tc>
      </w:tr>
      <w:tr w:rsidR="00BA09AA" w:rsidRPr="0001112F" w14:paraId="3899CAB2" w14:textId="77777777" w:rsidTr="000D2D29">
        <w:trPr>
          <w:trHeight w:val="600"/>
        </w:trPr>
        <w:tc>
          <w:tcPr>
            <w:tcW w:w="2065" w:type="dxa"/>
            <w:vMerge/>
            <w:hideMark/>
          </w:tcPr>
          <w:p w14:paraId="017E532E" w14:textId="77777777" w:rsidR="00BA09AA" w:rsidRPr="0001112F" w:rsidRDefault="00BA09AA" w:rsidP="000D2D29">
            <w:pPr>
              <w:spacing w:line="480" w:lineRule="auto"/>
              <w:contextualSpacing/>
              <w:rPr>
                <w:rFonts w:cstheme="minorHAnsi"/>
              </w:rPr>
            </w:pPr>
          </w:p>
        </w:tc>
        <w:tc>
          <w:tcPr>
            <w:tcW w:w="7521" w:type="dxa"/>
            <w:hideMark/>
          </w:tcPr>
          <w:p w14:paraId="6649CF12" w14:textId="77777777" w:rsidR="00BA09AA" w:rsidRPr="0001112F" w:rsidRDefault="00BA09AA" w:rsidP="000D2D29">
            <w:pPr>
              <w:spacing w:line="480" w:lineRule="auto"/>
              <w:contextualSpacing/>
              <w:rPr>
                <w:rFonts w:cstheme="minorHAnsi"/>
              </w:rPr>
            </w:pPr>
            <w:r w:rsidRPr="0001112F">
              <w:rPr>
                <w:rFonts w:cstheme="minorHAnsi"/>
              </w:rPr>
              <w:t>T36–T50 with the 6th character of the code = 2 (except for T36.9, T37.9, T39.9, T41.4, T42.7, T43.9, T45.9, T47.9, and T49.9, which are included if the 5th character of the code = 2</w:t>
            </w:r>
            <w:r>
              <w:rPr>
                <w:rFonts w:cstheme="minorHAnsi"/>
              </w:rPr>
              <w:t>)</w:t>
            </w:r>
          </w:p>
        </w:tc>
      </w:tr>
      <w:tr w:rsidR="00BA09AA" w:rsidRPr="0001112F" w14:paraId="31BD5876" w14:textId="77777777" w:rsidTr="000D2D29">
        <w:trPr>
          <w:trHeight w:val="900"/>
        </w:trPr>
        <w:tc>
          <w:tcPr>
            <w:tcW w:w="2065" w:type="dxa"/>
            <w:vMerge/>
            <w:hideMark/>
          </w:tcPr>
          <w:p w14:paraId="7F01D5D8" w14:textId="77777777" w:rsidR="00BA09AA" w:rsidRPr="0001112F" w:rsidRDefault="00BA09AA" w:rsidP="000D2D29">
            <w:pPr>
              <w:spacing w:line="480" w:lineRule="auto"/>
              <w:contextualSpacing/>
              <w:rPr>
                <w:rFonts w:cstheme="minorHAnsi"/>
              </w:rPr>
            </w:pPr>
          </w:p>
        </w:tc>
        <w:tc>
          <w:tcPr>
            <w:tcW w:w="7521" w:type="dxa"/>
            <w:hideMark/>
          </w:tcPr>
          <w:p w14:paraId="0475AEBE" w14:textId="77777777" w:rsidR="00BA09AA" w:rsidRPr="0001112F" w:rsidRDefault="00BA09AA" w:rsidP="000D2D29">
            <w:pPr>
              <w:spacing w:line="480" w:lineRule="auto"/>
              <w:contextualSpacing/>
              <w:rPr>
                <w:rFonts w:cstheme="minorHAnsi"/>
              </w:rPr>
            </w:pPr>
            <w:r w:rsidRPr="0001112F">
              <w:rPr>
                <w:rFonts w:cstheme="minorHAnsi"/>
              </w:rPr>
              <w:t xml:space="preserve">T51–T65 with the 6th character of the code = 2 (except for T51.9, T52.9, T53.9, T54.9, T56.9, T57.9, T58.0, T58.1, T58.9, T59.9, T60.9, T61.0, T61.1, T61.9, T62.9, T63.9, T64.0, T64.8, and T65.9, which are included if the 5th character of the code = 2) </w:t>
            </w:r>
          </w:p>
        </w:tc>
      </w:tr>
      <w:tr w:rsidR="00BA09AA" w:rsidRPr="0001112F" w14:paraId="39622CEE" w14:textId="77777777" w:rsidTr="000D2D29">
        <w:trPr>
          <w:trHeight w:val="300"/>
        </w:trPr>
        <w:tc>
          <w:tcPr>
            <w:tcW w:w="2065" w:type="dxa"/>
            <w:vMerge/>
            <w:hideMark/>
          </w:tcPr>
          <w:p w14:paraId="47F76B80" w14:textId="77777777" w:rsidR="00BA09AA" w:rsidRPr="0001112F" w:rsidRDefault="00BA09AA" w:rsidP="000D2D29">
            <w:pPr>
              <w:spacing w:line="480" w:lineRule="auto"/>
              <w:contextualSpacing/>
              <w:rPr>
                <w:rFonts w:cstheme="minorHAnsi"/>
              </w:rPr>
            </w:pPr>
          </w:p>
        </w:tc>
        <w:tc>
          <w:tcPr>
            <w:tcW w:w="7521" w:type="dxa"/>
            <w:noWrap/>
            <w:hideMark/>
          </w:tcPr>
          <w:p w14:paraId="79E3F606" w14:textId="77777777" w:rsidR="00BA09AA" w:rsidRPr="0001112F" w:rsidRDefault="00BA09AA" w:rsidP="000D2D29">
            <w:pPr>
              <w:spacing w:line="480" w:lineRule="auto"/>
              <w:contextualSpacing/>
              <w:rPr>
                <w:rFonts w:cstheme="minorHAnsi"/>
              </w:rPr>
            </w:pPr>
            <w:r w:rsidRPr="0001112F">
              <w:rPr>
                <w:rFonts w:cstheme="minorHAnsi"/>
              </w:rPr>
              <w:t xml:space="preserve">T71 with the 6th character of the code = 2 </w:t>
            </w:r>
          </w:p>
        </w:tc>
      </w:tr>
      <w:tr w:rsidR="00BA09AA" w:rsidRPr="0001112F" w14:paraId="0389E5D5" w14:textId="77777777" w:rsidTr="000D2D29">
        <w:trPr>
          <w:trHeight w:val="315"/>
        </w:trPr>
        <w:tc>
          <w:tcPr>
            <w:tcW w:w="2065" w:type="dxa"/>
            <w:vMerge/>
            <w:hideMark/>
          </w:tcPr>
          <w:p w14:paraId="06627DE8" w14:textId="77777777" w:rsidR="00BA09AA" w:rsidRPr="0001112F" w:rsidRDefault="00BA09AA" w:rsidP="000D2D29">
            <w:pPr>
              <w:spacing w:line="480" w:lineRule="auto"/>
              <w:contextualSpacing/>
              <w:rPr>
                <w:rFonts w:cstheme="minorHAnsi"/>
              </w:rPr>
            </w:pPr>
          </w:p>
        </w:tc>
        <w:tc>
          <w:tcPr>
            <w:tcW w:w="7521" w:type="dxa"/>
            <w:noWrap/>
            <w:hideMark/>
          </w:tcPr>
          <w:p w14:paraId="0B84DFC9" w14:textId="77777777" w:rsidR="00BA09AA" w:rsidRPr="0001112F" w:rsidRDefault="00BA09AA" w:rsidP="000D2D29">
            <w:pPr>
              <w:spacing w:line="480" w:lineRule="auto"/>
              <w:contextualSpacing/>
              <w:rPr>
                <w:rFonts w:cstheme="minorHAnsi"/>
              </w:rPr>
            </w:pPr>
            <w:r w:rsidRPr="0001112F">
              <w:rPr>
                <w:rFonts w:cstheme="minorHAnsi"/>
              </w:rPr>
              <w:t xml:space="preserve">T14.91 </w:t>
            </w:r>
          </w:p>
        </w:tc>
      </w:tr>
      <w:tr w:rsidR="00BA09AA" w:rsidRPr="0001112F" w14:paraId="5152EB48" w14:textId="77777777" w:rsidTr="000D2D29">
        <w:trPr>
          <w:trHeight w:val="315"/>
        </w:trPr>
        <w:tc>
          <w:tcPr>
            <w:tcW w:w="2065" w:type="dxa"/>
          </w:tcPr>
          <w:p w14:paraId="5C42DE9D" w14:textId="77777777" w:rsidR="00BA09AA" w:rsidRDefault="00BA09AA" w:rsidP="000D2D29">
            <w:pPr>
              <w:spacing w:line="480" w:lineRule="auto"/>
              <w:contextualSpacing/>
            </w:pPr>
            <w:r>
              <w:t>Suicidal Ideation</w:t>
            </w:r>
          </w:p>
        </w:tc>
        <w:tc>
          <w:tcPr>
            <w:tcW w:w="7521" w:type="dxa"/>
            <w:noWrap/>
          </w:tcPr>
          <w:p w14:paraId="0C631CC2" w14:textId="77777777" w:rsidR="00BA09AA" w:rsidRDefault="00BA09AA" w:rsidP="000D2D29">
            <w:pPr>
              <w:spacing w:line="480" w:lineRule="auto"/>
              <w:contextualSpacing/>
            </w:pPr>
            <w:r>
              <w:t>R45.851</w:t>
            </w:r>
          </w:p>
        </w:tc>
      </w:tr>
      <w:tr w:rsidR="00BA09AA" w:rsidRPr="0001112F" w14:paraId="7066B351" w14:textId="77777777" w:rsidTr="000D2D29">
        <w:trPr>
          <w:trHeight w:val="315"/>
        </w:trPr>
        <w:tc>
          <w:tcPr>
            <w:tcW w:w="2065" w:type="dxa"/>
          </w:tcPr>
          <w:p w14:paraId="75191AD2" w14:textId="77777777" w:rsidR="00BA09AA" w:rsidRPr="0001112F" w:rsidRDefault="00BA09AA" w:rsidP="000D2D29">
            <w:pPr>
              <w:spacing w:line="480" w:lineRule="auto"/>
              <w:contextualSpacing/>
              <w:rPr>
                <w:rFonts w:cstheme="minorHAnsi"/>
              </w:rPr>
            </w:pPr>
            <w:r>
              <w:lastRenderedPageBreak/>
              <w:t>O</w:t>
            </w:r>
            <w:r w:rsidRPr="7623EAEE">
              <w:t>pioid use disorder</w:t>
            </w:r>
            <w:r>
              <w:t xml:space="preserve"> (OUD)</w:t>
            </w:r>
          </w:p>
        </w:tc>
        <w:tc>
          <w:tcPr>
            <w:tcW w:w="7521" w:type="dxa"/>
            <w:noWrap/>
          </w:tcPr>
          <w:p w14:paraId="5F26D92E" w14:textId="77777777" w:rsidR="00BA09AA" w:rsidRPr="0001112F" w:rsidRDefault="00BA09AA" w:rsidP="000D2D29">
            <w:pPr>
              <w:spacing w:line="480" w:lineRule="auto"/>
              <w:contextualSpacing/>
              <w:rPr>
                <w:rFonts w:cstheme="minorHAnsi"/>
              </w:rPr>
            </w:pPr>
            <w:r>
              <w:t>F11</w:t>
            </w:r>
          </w:p>
        </w:tc>
      </w:tr>
      <w:tr w:rsidR="00BA09AA" w:rsidRPr="0001112F" w14:paraId="5B15DB11" w14:textId="77777777" w:rsidTr="000D2D29">
        <w:trPr>
          <w:trHeight w:val="315"/>
        </w:trPr>
        <w:tc>
          <w:tcPr>
            <w:tcW w:w="2065" w:type="dxa"/>
          </w:tcPr>
          <w:p w14:paraId="2EFA2310" w14:textId="77777777" w:rsidR="00BA09AA" w:rsidRPr="0001112F" w:rsidRDefault="00BA09AA" w:rsidP="000D2D29">
            <w:pPr>
              <w:spacing w:line="480" w:lineRule="auto"/>
              <w:contextualSpacing/>
              <w:rPr>
                <w:rFonts w:cstheme="minorHAnsi"/>
              </w:rPr>
            </w:pPr>
            <w:r>
              <w:t>S</w:t>
            </w:r>
            <w:r w:rsidRPr="7623EAEE">
              <w:t>leep disorder</w:t>
            </w:r>
          </w:p>
        </w:tc>
        <w:tc>
          <w:tcPr>
            <w:tcW w:w="7521" w:type="dxa"/>
            <w:noWrap/>
          </w:tcPr>
          <w:p w14:paraId="4D1FE15F" w14:textId="77777777" w:rsidR="00BA09AA" w:rsidRPr="0001112F" w:rsidRDefault="00BA09AA" w:rsidP="000D2D29">
            <w:pPr>
              <w:spacing w:line="480" w:lineRule="auto"/>
              <w:contextualSpacing/>
              <w:rPr>
                <w:rFonts w:cstheme="minorHAnsi"/>
              </w:rPr>
            </w:pPr>
            <w:r>
              <w:rPr>
                <w:rFonts w:cstheme="minorHAnsi"/>
              </w:rPr>
              <w:t>G47</w:t>
            </w:r>
          </w:p>
        </w:tc>
      </w:tr>
      <w:tr w:rsidR="00BA09AA" w:rsidRPr="0001112F" w14:paraId="699AF13E" w14:textId="77777777" w:rsidTr="000D2D29">
        <w:trPr>
          <w:trHeight w:val="315"/>
        </w:trPr>
        <w:tc>
          <w:tcPr>
            <w:tcW w:w="2065" w:type="dxa"/>
          </w:tcPr>
          <w:p w14:paraId="7082080B" w14:textId="77777777" w:rsidR="00BA09AA" w:rsidRPr="0001112F" w:rsidRDefault="00BA09AA" w:rsidP="000D2D29">
            <w:pPr>
              <w:spacing w:line="480" w:lineRule="auto"/>
              <w:contextualSpacing/>
              <w:rPr>
                <w:rFonts w:cstheme="minorHAnsi"/>
              </w:rPr>
            </w:pPr>
            <w:r>
              <w:t xml:space="preserve">Psychiatric </w:t>
            </w:r>
            <w:r w:rsidRPr="7623EAEE">
              <w:t xml:space="preserve">disorder </w:t>
            </w:r>
          </w:p>
        </w:tc>
        <w:tc>
          <w:tcPr>
            <w:tcW w:w="7521" w:type="dxa"/>
            <w:noWrap/>
          </w:tcPr>
          <w:p w14:paraId="477B8B47" w14:textId="77777777" w:rsidR="00BA09AA" w:rsidRPr="0001112F" w:rsidRDefault="00BA09AA" w:rsidP="000D2D29">
            <w:pPr>
              <w:spacing w:line="480" w:lineRule="auto"/>
              <w:contextualSpacing/>
              <w:rPr>
                <w:rFonts w:cstheme="minorHAnsi"/>
              </w:rPr>
            </w:pPr>
            <w:r w:rsidRPr="7623EAEE">
              <w:t>F20, F25, F31-F33, F39, F41, F43, F60, F91</w:t>
            </w:r>
          </w:p>
        </w:tc>
      </w:tr>
      <w:tr w:rsidR="00BA09AA" w:rsidRPr="0001112F" w14:paraId="57C91C04" w14:textId="77777777" w:rsidTr="000D2D29">
        <w:trPr>
          <w:trHeight w:val="315"/>
        </w:trPr>
        <w:tc>
          <w:tcPr>
            <w:tcW w:w="2065" w:type="dxa"/>
          </w:tcPr>
          <w:p w14:paraId="7825B82E" w14:textId="77777777" w:rsidR="00BA09AA" w:rsidRPr="0001112F" w:rsidRDefault="00BA09AA" w:rsidP="000D2D29">
            <w:pPr>
              <w:spacing w:line="480" w:lineRule="auto"/>
              <w:contextualSpacing/>
              <w:rPr>
                <w:rFonts w:cstheme="minorHAnsi"/>
              </w:rPr>
            </w:pPr>
            <w:r>
              <w:t>S</w:t>
            </w:r>
            <w:r w:rsidRPr="7623EAEE">
              <w:t>ubstance use disorder</w:t>
            </w:r>
            <w:r>
              <w:t>s</w:t>
            </w:r>
            <w:r w:rsidRPr="7623EAEE">
              <w:t xml:space="preserve"> </w:t>
            </w:r>
            <w:r>
              <w:t>other than OUD</w:t>
            </w:r>
          </w:p>
        </w:tc>
        <w:tc>
          <w:tcPr>
            <w:tcW w:w="7521" w:type="dxa"/>
            <w:noWrap/>
          </w:tcPr>
          <w:p w14:paraId="5A17A2B0" w14:textId="77777777" w:rsidR="00BA09AA" w:rsidRPr="0001112F" w:rsidRDefault="00BA09AA" w:rsidP="000D2D29">
            <w:pPr>
              <w:spacing w:line="480" w:lineRule="auto"/>
              <w:contextualSpacing/>
              <w:rPr>
                <w:rFonts w:cstheme="minorHAnsi"/>
              </w:rPr>
            </w:pPr>
            <w:r>
              <w:t xml:space="preserve">F10, </w:t>
            </w:r>
            <w:r w:rsidRPr="7623EAEE">
              <w:t>F12-F16, F18, F19</w:t>
            </w:r>
          </w:p>
        </w:tc>
      </w:tr>
    </w:tbl>
    <w:p w14:paraId="0075D1E9" w14:textId="77777777" w:rsidR="00DB49A4" w:rsidRDefault="00BA09AA"/>
    <w:sectPr w:rsidR="00DB49A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D78F6" w14:textId="77777777" w:rsidR="00BA09AA" w:rsidRDefault="00BA09AA" w:rsidP="00BA09AA">
      <w:pPr>
        <w:spacing w:after="0" w:line="240" w:lineRule="auto"/>
      </w:pPr>
      <w:r>
        <w:separator/>
      </w:r>
    </w:p>
  </w:endnote>
  <w:endnote w:type="continuationSeparator" w:id="0">
    <w:p w14:paraId="16EDE600" w14:textId="77777777" w:rsidR="00BA09AA" w:rsidRDefault="00BA09AA" w:rsidP="00BA0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EDDB3" w14:textId="77777777" w:rsidR="00BA09AA" w:rsidRDefault="00BA09AA" w:rsidP="00BA09AA">
      <w:pPr>
        <w:spacing w:after="0" w:line="240" w:lineRule="auto"/>
      </w:pPr>
      <w:r>
        <w:separator/>
      </w:r>
    </w:p>
  </w:footnote>
  <w:footnote w:type="continuationSeparator" w:id="0">
    <w:p w14:paraId="71B6988C" w14:textId="77777777" w:rsidR="00BA09AA" w:rsidRDefault="00BA09AA" w:rsidP="00BA09A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9AA"/>
    <w:rsid w:val="00352C88"/>
    <w:rsid w:val="00BA09AA"/>
    <w:rsid w:val="00CB1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E703E"/>
  <w15:chartTrackingRefBased/>
  <w15:docId w15:val="{9FCAE569-41D2-42F9-AA8D-9005E10AE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09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0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177</Words>
  <Characters>1013</Characters>
  <Application>Microsoft Office Word</Application>
  <DocSecurity>0</DocSecurity>
  <Lines>8</Lines>
  <Paragraphs>2</Paragraphs>
  <ScaleCrop>false</ScaleCrop>
  <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Gabrielle (CDC/DDNID/NCIPC/DIP)</dc:creator>
  <cp:keywords/>
  <dc:description/>
  <cp:lastModifiedBy>Miller, Gabrielle (CDC/DDNID/NCIPC/DIP)</cp:lastModifiedBy>
  <cp:revision>1</cp:revision>
  <dcterms:created xsi:type="dcterms:W3CDTF">2022-07-01T17:25:00Z</dcterms:created>
  <dcterms:modified xsi:type="dcterms:W3CDTF">2022-07-01T17:25:00Z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2022-07-01T17:25:21Z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cf6801c3-d7da-4dfd-a6cf-d313bafb0347</vt:lpwstr>
  </property>
  <property fmtid="{D5CDD505-2E9C-101B-9397-08002B2CF9AE}" pid="8" name="MSIP_Label_7b94a7b8-f06c-4dfe-bdcc-9b548fd58c31_ContentBits">
    <vt:lpwstr>0</vt:lpwstr>
  </property>
</Properties>
</file>