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4632" w14:textId="5E0BCE48" w:rsidR="00102FA7" w:rsidRDefault="00D747AA" w:rsidP="00811A15">
      <w:pPr>
        <w:jc w:val="center"/>
        <w:rPr>
          <w:rFonts w:ascii="Times New Roman" w:hAnsi="Times New Roman" w:cs="Times New Roman"/>
          <w:b/>
          <w:sz w:val="28"/>
          <w:szCs w:val="28"/>
        </w:rPr>
      </w:pPr>
      <w:r w:rsidRPr="008F7EB9">
        <w:rPr>
          <w:rFonts w:ascii="Times New Roman" w:hAnsi="Times New Roman" w:cs="Times New Roman"/>
          <w:b/>
          <w:sz w:val="36"/>
          <w:szCs w:val="36"/>
        </w:rPr>
        <w:t>Supplement</w:t>
      </w:r>
      <w:r w:rsidR="00812E9F">
        <w:rPr>
          <w:rFonts w:ascii="Times New Roman" w:hAnsi="Times New Roman" w:cs="Times New Roman"/>
          <w:b/>
          <w:sz w:val="36"/>
          <w:szCs w:val="36"/>
        </w:rPr>
        <w:t xml:space="preserve"> </w:t>
      </w:r>
      <w:r w:rsidR="00812E9F" w:rsidRPr="008F7EB9">
        <w:rPr>
          <w:rFonts w:ascii="Times New Roman" w:hAnsi="Times New Roman" w:cs="Times New Roman"/>
          <w:b/>
          <w:sz w:val="28"/>
          <w:szCs w:val="28"/>
        </w:rPr>
        <w:t>– Dunn et</w:t>
      </w:r>
      <w:r w:rsidR="00A46C1C">
        <w:rPr>
          <w:rFonts w:ascii="Times New Roman" w:hAnsi="Times New Roman" w:cs="Times New Roman"/>
          <w:b/>
          <w:sz w:val="28"/>
          <w:szCs w:val="28"/>
        </w:rPr>
        <w:t>.</w:t>
      </w:r>
      <w:r w:rsidR="00812E9F" w:rsidRPr="008F7EB9">
        <w:rPr>
          <w:rFonts w:ascii="Times New Roman" w:hAnsi="Times New Roman" w:cs="Times New Roman"/>
          <w:b/>
          <w:sz w:val="28"/>
          <w:szCs w:val="28"/>
        </w:rPr>
        <w:t xml:space="preserve"> al</w:t>
      </w:r>
      <w:r w:rsidR="00812E9F">
        <w:rPr>
          <w:rFonts w:ascii="Times New Roman" w:hAnsi="Times New Roman" w:cs="Times New Roman"/>
          <w:b/>
          <w:sz w:val="28"/>
          <w:szCs w:val="28"/>
        </w:rPr>
        <w:t xml:space="preserve">.  </w:t>
      </w:r>
      <w:r w:rsidR="002D7856">
        <w:rPr>
          <w:rFonts w:ascii="Times New Roman" w:hAnsi="Times New Roman" w:cs="Times New Roman"/>
          <w:b/>
          <w:sz w:val="28"/>
          <w:szCs w:val="28"/>
        </w:rPr>
        <w:t>Control Banding Tools for Engineered Nanoparticles:  What the Practitioner Needs to Know</w:t>
      </w:r>
    </w:p>
    <w:p w14:paraId="18D025EB" w14:textId="30CDB015" w:rsidR="000B7087" w:rsidRPr="005928B1" w:rsidRDefault="000B7087" w:rsidP="00041CBC">
      <w:pPr>
        <w:spacing w:after="120"/>
        <w:rPr>
          <w:rFonts w:ascii="Times New Roman" w:hAnsi="Times New Roman"/>
          <w:sz w:val="24"/>
          <w:szCs w:val="24"/>
        </w:rPr>
      </w:pPr>
      <w:r w:rsidRPr="001A4491">
        <w:rPr>
          <w:rFonts w:ascii="Times New Roman" w:hAnsi="Times New Roman"/>
          <w:b/>
          <w:sz w:val="24"/>
          <w:szCs w:val="24"/>
        </w:rPr>
        <w:t>Table </w:t>
      </w:r>
      <w:r w:rsidR="00102FA7">
        <w:rPr>
          <w:rFonts w:ascii="Times New Roman" w:hAnsi="Times New Roman"/>
          <w:b/>
          <w:sz w:val="24"/>
          <w:szCs w:val="24"/>
        </w:rPr>
        <w:t>S-</w:t>
      </w:r>
      <w:r w:rsidRPr="001A4491">
        <w:rPr>
          <w:rFonts w:ascii="Times New Roman" w:hAnsi="Times New Roman"/>
          <w:b/>
          <w:sz w:val="24"/>
          <w:szCs w:val="24"/>
        </w:rPr>
        <w:t>1</w:t>
      </w:r>
      <w:r w:rsidRPr="001A4491">
        <w:rPr>
          <w:rFonts w:ascii="Times New Roman" w:hAnsi="Times New Roman"/>
          <w:b/>
          <w:sz w:val="24"/>
          <w:szCs w:val="24"/>
        </w:rPr>
        <w:fldChar w:fldCharType="begin"/>
      </w:r>
      <w:r w:rsidRPr="001A4491">
        <w:rPr>
          <w:rFonts w:ascii="Times New Roman" w:hAnsi="Times New Roman"/>
          <w:b/>
          <w:sz w:val="24"/>
          <w:szCs w:val="24"/>
        </w:rPr>
        <w:instrText xml:space="preserve">\IF </w:instrText>
      </w:r>
      <w:r w:rsidRPr="001A4491">
        <w:rPr>
          <w:rFonts w:ascii="Times New Roman" w:hAnsi="Times New Roman"/>
          <w:b/>
          <w:sz w:val="24"/>
          <w:szCs w:val="24"/>
        </w:rPr>
        <w:fldChar w:fldCharType="begin"/>
      </w:r>
      <w:r w:rsidRPr="001A4491">
        <w:rPr>
          <w:rFonts w:ascii="Times New Roman" w:hAnsi="Times New Roman"/>
          <w:b/>
          <w:sz w:val="24"/>
          <w:szCs w:val="24"/>
        </w:rPr>
        <w:instrText xml:space="preserve">SEQ aaa \c </w:instrText>
      </w:r>
      <w:r w:rsidRPr="001A4491">
        <w:rPr>
          <w:rFonts w:ascii="Times New Roman" w:hAnsi="Times New Roman"/>
          <w:b/>
          <w:sz w:val="24"/>
          <w:szCs w:val="24"/>
        </w:rPr>
        <w:fldChar w:fldCharType="separate"/>
      </w:r>
      <w:r w:rsidR="00742BC9">
        <w:rPr>
          <w:rFonts w:ascii="Times New Roman" w:hAnsi="Times New Roman"/>
          <w:b/>
          <w:noProof/>
          <w:sz w:val="24"/>
          <w:szCs w:val="24"/>
        </w:rPr>
        <w:instrText>0</w:instrText>
      </w:r>
      <w:r w:rsidRPr="001A4491">
        <w:rPr>
          <w:rFonts w:ascii="Times New Roman" w:hAnsi="Times New Roman"/>
          <w:b/>
          <w:sz w:val="24"/>
          <w:szCs w:val="24"/>
        </w:rPr>
        <w:fldChar w:fldCharType="end"/>
      </w:r>
      <w:r w:rsidRPr="001A4491">
        <w:rPr>
          <w:rFonts w:ascii="Times New Roman" w:hAnsi="Times New Roman"/>
          <w:b/>
          <w:sz w:val="24"/>
          <w:szCs w:val="24"/>
        </w:rPr>
        <w:instrText>&gt;= 1 "</w:instrText>
      </w:r>
      <w:r w:rsidRPr="001A4491">
        <w:rPr>
          <w:rFonts w:ascii="Times New Roman" w:hAnsi="Times New Roman"/>
          <w:b/>
          <w:sz w:val="24"/>
          <w:szCs w:val="24"/>
        </w:rPr>
        <w:fldChar w:fldCharType="begin"/>
      </w:r>
      <w:r w:rsidRPr="001A4491">
        <w:rPr>
          <w:rFonts w:ascii="Times New Roman" w:hAnsi="Times New Roman"/>
          <w:b/>
          <w:sz w:val="24"/>
          <w:szCs w:val="24"/>
        </w:rPr>
        <w:instrText xml:space="preserve">SEQ aaa \c \* ALPHABETIC </w:instrText>
      </w:r>
      <w:r w:rsidRPr="001A4491">
        <w:rPr>
          <w:rFonts w:ascii="Times New Roman" w:hAnsi="Times New Roman"/>
          <w:b/>
          <w:sz w:val="24"/>
          <w:szCs w:val="24"/>
        </w:rPr>
        <w:fldChar w:fldCharType="separate"/>
      </w:r>
      <w:r w:rsidRPr="001A4491">
        <w:rPr>
          <w:rFonts w:ascii="Times New Roman" w:hAnsi="Times New Roman"/>
          <w:b/>
          <w:sz w:val="24"/>
          <w:szCs w:val="24"/>
        </w:rPr>
        <w:instrText>A</w:instrText>
      </w:r>
      <w:r w:rsidRPr="001A4491">
        <w:rPr>
          <w:rFonts w:ascii="Times New Roman" w:hAnsi="Times New Roman"/>
          <w:b/>
          <w:sz w:val="24"/>
          <w:szCs w:val="24"/>
        </w:rPr>
        <w:fldChar w:fldCharType="end"/>
      </w:r>
      <w:r w:rsidRPr="001A4491">
        <w:rPr>
          <w:rFonts w:ascii="Times New Roman" w:hAnsi="Times New Roman"/>
          <w:b/>
          <w:sz w:val="24"/>
          <w:szCs w:val="24"/>
        </w:rPr>
        <w:instrText xml:space="preserve">." </w:instrText>
      </w:r>
      <w:r w:rsidRPr="001A4491">
        <w:rPr>
          <w:rFonts w:ascii="Times New Roman" w:hAnsi="Times New Roman"/>
          <w:b/>
          <w:sz w:val="24"/>
          <w:szCs w:val="24"/>
        </w:rPr>
        <w:fldChar w:fldCharType="end"/>
      </w:r>
      <w:r w:rsidRPr="001A4491">
        <w:rPr>
          <w:rFonts w:ascii="Times New Roman" w:hAnsi="Times New Roman"/>
          <w:b/>
          <w:sz w:val="24"/>
          <w:szCs w:val="24"/>
        </w:rPr>
        <w:t>. Examples of Occupational Exposu</w:t>
      </w:r>
      <w:r w:rsidR="00041CBC">
        <w:rPr>
          <w:rFonts w:ascii="Times New Roman" w:hAnsi="Times New Roman"/>
          <w:b/>
          <w:sz w:val="24"/>
          <w:szCs w:val="24"/>
        </w:rPr>
        <w:t>r</w:t>
      </w:r>
      <w:r w:rsidRPr="001A4491">
        <w:rPr>
          <w:rFonts w:ascii="Times New Roman" w:hAnsi="Times New Roman"/>
          <w:b/>
          <w:sz w:val="24"/>
          <w:szCs w:val="24"/>
        </w:rPr>
        <w:t>e Limits (OELs) for Nanomaterials Examined and Related Bulk Materials.</w:t>
      </w:r>
      <w:r w:rsidR="004D3E29">
        <w:rPr>
          <w:rFonts w:ascii="Times New Roman" w:hAnsi="Times New Roman"/>
          <w:b/>
          <w:sz w:val="24"/>
          <w:szCs w:val="24"/>
        </w:rPr>
        <w:t xml:space="preserve"> </w:t>
      </w:r>
    </w:p>
    <w:tbl>
      <w:tblPr>
        <w:tblStyle w:val="TableGrid"/>
        <w:tblW w:w="0" w:type="auto"/>
        <w:jc w:val="center"/>
        <w:tblLook w:val="04A0" w:firstRow="1" w:lastRow="0" w:firstColumn="1" w:lastColumn="0" w:noHBand="0" w:noVBand="1"/>
      </w:tblPr>
      <w:tblGrid>
        <w:gridCol w:w="4585"/>
        <w:gridCol w:w="2340"/>
        <w:gridCol w:w="2425"/>
      </w:tblGrid>
      <w:tr w:rsidR="00811A15" w14:paraId="52CD71E2" w14:textId="77777777" w:rsidTr="008D0064">
        <w:trPr>
          <w:jc w:val="center"/>
        </w:trPr>
        <w:tc>
          <w:tcPr>
            <w:tcW w:w="4585" w:type="dxa"/>
            <w:vMerge w:val="restart"/>
          </w:tcPr>
          <w:p w14:paraId="44A00590" w14:textId="77777777" w:rsidR="00811A15" w:rsidRPr="0087158C" w:rsidRDefault="00811A15" w:rsidP="00811A15">
            <w:pPr>
              <w:pStyle w:val="Tabletext9"/>
              <w:spacing w:before="0" w:after="0" w:line="276" w:lineRule="auto"/>
              <w:jc w:val="left"/>
              <w:rPr>
                <w:rFonts w:ascii="Times New Roman" w:hAnsi="Times New Roman"/>
                <w:b/>
                <w:bCs/>
                <w:sz w:val="24"/>
                <w:szCs w:val="24"/>
              </w:rPr>
            </w:pPr>
            <w:r w:rsidRPr="0087158C">
              <w:rPr>
                <w:rFonts w:ascii="Times New Roman" w:hAnsi="Times New Roman"/>
                <w:b/>
                <w:bCs/>
                <w:sz w:val="24"/>
                <w:szCs w:val="24"/>
              </w:rPr>
              <w:t>Material</w:t>
            </w:r>
            <w:r>
              <w:rPr>
                <w:rFonts w:ascii="Times New Roman" w:hAnsi="Times New Roman"/>
                <w:b/>
                <w:bCs/>
                <w:sz w:val="24"/>
                <w:szCs w:val="24"/>
              </w:rPr>
              <w:t xml:space="preserve"> name (chemical formula)</w:t>
            </w:r>
          </w:p>
        </w:tc>
        <w:tc>
          <w:tcPr>
            <w:tcW w:w="4765" w:type="dxa"/>
            <w:gridSpan w:val="2"/>
          </w:tcPr>
          <w:p w14:paraId="4A023C3B" w14:textId="49194428" w:rsidR="00811A15" w:rsidRPr="0087158C" w:rsidRDefault="00811A15" w:rsidP="00811A15">
            <w:pPr>
              <w:spacing w:line="276" w:lineRule="auto"/>
              <w:jc w:val="center"/>
              <w:rPr>
                <w:b/>
              </w:rPr>
            </w:pPr>
            <w:r w:rsidRPr="0087158C">
              <w:rPr>
                <w:b/>
                <w:bCs/>
              </w:rPr>
              <w:t>OEL (</w:t>
            </w:r>
            <w:r w:rsidRPr="0087158C">
              <w:rPr>
                <w:b/>
              </w:rPr>
              <w:t>µg</w:t>
            </w:r>
            <w:r w:rsidRPr="0087158C">
              <w:rPr>
                <w:b/>
                <w:bCs/>
              </w:rPr>
              <w:t>/m</w:t>
            </w:r>
            <w:r w:rsidRPr="0087158C">
              <w:rPr>
                <w:b/>
                <w:vertAlign w:val="superscript"/>
              </w:rPr>
              <w:t>3</w:t>
            </w:r>
            <w:r>
              <w:rPr>
                <w:b/>
              </w:rPr>
              <w:t xml:space="preserve">, unless otherwise stated)            </w:t>
            </w:r>
            <w:r w:rsidRPr="0087158C">
              <w:rPr>
                <w:b/>
              </w:rPr>
              <w:t xml:space="preserve"> </w:t>
            </w:r>
            <w:r>
              <w:rPr>
                <w:b/>
              </w:rPr>
              <w:t>(</w:t>
            </w:r>
            <w:r w:rsidRPr="0087158C">
              <w:rPr>
                <w:b/>
              </w:rPr>
              <w:t>8-hr TWA</w:t>
            </w:r>
            <w:r>
              <w:rPr>
                <w:b/>
              </w:rPr>
              <w:t>)</w:t>
            </w:r>
          </w:p>
        </w:tc>
      </w:tr>
      <w:tr w:rsidR="00811A15" w14:paraId="53BEDEC2" w14:textId="77777777" w:rsidTr="008D0064">
        <w:trPr>
          <w:jc w:val="center"/>
        </w:trPr>
        <w:tc>
          <w:tcPr>
            <w:tcW w:w="4585" w:type="dxa"/>
            <w:vMerge/>
            <w:tcBorders>
              <w:bottom w:val="single" w:sz="4" w:space="0" w:color="auto"/>
            </w:tcBorders>
          </w:tcPr>
          <w:p w14:paraId="2E96CBC3" w14:textId="77777777" w:rsidR="00811A15" w:rsidRPr="0087158C" w:rsidRDefault="00811A15" w:rsidP="00811A15">
            <w:pPr>
              <w:spacing w:line="276" w:lineRule="auto"/>
              <w:rPr>
                <w:b/>
              </w:rPr>
            </w:pPr>
          </w:p>
        </w:tc>
        <w:tc>
          <w:tcPr>
            <w:tcW w:w="2340" w:type="dxa"/>
            <w:tcBorders>
              <w:bottom w:val="single" w:sz="4" w:space="0" w:color="auto"/>
            </w:tcBorders>
          </w:tcPr>
          <w:p w14:paraId="6A13B774" w14:textId="77777777" w:rsidR="00811A15" w:rsidRPr="0087158C" w:rsidRDefault="00811A15" w:rsidP="00811A15">
            <w:pPr>
              <w:spacing w:line="276" w:lineRule="auto"/>
              <w:jc w:val="center"/>
              <w:rPr>
                <w:b/>
              </w:rPr>
            </w:pPr>
            <w:r>
              <w:rPr>
                <w:b/>
              </w:rPr>
              <w:t>Nanoscale</w:t>
            </w:r>
          </w:p>
        </w:tc>
        <w:tc>
          <w:tcPr>
            <w:tcW w:w="2425" w:type="dxa"/>
            <w:tcBorders>
              <w:bottom w:val="single" w:sz="4" w:space="0" w:color="auto"/>
            </w:tcBorders>
          </w:tcPr>
          <w:p w14:paraId="1171BF26" w14:textId="77777777" w:rsidR="00811A15" w:rsidRPr="0087158C" w:rsidRDefault="00811A15" w:rsidP="00811A15">
            <w:pPr>
              <w:spacing w:line="276" w:lineRule="auto"/>
              <w:jc w:val="center"/>
              <w:rPr>
                <w:b/>
              </w:rPr>
            </w:pPr>
            <w:r>
              <w:rPr>
                <w:b/>
              </w:rPr>
              <w:t>Microscale or unspecified</w:t>
            </w:r>
          </w:p>
        </w:tc>
      </w:tr>
      <w:tr w:rsidR="00811A15" w14:paraId="73272C2D" w14:textId="77777777" w:rsidTr="008D0064">
        <w:trPr>
          <w:jc w:val="center"/>
        </w:trPr>
        <w:tc>
          <w:tcPr>
            <w:tcW w:w="4585" w:type="dxa"/>
            <w:tcBorders>
              <w:bottom w:val="nil"/>
            </w:tcBorders>
          </w:tcPr>
          <w:p w14:paraId="5C749D07" w14:textId="77777777" w:rsidR="00811A15" w:rsidRPr="00783730" w:rsidRDefault="00811A15" w:rsidP="00811A15">
            <w:pPr>
              <w:spacing w:line="276" w:lineRule="auto"/>
            </w:pPr>
            <w:r w:rsidRPr="008E5F5D">
              <w:rPr>
                <w:b/>
              </w:rPr>
              <w:t>Silica</w:t>
            </w:r>
            <w:r>
              <w:t xml:space="preserve"> (SiO</w:t>
            </w:r>
            <w:r w:rsidRPr="001940DF">
              <w:rPr>
                <w:vertAlign w:val="subscript"/>
              </w:rPr>
              <w:t>2</w:t>
            </w:r>
            <w:r>
              <w:t>)</w:t>
            </w:r>
          </w:p>
        </w:tc>
        <w:tc>
          <w:tcPr>
            <w:tcW w:w="2340" w:type="dxa"/>
            <w:tcBorders>
              <w:bottom w:val="nil"/>
            </w:tcBorders>
          </w:tcPr>
          <w:p w14:paraId="00B90C9C" w14:textId="77777777" w:rsidR="00811A15" w:rsidRDefault="00811A15" w:rsidP="00811A15">
            <w:pPr>
              <w:pStyle w:val="Tabletext8"/>
              <w:spacing w:before="0" w:after="0" w:line="276" w:lineRule="auto"/>
              <w:jc w:val="center"/>
              <w:rPr>
                <w:rFonts w:ascii="Times New Roman" w:hAnsi="Times New Roman"/>
                <w:sz w:val="24"/>
                <w:szCs w:val="24"/>
              </w:rPr>
            </w:pPr>
          </w:p>
        </w:tc>
        <w:tc>
          <w:tcPr>
            <w:tcW w:w="2425" w:type="dxa"/>
            <w:tcBorders>
              <w:bottom w:val="nil"/>
            </w:tcBorders>
          </w:tcPr>
          <w:p w14:paraId="562561D6" w14:textId="77777777" w:rsidR="00811A15" w:rsidRDefault="00811A15" w:rsidP="00811A15">
            <w:pPr>
              <w:pStyle w:val="Tabletext8"/>
              <w:spacing w:before="0" w:after="0" w:line="276" w:lineRule="auto"/>
              <w:jc w:val="center"/>
              <w:rPr>
                <w:rFonts w:ascii="Times New Roman" w:hAnsi="Times New Roman"/>
                <w:sz w:val="24"/>
                <w:szCs w:val="24"/>
              </w:rPr>
            </w:pPr>
          </w:p>
        </w:tc>
      </w:tr>
      <w:tr w:rsidR="00811A15" w14:paraId="5ECB1DF7" w14:textId="77777777" w:rsidTr="008D0064">
        <w:trPr>
          <w:jc w:val="center"/>
        </w:trPr>
        <w:tc>
          <w:tcPr>
            <w:tcW w:w="4585" w:type="dxa"/>
            <w:tcBorders>
              <w:top w:val="nil"/>
              <w:bottom w:val="nil"/>
            </w:tcBorders>
          </w:tcPr>
          <w:p w14:paraId="40D6B30F" w14:textId="77777777" w:rsidR="00811A15" w:rsidRPr="00783730" w:rsidRDefault="00811A15" w:rsidP="00811A15">
            <w:pPr>
              <w:spacing w:line="276" w:lineRule="auto"/>
              <w:rPr>
                <w:i/>
              </w:rPr>
            </w:pPr>
            <w:r w:rsidRPr="00783730">
              <w:rPr>
                <w:i/>
              </w:rPr>
              <w:t>Crystalline</w:t>
            </w:r>
          </w:p>
        </w:tc>
        <w:tc>
          <w:tcPr>
            <w:tcW w:w="2340" w:type="dxa"/>
            <w:tcBorders>
              <w:top w:val="nil"/>
              <w:bottom w:val="nil"/>
            </w:tcBorders>
          </w:tcPr>
          <w:p w14:paraId="07A011E8" w14:textId="4AC41627" w:rsidR="00811A15" w:rsidRPr="00322207" w:rsidRDefault="00D9219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N</w:t>
            </w:r>
            <w:r w:rsidR="00FE6A46">
              <w:rPr>
                <w:rFonts w:ascii="Times New Roman" w:hAnsi="Times New Roman"/>
                <w:sz w:val="24"/>
                <w:szCs w:val="24"/>
              </w:rPr>
              <w:t>A</w:t>
            </w:r>
          </w:p>
        </w:tc>
        <w:tc>
          <w:tcPr>
            <w:tcW w:w="2425" w:type="dxa"/>
            <w:tcBorders>
              <w:top w:val="nil"/>
              <w:bottom w:val="nil"/>
            </w:tcBorders>
          </w:tcPr>
          <w:p w14:paraId="22DBA163" w14:textId="5F92C18A" w:rsidR="00811A15" w:rsidRPr="00322207"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50 (resp)</w:t>
            </w:r>
            <w:r w:rsidRPr="0087158C">
              <w:rPr>
                <w:rFonts w:ascii="Times New Roman" w:hAnsi="Times New Roman"/>
                <w:sz w:val="24"/>
                <w:szCs w:val="24"/>
                <w:vertAlign w:val="superscript"/>
              </w:rPr>
              <w:t xml:space="preserve"> </w:t>
            </w:r>
            <w:r w:rsidR="006909C7">
              <w:rPr>
                <w:rFonts w:ascii="Times New Roman" w:hAnsi="Times New Roman"/>
                <w:sz w:val="24"/>
                <w:szCs w:val="24"/>
                <w:vertAlign w:val="superscript"/>
              </w:rPr>
              <w:t>b</w:t>
            </w:r>
          </w:p>
        </w:tc>
      </w:tr>
      <w:tr w:rsidR="00811A15" w14:paraId="739431F7" w14:textId="77777777" w:rsidTr="008D0064">
        <w:trPr>
          <w:jc w:val="center"/>
        </w:trPr>
        <w:tc>
          <w:tcPr>
            <w:tcW w:w="4585" w:type="dxa"/>
            <w:tcBorders>
              <w:top w:val="nil"/>
              <w:bottom w:val="single" w:sz="4" w:space="0" w:color="auto"/>
            </w:tcBorders>
          </w:tcPr>
          <w:p w14:paraId="3149861E" w14:textId="77777777" w:rsidR="00811A15" w:rsidRPr="00783730" w:rsidRDefault="00811A15" w:rsidP="00811A15">
            <w:pPr>
              <w:spacing w:line="276" w:lineRule="auto"/>
              <w:rPr>
                <w:i/>
              </w:rPr>
            </w:pPr>
            <w:r w:rsidRPr="00783730">
              <w:rPr>
                <w:i/>
              </w:rPr>
              <w:t>Amorphous</w:t>
            </w:r>
          </w:p>
        </w:tc>
        <w:tc>
          <w:tcPr>
            <w:tcW w:w="2340" w:type="dxa"/>
            <w:tcBorders>
              <w:top w:val="nil"/>
              <w:bottom w:val="single" w:sz="4" w:space="0" w:color="auto"/>
            </w:tcBorders>
          </w:tcPr>
          <w:p w14:paraId="6CAAEA43" w14:textId="1C17B023" w:rsidR="00811A15" w:rsidRPr="00322207"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300</w:t>
            </w:r>
            <w:r w:rsidRPr="00C21189">
              <w:rPr>
                <w:rFonts w:ascii="Times New Roman" w:hAnsi="Times New Roman"/>
                <w:sz w:val="24"/>
                <w:szCs w:val="24"/>
                <w:vertAlign w:val="superscript"/>
              </w:rPr>
              <w:t xml:space="preserve"> </w:t>
            </w:r>
            <w:r w:rsidR="006909C7">
              <w:rPr>
                <w:rFonts w:ascii="Times New Roman" w:hAnsi="Times New Roman"/>
                <w:sz w:val="24"/>
                <w:szCs w:val="24"/>
                <w:vertAlign w:val="superscript"/>
              </w:rPr>
              <w:t>a</w:t>
            </w:r>
          </w:p>
        </w:tc>
        <w:tc>
          <w:tcPr>
            <w:tcW w:w="2425" w:type="dxa"/>
            <w:tcBorders>
              <w:top w:val="nil"/>
              <w:bottom w:val="single" w:sz="4" w:space="0" w:color="auto"/>
            </w:tcBorders>
          </w:tcPr>
          <w:p w14:paraId="73EA0379" w14:textId="53CD02DC" w:rsidR="00811A15" w:rsidRPr="00322207"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6,000 (total</w:t>
            </w:r>
            <w:r w:rsidRPr="001A719B">
              <w:rPr>
                <w:rFonts w:ascii="Times New Roman" w:hAnsi="Times New Roman"/>
                <w:sz w:val="24"/>
                <w:szCs w:val="24"/>
              </w:rPr>
              <w:t>)</w:t>
            </w:r>
            <w:r w:rsidRPr="0087158C">
              <w:rPr>
                <w:rFonts w:ascii="Times New Roman" w:hAnsi="Times New Roman"/>
                <w:sz w:val="24"/>
                <w:szCs w:val="24"/>
                <w:vertAlign w:val="superscript"/>
              </w:rPr>
              <w:t xml:space="preserve"> </w:t>
            </w:r>
            <w:r w:rsidR="006909C7">
              <w:rPr>
                <w:rFonts w:ascii="Times New Roman" w:hAnsi="Times New Roman"/>
                <w:sz w:val="24"/>
                <w:szCs w:val="24"/>
                <w:vertAlign w:val="superscript"/>
              </w:rPr>
              <w:t>b</w:t>
            </w:r>
          </w:p>
        </w:tc>
      </w:tr>
      <w:tr w:rsidR="00D401D4" w14:paraId="4F8DFA99" w14:textId="77777777" w:rsidTr="008D0064">
        <w:trPr>
          <w:jc w:val="center"/>
        </w:trPr>
        <w:tc>
          <w:tcPr>
            <w:tcW w:w="4585" w:type="dxa"/>
            <w:tcBorders>
              <w:top w:val="nil"/>
              <w:bottom w:val="single" w:sz="4" w:space="0" w:color="auto"/>
            </w:tcBorders>
          </w:tcPr>
          <w:p w14:paraId="233F137D" w14:textId="0266016C" w:rsidR="00D401D4" w:rsidRPr="00D401D4" w:rsidRDefault="00D401D4" w:rsidP="00811A15">
            <w:pPr>
              <w:rPr>
                <w:i/>
              </w:rPr>
            </w:pPr>
            <w:r>
              <w:rPr>
                <w:b/>
              </w:rPr>
              <w:t>Titanium dioxide</w:t>
            </w:r>
            <w:r>
              <w:t xml:space="preserve"> (TiO</w:t>
            </w:r>
            <w:r w:rsidRPr="001940DF">
              <w:rPr>
                <w:vertAlign w:val="subscript"/>
              </w:rPr>
              <w:t>2</w:t>
            </w:r>
            <w:r>
              <w:t>)</w:t>
            </w:r>
          </w:p>
        </w:tc>
        <w:tc>
          <w:tcPr>
            <w:tcW w:w="2340" w:type="dxa"/>
            <w:tcBorders>
              <w:top w:val="nil"/>
              <w:bottom w:val="single" w:sz="4" w:space="0" w:color="auto"/>
            </w:tcBorders>
          </w:tcPr>
          <w:p w14:paraId="0D67429C" w14:textId="7AF38B15" w:rsidR="00D401D4" w:rsidRDefault="00D401D4"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17</w:t>
            </w:r>
            <w:r>
              <w:rPr>
                <w:rFonts w:ascii="Times New Roman" w:hAnsi="Times New Roman"/>
                <w:sz w:val="24"/>
                <w:szCs w:val="24"/>
                <w:vertAlign w:val="superscript"/>
              </w:rPr>
              <w:t xml:space="preserve"> </w:t>
            </w:r>
            <w:r w:rsidR="006909C7">
              <w:rPr>
                <w:rFonts w:ascii="Times New Roman" w:hAnsi="Times New Roman"/>
                <w:sz w:val="24"/>
                <w:szCs w:val="24"/>
                <w:vertAlign w:val="superscript"/>
              </w:rPr>
              <w:t>c</w:t>
            </w:r>
          </w:p>
          <w:p w14:paraId="4E06D9F9" w14:textId="7A88FFF5" w:rsidR="006909C7" w:rsidRDefault="006909C7"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100</w:t>
            </w:r>
            <w:r>
              <w:rPr>
                <w:rFonts w:ascii="Times New Roman" w:hAnsi="Times New Roman"/>
                <w:sz w:val="24"/>
                <w:szCs w:val="24"/>
                <w:vertAlign w:val="superscript"/>
              </w:rPr>
              <w:t xml:space="preserve"> d</w:t>
            </w:r>
          </w:p>
          <w:p w14:paraId="3E8801FF" w14:textId="6C2BAAAC" w:rsidR="00D401D4" w:rsidRDefault="003B5CE4"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 xml:space="preserve"> </w:t>
            </w:r>
            <w:r w:rsidR="00D401D4">
              <w:rPr>
                <w:rFonts w:ascii="Times New Roman" w:hAnsi="Times New Roman"/>
                <w:sz w:val="24"/>
                <w:szCs w:val="24"/>
              </w:rPr>
              <w:t>300</w:t>
            </w:r>
            <w:r w:rsidR="00D401D4">
              <w:rPr>
                <w:rFonts w:ascii="Times New Roman" w:hAnsi="Times New Roman"/>
                <w:sz w:val="24"/>
                <w:szCs w:val="24"/>
                <w:vertAlign w:val="superscript"/>
              </w:rPr>
              <w:t xml:space="preserve"> </w:t>
            </w:r>
            <w:r w:rsidR="006909C7">
              <w:rPr>
                <w:rFonts w:ascii="Times New Roman" w:hAnsi="Times New Roman"/>
                <w:sz w:val="24"/>
                <w:szCs w:val="24"/>
                <w:vertAlign w:val="superscript"/>
              </w:rPr>
              <w:t>e</w:t>
            </w:r>
            <w:r w:rsidR="003471E9">
              <w:rPr>
                <w:rFonts w:ascii="Times New Roman" w:hAnsi="Times New Roman"/>
                <w:sz w:val="24"/>
                <w:szCs w:val="24"/>
                <w:vertAlign w:val="superscript"/>
              </w:rPr>
              <w:t>,f</w:t>
            </w:r>
          </w:p>
          <w:p w14:paraId="45DB6ACA" w14:textId="623F8709" w:rsidR="00D401D4" w:rsidRDefault="00D401D4" w:rsidP="00D401D4">
            <w:pPr>
              <w:pStyle w:val="Tabletext8"/>
              <w:spacing w:before="0" w:after="0" w:line="276" w:lineRule="auto"/>
              <w:jc w:val="center"/>
              <w:rPr>
                <w:rFonts w:ascii="Times New Roman" w:hAnsi="Times New Roman"/>
                <w:sz w:val="24"/>
                <w:szCs w:val="24"/>
              </w:rPr>
            </w:pPr>
            <w:r>
              <w:rPr>
                <w:rFonts w:ascii="Times New Roman" w:hAnsi="Times New Roman"/>
                <w:sz w:val="24"/>
                <w:szCs w:val="24"/>
              </w:rPr>
              <w:t>610</w:t>
            </w:r>
            <w:r>
              <w:rPr>
                <w:rFonts w:ascii="Times New Roman" w:hAnsi="Times New Roman"/>
                <w:sz w:val="24"/>
                <w:szCs w:val="24"/>
                <w:vertAlign w:val="superscript"/>
              </w:rPr>
              <w:t xml:space="preserve"> </w:t>
            </w:r>
            <w:r w:rsidR="003471E9">
              <w:rPr>
                <w:rFonts w:ascii="Times New Roman" w:hAnsi="Times New Roman"/>
                <w:sz w:val="24"/>
                <w:szCs w:val="24"/>
                <w:vertAlign w:val="superscript"/>
              </w:rPr>
              <w:t>g</w:t>
            </w:r>
          </w:p>
        </w:tc>
        <w:tc>
          <w:tcPr>
            <w:tcW w:w="2425" w:type="dxa"/>
            <w:tcBorders>
              <w:top w:val="nil"/>
              <w:bottom w:val="single" w:sz="4" w:space="0" w:color="auto"/>
            </w:tcBorders>
          </w:tcPr>
          <w:p w14:paraId="5A5F506A" w14:textId="3A2C5C88" w:rsidR="00D401D4" w:rsidRDefault="00D401D4"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2,400 (resp)</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h</w:t>
            </w:r>
          </w:p>
          <w:p w14:paraId="0D9CB30F" w14:textId="52E69556" w:rsidR="00D401D4" w:rsidRDefault="00D401D4"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15,000 (total)</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i</w:t>
            </w:r>
          </w:p>
        </w:tc>
      </w:tr>
      <w:tr w:rsidR="00811A15" w14:paraId="1D5B29C7" w14:textId="77777777" w:rsidTr="008D0064">
        <w:trPr>
          <w:jc w:val="center"/>
        </w:trPr>
        <w:tc>
          <w:tcPr>
            <w:tcW w:w="4585" w:type="dxa"/>
            <w:tcBorders>
              <w:bottom w:val="nil"/>
            </w:tcBorders>
          </w:tcPr>
          <w:p w14:paraId="4AA9B55D" w14:textId="77777777" w:rsidR="00811A15" w:rsidRPr="00EE7E47" w:rsidRDefault="00811A15" w:rsidP="00811A15">
            <w:pPr>
              <w:spacing w:line="276" w:lineRule="auto"/>
            </w:pPr>
            <w:r w:rsidRPr="008E5F5D">
              <w:rPr>
                <w:b/>
              </w:rPr>
              <w:t xml:space="preserve">Silver </w:t>
            </w:r>
            <w:r>
              <w:t>(Ag)</w:t>
            </w:r>
          </w:p>
        </w:tc>
        <w:tc>
          <w:tcPr>
            <w:tcW w:w="2340" w:type="dxa"/>
            <w:tcBorders>
              <w:bottom w:val="nil"/>
            </w:tcBorders>
          </w:tcPr>
          <w:p w14:paraId="6B9F7EC8" w14:textId="77777777" w:rsidR="00811A15" w:rsidRPr="0030694D" w:rsidRDefault="00811A15" w:rsidP="00811A15">
            <w:pPr>
              <w:pStyle w:val="Tabletext8"/>
              <w:spacing w:before="0" w:after="0" w:line="276" w:lineRule="auto"/>
              <w:jc w:val="center"/>
              <w:rPr>
                <w:rFonts w:ascii="Times New Roman" w:hAnsi="Times New Roman"/>
                <w:sz w:val="24"/>
                <w:szCs w:val="24"/>
              </w:rPr>
            </w:pPr>
          </w:p>
        </w:tc>
        <w:tc>
          <w:tcPr>
            <w:tcW w:w="2425" w:type="dxa"/>
            <w:tcBorders>
              <w:bottom w:val="nil"/>
            </w:tcBorders>
          </w:tcPr>
          <w:p w14:paraId="60CFC23B" w14:textId="77777777" w:rsidR="00811A15" w:rsidRPr="0030694D" w:rsidRDefault="00811A15" w:rsidP="00811A15">
            <w:pPr>
              <w:pStyle w:val="Tabletext8"/>
              <w:spacing w:before="0" w:after="0" w:line="276" w:lineRule="auto"/>
              <w:jc w:val="center"/>
              <w:rPr>
                <w:rFonts w:ascii="Times New Roman" w:hAnsi="Times New Roman"/>
                <w:sz w:val="24"/>
                <w:szCs w:val="24"/>
              </w:rPr>
            </w:pPr>
          </w:p>
        </w:tc>
      </w:tr>
      <w:tr w:rsidR="00811A15" w14:paraId="062132AF" w14:textId="77777777" w:rsidTr="008D0064">
        <w:trPr>
          <w:jc w:val="center"/>
        </w:trPr>
        <w:tc>
          <w:tcPr>
            <w:tcW w:w="4585" w:type="dxa"/>
            <w:tcBorders>
              <w:top w:val="nil"/>
              <w:bottom w:val="nil"/>
            </w:tcBorders>
          </w:tcPr>
          <w:p w14:paraId="3D5F9ACF" w14:textId="77777777" w:rsidR="002734F7" w:rsidRDefault="002734F7" w:rsidP="002734F7">
            <w:pPr>
              <w:spacing w:line="276" w:lineRule="auto"/>
              <w:rPr>
                <w:i/>
              </w:rPr>
            </w:pPr>
          </w:p>
          <w:p w14:paraId="7DED97A0" w14:textId="77777777" w:rsidR="002734F7" w:rsidRDefault="002734F7" w:rsidP="002734F7">
            <w:pPr>
              <w:spacing w:line="276" w:lineRule="auto"/>
              <w:rPr>
                <w:i/>
              </w:rPr>
            </w:pPr>
          </w:p>
          <w:p w14:paraId="4D5E70B0" w14:textId="72FBEC77" w:rsidR="00811A15" w:rsidRPr="008D3C45" w:rsidRDefault="002734F7" w:rsidP="002734F7">
            <w:pPr>
              <w:spacing w:line="276" w:lineRule="auto"/>
              <w:rPr>
                <w:i/>
              </w:rPr>
            </w:pPr>
            <w:r>
              <w:rPr>
                <w:i/>
              </w:rPr>
              <w:t>M</w:t>
            </w:r>
            <w:r w:rsidRPr="002734F7">
              <w:rPr>
                <w:i/>
              </w:rPr>
              <w:t>etal dust, fume, and</w:t>
            </w:r>
            <w:r w:rsidR="00AD4FEC">
              <w:rPr>
                <w:i/>
              </w:rPr>
              <w:t>/or</w:t>
            </w:r>
            <w:r w:rsidRPr="002734F7">
              <w:rPr>
                <w:i/>
              </w:rPr>
              <w:t xml:space="preserve"> soluble compounds </w:t>
            </w:r>
          </w:p>
        </w:tc>
        <w:tc>
          <w:tcPr>
            <w:tcW w:w="2340" w:type="dxa"/>
            <w:tcBorders>
              <w:top w:val="nil"/>
              <w:bottom w:val="nil"/>
            </w:tcBorders>
          </w:tcPr>
          <w:p w14:paraId="3B15EF06" w14:textId="45AB8478" w:rsidR="00811A15" w:rsidRDefault="00811A15" w:rsidP="00811A15">
            <w:pPr>
              <w:pStyle w:val="Tabletext8"/>
              <w:spacing w:before="0" w:after="0" w:line="276" w:lineRule="auto"/>
              <w:jc w:val="center"/>
              <w:rPr>
                <w:rFonts w:ascii="Times New Roman" w:hAnsi="Times New Roman"/>
                <w:sz w:val="24"/>
                <w:szCs w:val="24"/>
                <w:vertAlign w:val="superscript"/>
              </w:rPr>
            </w:pPr>
            <w:r>
              <w:rPr>
                <w:rFonts w:ascii="Times New Roman" w:hAnsi="Times New Roman"/>
                <w:sz w:val="24"/>
                <w:szCs w:val="24"/>
              </w:rPr>
              <w:t>0.33, 0.67</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j</w:t>
            </w:r>
          </w:p>
          <w:p w14:paraId="537F7FE9" w14:textId="5B29E0AE" w:rsidR="00811A15" w:rsidRPr="00AC5B88" w:rsidRDefault="002734F7"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0.19</w:t>
            </w:r>
            <w:r w:rsidR="00811A15">
              <w:rPr>
                <w:rFonts w:ascii="Times New Roman" w:hAnsi="Times New Roman"/>
                <w:sz w:val="24"/>
                <w:szCs w:val="24"/>
                <w:vertAlign w:val="superscript"/>
              </w:rPr>
              <w:t xml:space="preserve"> </w:t>
            </w:r>
            <w:r w:rsidR="00EF2CFC">
              <w:rPr>
                <w:rFonts w:ascii="Times New Roman" w:hAnsi="Times New Roman"/>
                <w:sz w:val="24"/>
                <w:szCs w:val="24"/>
                <w:vertAlign w:val="superscript"/>
              </w:rPr>
              <w:t>k</w:t>
            </w:r>
          </w:p>
        </w:tc>
        <w:tc>
          <w:tcPr>
            <w:tcW w:w="2425" w:type="dxa"/>
            <w:tcBorders>
              <w:top w:val="nil"/>
              <w:bottom w:val="nil"/>
            </w:tcBorders>
          </w:tcPr>
          <w:p w14:paraId="5B985F1D" w14:textId="77777777" w:rsidR="002734F7" w:rsidRDefault="002734F7" w:rsidP="00811A15">
            <w:pPr>
              <w:pStyle w:val="Tabletext8"/>
              <w:spacing w:before="0" w:after="0" w:line="276" w:lineRule="auto"/>
              <w:jc w:val="center"/>
              <w:rPr>
                <w:rFonts w:ascii="Times New Roman" w:hAnsi="Times New Roman"/>
                <w:sz w:val="24"/>
                <w:szCs w:val="24"/>
              </w:rPr>
            </w:pPr>
          </w:p>
          <w:p w14:paraId="7C5C4F4C" w14:textId="77777777" w:rsidR="002734F7" w:rsidRDefault="002734F7" w:rsidP="00811A15">
            <w:pPr>
              <w:pStyle w:val="Tabletext8"/>
              <w:spacing w:before="0" w:after="0" w:line="276" w:lineRule="auto"/>
              <w:jc w:val="center"/>
              <w:rPr>
                <w:rFonts w:ascii="Times New Roman" w:hAnsi="Times New Roman"/>
                <w:sz w:val="24"/>
                <w:szCs w:val="24"/>
              </w:rPr>
            </w:pPr>
          </w:p>
          <w:p w14:paraId="5D5AF977" w14:textId="6230C8E3" w:rsidR="00811A15" w:rsidRDefault="002734F7"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 xml:space="preserve">    </w:t>
            </w:r>
            <w:r w:rsidR="00811A15">
              <w:rPr>
                <w:rFonts w:ascii="Times New Roman" w:hAnsi="Times New Roman"/>
                <w:sz w:val="24"/>
                <w:szCs w:val="24"/>
              </w:rPr>
              <w:t>10 (total)</w:t>
            </w:r>
            <w:r w:rsidR="00811A15">
              <w:rPr>
                <w:rFonts w:ascii="Times New Roman" w:hAnsi="Times New Roman"/>
                <w:sz w:val="24"/>
                <w:szCs w:val="24"/>
                <w:vertAlign w:val="superscript"/>
              </w:rPr>
              <w:t xml:space="preserve"> </w:t>
            </w:r>
            <w:r w:rsidR="00EF2CFC">
              <w:rPr>
                <w:rFonts w:ascii="Times New Roman" w:hAnsi="Times New Roman"/>
                <w:sz w:val="24"/>
                <w:szCs w:val="24"/>
                <w:vertAlign w:val="superscript"/>
              </w:rPr>
              <w:t>l</w:t>
            </w:r>
            <w:r w:rsidR="00811A15">
              <w:rPr>
                <w:rFonts w:ascii="Times New Roman" w:hAnsi="Times New Roman"/>
                <w:sz w:val="24"/>
                <w:szCs w:val="24"/>
                <w:vertAlign w:val="superscript"/>
              </w:rPr>
              <w:t xml:space="preserve">, </w:t>
            </w:r>
            <w:r w:rsidR="00EF2CFC">
              <w:rPr>
                <w:rFonts w:ascii="Times New Roman" w:hAnsi="Times New Roman"/>
                <w:sz w:val="24"/>
                <w:szCs w:val="24"/>
                <w:vertAlign w:val="superscript"/>
              </w:rPr>
              <w:t>m</w:t>
            </w:r>
          </w:p>
        </w:tc>
      </w:tr>
      <w:tr w:rsidR="00811A15" w14:paraId="3EAA0C59" w14:textId="77777777" w:rsidTr="008D0064">
        <w:trPr>
          <w:jc w:val="center"/>
        </w:trPr>
        <w:tc>
          <w:tcPr>
            <w:tcW w:w="4585" w:type="dxa"/>
            <w:tcBorders>
              <w:top w:val="nil"/>
              <w:bottom w:val="single" w:sz="4" w:space="0" w:color="auto"/>
            </w:tcBorders>
          </w:tcPr>
          <w:p w14:paraId="42A21EFE" w14:textId="049794B2" w:rsidR="00811A15" w:rsidRPr="008D3C45" w:rsidRDefault="002734F7" w:rsidP="00811A15">
            <w:pPr>
              <w:spacing w:line="276" w:lineRule="auto"/>
              <w:rPr>
                <w:i/>
              </w:rPr>
            </w:pPr>
            <w:r>
              <w:rPr>
                <w:i/>
              </w:rPr>
              <w:t>Metal dust and fume</w:t>
            </w:r>
          </w:p>
        </w:tc>
        <w:tc>
          <w:tcPr>
            <w:tcW w:w="2340" w:type="dxa"/>
            <w:tcBorders>
              <w:top w:val="nil"/>
              <w:bottom w:val="single" w:sz="4" w:space="0" w:color="auto"/>
            </w:tcBorders>
          </w:tcPr>
          <w:p w14:paraId="608BD1AF" w14:textId="77777777" w:rsidR="00811A15" w:rsidRPr="007756E4" w:rsidRDefault="00811A15" w:rsidP="00811A15">
            <w:pPr>
              <w:pStyle w:val="Tabletext8"/>
              <w:spacing w:before="0" w:after="0" w:line="276" w:lineRule="auto"/>
              <w:jc w:val="center"/>
              <w:rPr>
                <w:rFonts w:ascii="Times New Roman" w:hAnsi="Times New Roman"/>
                <w:sz w:val="24"/>
                <w:szCs w:val="24"/>
              </w:rPr>
            </w:pPr>
          </w:p>
        </w:tc>
        <w:tc>
          <w:tcPr>
            <w:tcW w:w="2425" w:type="dxa"/>
            <w:tcBorders>
              <w:top w:val="nil"/>
              <w:bottom w:val="single" w:sz="4" w:space="0" w:color="auto"/>
            </w:tcBorders>
          </w:tcPr>
          <w:p w14:paraId="6EF8177D" w14:textId="4630172D" w:rsidR="00811A15" w:rsidRPr="007756E4"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100 (total)</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m</w:t>
            </w:r>
          </w:p>
        </w:tc>
      </w:tr>
      <w:tr w:rsidR="00811A15" w14:paraId="0CEF4EBB" w14:textId="77777777" w:rsidTr="008D0064">
        <w:trPr>
          <w:jc w:val="center"/>
        </w:trPr>
        <w:tc>
          <w:tcPr>
            <w:tcW w:w="4585" w:type="dxa"/>
            <w:tcBorders>
              <w:bottom w:val="nil"/>
            </w:tcBorders>
          </w:tcPr>
          <w:p w14:paraId="1CA88894" w14:textId="77777777" w:rsidR="00811A15" w:rsidRPr="00783730" w:rsidRDefault="00811A15" w:rsidP="00811A15">
            <w:pPr>
              <w:pStyle w:val="Tabletext8"/>
              <w:spacing w:before="0" w:after="0" w:line="276" w:lineRule="auto"/>
              <w:jc w:val="left"/>
              <w:rPr>
                <w:rFonts w:ascii="Times New Roman" w:hAnsi="Times New Roman"/>
                <w:sz w:val="24"/>
                <w:szCs w:val="24"/>
              </w:rPr>
            </w:pPr>
            <w:r w:rsidRPr="008E5F5D">
              <w:rPr>
                <w:rFonts w:ascii="Times New Roman" w:hAnsi="Times New Roman"/>
                <w:b/>
                <w:sz w:val="24"/>
                <w:szCs w:val="24"/>
              </w:rPr>
              <w:t>Carbon nanotubes</w:t>
            </w:r>
            <w:r>
              <w:rPr>
                <w:rFonts w:ascii="Times New Roman" w:hAnsi="Times New Roman"/>
                <w:sz w:val="24"/>
                <w:szCs w:val="24"/>
              </w:rPr>
              <w:t xml:space="preserve"> (C)</w:t>
            </w:r>
          </w:p>
        </w:tc>
        <w:tc>
          <w:tcPr>
            <w:tcW w:w="2340" w:type="dxa"/>
            <w:tcBorders>
              <w:bottom w:val="nil"/>
            </w:tcBorders>
          </w:tcPr>
          <w:p w14:paraId="088C4BDE" w14:textId="77777777" w:rsidR="00811A15" w:rsidRPr="0030694D" w:rsidRDefault="00811A15" w:rsidP="00811A15">
            <w:pPr>
              <w:pStyle w:val="Tabletext8"/>
              <w:spacing w:before="0" w:after="0" w:line="276" w:lineRule="auto"/>
              <w:jc w:val="center"/>
              <w:rPr>
                <w:rFonts w:ascii="Times New Roman" w:hAnsi="Times New Roman"/>
                <w:sz w:val="24"/>
                <w:szCs w:val="24"/>
              </w:rPr>
            </w:pPr>
          </w:p>
        </w:tc>
        <w:tc>
          <w:tcPr>
            <w:tcW w:w="2425" w:type="dxa"/>
            <w:tcBorders>
              <w:bottom w:val="nil"/>
            </w:tcBorders>
          </w:tcPr>
          <w:p w14:paraId="09473CAC" w14:textId="77777777" w:rsidR="00811A15" w:rsidRPr="006271E5" w:rsidRDefault="00811A15" w:rsidP="00811A15">
            <w:pPr>
              <w:pStyle w:val="Tabletext8"/>
              <w:spacing w:before="0" w:after="0" w:line="276" w:lineRule="auto"/>
              <w:rPr>
                <w:rFonts w:ascii="Times New Roman" w:hAnsi="Times New Roman"/>
                <w:sz w:val="24"/>
                <w:szCs w:val="24"/>
              </w:rPr>
            </w:pPr>
          </w:p>
        </w:tc>
      </w:tr>
      <w:tr w:rsidR="00811A15" w14:paraId="4614D4B5" w14:textId="77777777" w:rsidTr="008D0064">
        <w:trPr>
          <w:jc w:val="center"/>
        </w:trPr>
        <w:tc>
          <w:tcPr>
            <w:tcW w:w="4585" w:type="dxa"/>
            <w:tcBorders>
              <w:top w:val="nil"/>
              <w:bottom w:val="nil"/>
            </w:tcBorders>
          </w:tcPr>
          <w:p w14:paraId="4231C96F" w14:textId="19415BF2" w:rsidR="00D149D1" w:rsidRDefault="00D149D1" w:rsidP="00811A15">
            <w:pPr>
              <w:spacing w:line="276" w:lineRule="auto"/>
              <w:rPr>
                <w:i/>
              </w:rPr>
            </w:pPr>
            <w:r>
              <w:rPr>
                <w:i/>
              </w:rPr>
              <w:t>MWCNT</w:t>
            </w:r>
          </w:p>
          <w:p w14:paraId="53AC10E8" w14:textId="2D020976" w:rsidR="00811A15" w:rsidRPr="00783730" w:rsidRDefault="00811A15" w:rsidP="00811A15">
            <w:pPr>
              <w:spacing w:line="276" w:lineRule="auto"/>
              <w:rPr>
                <w:i/>
              </w:rPr>
            </w:pPr>
            <w:r w:rsidRPr="00783730">
              <w:rPr>
                <w:i/>
              </w:rPr>
              <w:t>CNT &amp; CNF</w:t>
            </w:r>
            <w:r>
              <w:rPr>
                <w:i/>
              </w:rPr>
              <w:t>, including</w:t>
            </w:r>
            <w:r w:rsidRPr="008E5F5D">
              <w:rPr>
                <w:b/>
                <w:i/>
              </w:rPr>
              <w:t xml:space="preserve"> </w:t>
            </w:r>
            <w:r w:rsidRPr="00D92195">
              <w:rPr>
                <w:i/>
              </w:rPr>
              <w:t>SWCNT</w:t>
            </w:r>
          </w:p>
        </w:tc>
        <w:tc>
          <w:tcPr>
            <w:tcW w:w="2340" w:type="dxa"/>
            <w:tcBorders>
              <w:top w:val="nil"/>
              <w:bottom w:val="nil"/>
            </w:tcBorders>
          </w:tcPr>
          <w:p w14:paraId="0C68C457" w14:textId="18ED35A9" w:rsidR="00D149D1" w:rsidRDefault="00D149D1"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 xml:space="preserve">0.67 </w:t>
            </w:r>
            <w:r w:rsidR="00EF2CFC">
              <w:rPr>
                <w:rFonts w:ascii="Times New Roman" w:hAnsi="Times New Roman"/>
                <w:sz w:val="24"/>
                <w:szCs w:val="24"/>
                <w:vertAlign w:val="superscript"/>
              </w:rPr>
              <w:t>n</w:t>
            </w:r>
          </w:p>
          <w:p w14:paraId="0B117E3C" w14:textId="3DF60120" w:rsidR="00811A15"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o</w:t>
            </w:r>
          </w:p>
        </w:tc>
        <w:tc>
          <w:tcPr>
            <w:tcW w:w="2425" w:type="dxa"/>
            <w:tcBorders>
              <w:top w:val="nil"/>
              <w:bottom w:val="nil"/>
            </w:tcBorders>
          </w:tcPr>
          <w:p w14:paraId="39247121" w14:textId="77777777" w:rsidR="00811A15" w:rsidRPr="006271E5" w:rsidRDefault="00811A15" w:rsidP="00811A15">
            <w:pPr>
              <w:spacing w:line="276" w:lineRule="auto"/>
            </w:pPr>
          </w:p>
        </w:tc>
      </w:tr>
      <w:tr w:rsidR="00811A15" w14:paraId="32885A8F" w14:textId="77777777" w:rsidTr="008D0064">
        <w:trPr>
          <w:jc w:val="center"/>
        </w:trPr>
        <w:tc>
          <w:tcPr>
            <w:tcW w:w="4585" w:type="dxa"/>
            <w:tcBorders>
              <w:top w:val="nil"/>
              <w:bottom w:val="nil"/>
            </w:tcBorders>
          </w:tcPr>
          <w:p w14:paraId="2830F5CD" w14:textId="77777777" w:rsidR="00811A15" w:rsidRPr="00783730" w:rsidRDefault="00811A15" w:rsidP="00811A15">
            <w:pPr>
              <w:spacing w:line="276" w:lineRule="auto"/>
              <w:rPr>
                <w:i/>
              </w:rPr>
            </w:pPr>
            <w:r w:rsidRPr="00783730">
              <w:rPr>
                <w:i/>
              </w:rPr>
              <w:t>MWCNT</w:t>
            </w:r>
          </w:p>
        </w:tc>
        <w:tc>
          <w:tcPr>
            <w:tcW w:w="2340" w:type="dxa"/>
            <w:tcBorders>
              <w:top w:val="nil"/>
              <w:bottom w:val="nil"/>
            </w:tcBorders>
          </w:tcPr>
          <w:p w14:paraId="79528F56" w14:textId="2195F20F" w:rsidR="00811A15" w:rsidRPr="007756E4"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1, 2</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p</w:t>
            </w:r>
          </w:p>
        </w:tc>
        <w:tc>
          <w:tcPr>
            <w:tcW w:w="2425" w:type="dxa"/>
            <w:tcBorders>
              <w:top w:val="nil"/>
              <w:bottom w:val="nil"/>
            </w:tcBorders>
          </w:tcPr>
          <w:p w14:paraId="6F51DC96" w14:textId="1073DD3A" w:rsidR="00811A15" w:rsidRPr="006271E5" w:rsidRDefault="00811A15" w:rsidP="0093425F">
            <w:pPr>
              <w:spacing w:line="276" w:lineRule="auto"/>
              <w:jc w:val="center"/>
            </w:pPr>
            <w:r w:rsidRPr="006271E5">
              <w:t>N</w:t>
            </w:r>
            <w:r w:rsidR="0093425F">
              <w:t>A</w:t>
            </w:r>
          </w:p>
        </w:tc>
      </w:tr>
      <w:tr w:rsidR="00811A15" w14:paraId="73C5CA71" w14:textId="77777777" w:rsidTr="008D0064">
        <w:trPr>
          <w:jc w:val="center"/>
        </w:trPr>
        <w:tc>
          <w:tcPr>
            <w:tcW w:w="4585" w:type="dxa"/>
            <w:tcBorders>
              <w:top w:val="nil"/>
              <w:bottom w:val="nil"/>
            </w:tcBorders>
          </w:tcPr>
          <w:p w14:paraId="3406E15D" w14:textId="77777777" w:rsidR="00811A15" w:rsidRPr="00783730" w:rsidRDefault="00811A15" w:rsidP="00811A15">
            <w:pPr>
              <w:pStyle w:val="Tabletext8"/>
              <w:spacing w:before="0" w:after="0" w:line="276" w:lineRule="auto"/>
              <w:jc w:val="left"/>
              <w:rPr>
                <w:rFonts w:ascii="Times New Roman" w:hAnsi="Times New Roman"/>
                <w:i/>
                <w:sz w:val="24"/>
                <w:szCs w:val="24"/>
              </w:rPr>
            </w:pPr>
            <w:r w:rsidRPr="00783730">
              <w:rPr>
                <w:rFonts w:ascii="Times New Roman" w:hAnsi="Times New Roman"/>
                <w:i/>
                <w:sz w:val="24"/>
                <w:szCs w:val="24"/>
              </w:rPr>
              <w:t>CNT</w:t>
            </w:r>
            <w:r>
              <w:rPr>
                <w:rFonts w:ascii="Times New Roman" w:hAnsi="Times New Roman"/>
                <w:i/>
                <w:sz w:val="24"/>
                <w:szCs w:val="24"/>
              </w:rPr>
              <w:t xml:space="preserve">, including </w:t>
            </w:r>
            <w:r w:rsidRPr="00D92195">
              <w:rPr>
                <w:rFonts w:ascii="Times New Roman" w:hAnsi="Times New Roman"/>
                <w:i/>
                <w:sz w:val="24"/>
                <w:szCs w:val="24"/>
              </w:rPr>
              <w:t>SWCNT</w:t>
            </w:r>
          </w:p>
        </w:tc>
        <w:tc>
          <w:tcPr>
            <w:tcW w:w="2340" w:type="dxa"/>
            <w:tcBorders>
              <w:top w:val="nil"/>
              <w:bottom w:val="nil"/>
            </w:tcBorders>
          </w:tcPr>
          <w:p w14:paraId="07007638" w14:textId="47FAC141" w:rsidR="00811A15" w:rsidRPr="0030694D"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30</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q</w:t>
            </w:r>
          </w:p>
        </w:tc>
        <w:tc>
          <w:tcPr>
            <w:tcW w:w="2425" w:type="dxa"/>
            <w:tcBorders>
              <w:top w:val="nil"/>
              <w:bottom w:val="nil"/>
            </w:tcBorders>
          </w:tcPr>
          <w:p w14:paraId="37C3F61F" w14:textId="77777777" w:rsidR="00811A15" w:rsidRPr="006271E5" w:rsidRDefault="00811A15" w:rsidP="00811A15">
            <w:pPr>
              <w:spacing w:line="276" w:lineRule="auto"/>
            </w:pPr>
          </w:p>
        </w:tc>
      </w:tr>
      <w:tr w:rsidR="00811A15" w14:paraId="5CE835EF" w14:textId="77777777" w:rsidTr="008D0064">
        <w:trPr>
          <w:jc w:val="center"/>
        </w:trPr>
        <w:tc>
          <w:tcPr>
            <w:tcW w:w="4585" w:type="dxa"/>
            <w:tcBorders>
              <w:top w:val="nil"/>
            </w:tcBorders>
          </w:tcPr>
          <w:p w14:paraId="05F44053" w14:textId="6EEB92C9" w:rsidR="00811A15" w:rsidRPr="00783730" w:rsidRDefault="00811A15" w:rsidP="00811A15">
            <w:pPr>
              <w:spacing w:line="276" w:lineRule="auto"/>
              <w:rPr>
                <w:b/>
                <w:i/>
              </w:rPr>
            </w:pPr>
            <w:r w:rsidRPr="00783730">
              <w:rPr>
                <w:i/>
              </w:rPr>
              <w:t>MWCNT (Baytubes</w:t>
            </w:r>
            <w:r w:rsidRPr="00783730">
              <w:rPr>
                <w:i/>
              </w:rPr>
              <w:sym w:font="Symbol" w:char="F0E2"/>
            </w:r>
            <w:r w:rsidRPr="00783730">
              <w:rPr>
                <w:i/>
              </w:rPr>
              <w:t>)</w:t>
            </w:r>
          </w:p>
        </w:tc>
        <w:tc>
          <w:tcPr>
            <w:tcW w:w="2340" w:type="dxa"/>
            <w:tcBorders>
              <w:top w:val="nil"/>
            </w:tcBorders>
          </w:tcPr>
          <w:p w14:paraId="06545997" w14:textId="79D4A384" w:rsidR="00811A15" w:rsidRPr="007756E4"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50</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r</w:t>
            </w:r>
          </w:p>
        </w:tc>
        <w:tc>
          <w:tcPr>
            <w:tcW w:w="2425" w:type="dxa"/>
            <w:tcBorders>
              <w:top w:val="nil"/>
            </w:tcBorders>
          </w:tcPr>
          <w:p w14:paraId="6CFDBA7D" w14:textId="77777777" w:rsidR="00811A15" w:rsidRPr="0030694D" w:rsidRDefault="00811A15" w:rsidP="00811A15">
            <w:pPr>
              <w:pStyle w:val="Tabletext8"/>
              <w:spacing w:before="0" w:after="0" w:line="276" w:lineRule="auto"/>
              <w:jc w:val="center"/>
              <w:rPr>
                <w:rFonts w:ascii="Times New Roman" w:hAnsi="Times New Roman"/>
                <w:sz w:val="24"/>
                <w:szCs w:val="24"/>
              </w:rPr>
            </w:pPr>
          </w:p>
        </w:tc>
      </w:tr>
      <w:tr w:rsidR="00811A15" w14:paraId="00184E7A" w14:textId="77777777" w:rsidTr="008D0064">
        <w:trPr>
          <w:jc w:val="center"/>
        </w:trPr>
        <w:tc>
          <w:tcPr>
            <w:tcW w:w="4585" w:type="dxa"/>
            <w:tcBorders>
              <w:bottom w:val="single" w:sz="4" w:space="0" w:color="auto"/>
            </w:tcBorders>
          </w:tcPr>
          <w:p w14:paraId="5369FAA6" w14:textId="77777777" w:rsidR="00811A15" w:rsidRPr="00783730" w:rsidRDefault="00811A15" w:rsidP="00811A15">
            <w:pPr>
              <w:spacing w:line="276" w:lineRule="auto"/>
            </w:pPr>
            <w:r w:rsidRPr="008E5F5D">
              <w:rPr>
                <w:b/>
              </w:rPr>
              <w:t>Graphene</w:t>
            </w:r>
            <w:r>
              <w:t xml:space="preserve"> (C)</w:t>
            </w:r>
          </w:p>
        </w:tc>
        <w:tc>
          <w:tcPr>
            <w:tcW w:w="2340" w:type="dxa"/>
            <w:tcBorders>
              <w:bottom w:val="single" w:sz="4" w:space="0" w:color="auto"/>
            </w:tcBorders>
          </w:tcPr>
          <w:p w14:paraId="23C19091" w14:textId="6D91F50A" w:rsidR="00811A15" w:rsidRPr="0030694D" w:rsidRDefault="004B6931"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NA</w:t>
            </w:r>
          </w:p>
        </w:tc>
        <w:tc>
          <w:tcPr>
            <w:tcW w:w="2425" w:type="dxa"/>
            <w:tcBorders>
              <w:bottom w:val="single" w:sz="4" w:space="0" w:color="auto"/>
            </w:tcBorders>
          </w:tcPr>
          <w:p w14:paraId="53D3D17B" w14:textId="137264AA" w:rsidR="00811A15" w:rsidRPr="0030694D" w:rsidRDefault="00811A15" w:rsidP="0093425F">
            <w:pPr>
              <w:pStyle w:val="Tabletext8"/>
              <w:spacing w:before="0" w:after="0" w:line="276" w:lineRule="auto"/>
              <w:jc w:val="center"/>
              <w:rPr>
                <w:rFonts w:ascii="Times New Roman" w:hAnsi="Times New Roman"/>
                <w:sz w:val="24"/>
                <w:szCs w:val="24"/>
              </w:rPr>
            </w:pPr>
            <w:r>
              <w:rPr>
                <w:rFonts w:ascii="Times New Roman" w:hAnsi="Times New Roman"/>
                <w:sz w:val="24"/>
                <w:szCs w:val="24"/>
              </w:rPr>
              <w:t>N</w:t>
            </w:r>
            <w:r w:rsidR="0093425F">
              <w:rPr>
                <w:rFonts w:ascii="Times New Roman" w:hAnsi="Times New Roman"/>
                <w:sz w:val="24"/>
                <w:szCs w:val="24"/>
              </w:rPr>
              <w:t>A</w:t>
            </w:r>
          </w:p>
        </w:tc>
      </w:tr>
      <w:tr w:rsidR="00811A15" w14:paraId="16A43970" w14:textId="77777777" w:rsidTr="008D0064">
        <w:trPr>
          <w:jc w:val="center"/>
        </w:trPr>
        <w:tc>
          <w:tcPr>
            <w:tcW w:w="4585" w:type="dxa"/>
            <w:tcBorders>
              <w:bottom w:val="nil"/>
            </w:tcBorders>
          </w:tcPr>
          <w:p w14:paraId="3F875C49" w14:textId="77777777" w:rsidR="00811A15" w:rsidRPr="00783730" w:rsidRDefault="00811A15" w:rsidP="00811A15">
            <w:pPr>
              <w:spacing w:line="276" w:lineRule="auto"/>
            </w:pPr>
            <w:r w:rsidRPr="00783730">
              <w:t xml:space="preserve">Graphite </w:t>
            </w:r>
            <w:r>
              <w:t xml:space="preserve">(C) – </w:t>
            </w:r>
            <w:r w:rsidRPr="008E5F5D">
              <w:t>chemically-related material</w:t>
            </w:r>
          </w:p>
        </w:tc>
        <w:tc>
          <w:tcPr>
            <w:tcW w:w="2340" w:type="dxa"/>
            <w:tcBorders>
              <w:bottom w:val="nil"/>
            </w:tcBorders>
          </w:tcPr>
          <w:p w14:paraId="46EC3EAD" w14:textId="77777777" w:rsidR="00811A15" w:rsidRPr="00783730" w:rsidRDefault="00811A15" w:rsidP="00811A15">
            <w:pPr>
              <w:pStyle w:val="Tabletext8"/>
              <w:spacing w:before="0" w:after="0" w:line="276" w:lineRule="auto"/>
              <w:rPr>
                <w:rFonts w:ascii="Times New Roman" w:hAnsi="Times New Roman"/>
                <w:sz w:val="24"/>
                <w:szCs w:val="24"/>
              </w:rPr>
            </w:pPr>
          </w:p>
        </w:tc>
        <w:tc>
          <w:tcPr>
            <w:tcW w:w="2425" w:type="dxa"/>
            <w:tcBorders>
              <w:bottom w:val="nil"/>
            </w:tcBorders>
          </w:tcPr>
          <w:p w14:paraId="702D585F" w14:textId="77777777" w:rsidR="00811A15" w:rsidRPr="00783730" w:rsidRDefault="00811A15" w:rsidP="00811A15">
            <w:pPr>
              <w:pStyle w:val="Tabletext8"/>
              <w:spacing w:before="0" w:after="0" w:line="276" w:lineRule="auto"/>
              <w:jc w:val="center"/>
              <w:rPr>
                <w:rFonts w:ascii="Times New Roman" w:hAnsi="Times New Roman"/>
                <w:sz w:val="24"/>
                <w:szCs w:val="24"/>
              </w:rPr>
            </w:pPr>
          </w:p>
        </w:tc>
      </w:tr>
      <w:tr w:rsidR="00811A15" w14:paraId="702699C0" w14:textId="77777777" w:rsidTr="008D0064">
        <w:trPr>
          <w:jc w:val="center"/>
        </w:trPr>
        <w:tc>
          <w:tcPr>
            <w:tcW w:w="4585" w:type="dxa"/>
            <w:tcBorders>
              <w:top w:val="nil"/>
              <w:bottom w:val="nil"/>
            </w:tcBorders>
          </w:tcPr>
          <w:p w14:paraId="353C3A28" w14:textId="77777777" w:rsidR="00811A15" w:rsidRPr="008E5F5D" w:rsidRDefault="00811A15" w:rsidP="00811A15">
            <w:pPr>
              <w:spacing w:line="276" w:lineRule="auto"/>
              <w:rPr>
                <w:i/>
              </w:rPr>
            </w:pPr>
            <w:r w:rsidRPr="008E5F5D">
              <w:rPr>
                <w:i/>
              </w:rPr>
              <w:t>Synthetic</w:t>
            </w:r>
          </w:p>
        </w:tc>
        <w:tc>
          <w:tcPr>
            <w:tcW w:w="2340" w:type="dxa"/>
            <w:tcBorders>
              <w:top w:val="nil"/>
              <w:bottom w:val="nil"/>
            </w:tcBorders>
          </w:tcPr>
          <w:p w14:paraId="628FDA69" w14:textId="268C941E" w:rsidR="00811A15" w:rsidRPr="00783730" w:rsidRDefault="004B6931"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NA</w:t>
            </w:r>
          </w:p>
        </w:tc>
        <w:tc>
          <w:tcPr>
            <w:tcW w:w="2425" w:type="dxa"/>
            <w:tcBorders>
              <w:top w:val="nil"/>
              <w:bottom w:val="nil"/>
            </w:tcBorders>
          </w:tcPr>
          <w:p w14:paraId="43BACBBB" w14:textId="7A1B0BE0" w:rsidR="00811A15" w:rsidRPr="00783730"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15,000 (total)</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s</w:t>
            </w:r>
          </w:p>
        </w:tc>
      </w:tr>
      <w:tr w:rsidR="00811A15" w14:paraId="37ABA484" w14:textId="77777777" w:rsidTr="008D0064">
        <w:trPr>
          <w:jc w:val="center"/>
        </w:trPr>
        <w:tc>
          <w:tcPr>
            <w:tcW w:w="4585" w:type="dxa"/>
            <w:tcBorders>
              <w:top w:val="nil"/>
              <w:bottom w:val="nil"/>
            </w:tcBorders>
          </w:tcPr>
          <w:p w14:paraId="13E54C45" w14:textId="77777777" w:rsidR="00811A15" w:rsidRPr="008E5F5D" w:rsidRDefault="00811A15" w:rsidP="00811A15">
            <w:pPr>
              <w:spacing w:line="276" w:lineRule="auto"/>
              <w:rPr>
                <w:i/>
              </w:rPr>
            </w:pPr>
          </w:p>
        </w:tc>
        <w:tc>
          <w:tcPr>
            <w:tcW w:w="2340" w:type="dxa"/>
            <w:tcBorders>
              <w:top w:val="nil"/>
              <w:bottom w:val="nil"/>
            </w:tcBorders>
          </w:tcPr>
          <w:p w14:paraId="5EABADBC" w14:textId="77777777" w:rsidR="00811A15" w:rsidRPr="00783730" w:rsidRDefault="00811A15" w:rsidP="00811A15">
            <w:pPr>
              <w:pStyle w:val="Tabletext8"/>
              <w:spacing w:before="0" w:after="0" w:line="276" w:lineRule="auto"/>
              <w:jc w:val="center"/>
              <w:rPr>
                <w:rFonts w:ascii="Times New Roman" w:hAnsi="Times New Roman"/>
                <w:sz w:val="24"/>
                <w:szCs w:val="24"/>
              </w:rPr>
            </w:pPr>
          </w:p>
        </w:tc>
        <w:tc>
          <w:tcPr>
            <w:tcW w:w="2425" w:type="dxa"/>
            <w:tcBorders>
              <w:top w:val="nil"/>
              <w:bottom w:val="nil"/>
            </w:tcBorders>
          </w:tcPr>
          <w:p w14:paraId="7B34E7C0" w14:textId="7AA38D6D" w:rsidR="00811A15" w:rsidRPr="00783730"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5,000 (resp)</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s</w:t>
            </w:r>
          </w:p>
        </w:tc>
      </w:tr>
      <w:tr w:rsidR="00811A15" w14:paraId="57329AD9" w14:textId="77777777" w:rsidTr="008D0064">
        <w:trPr>
          <w:jc w:val="center"/>
        </w:trPr>
        <w:tc>
          <w:tcPr>
            <w:tcW w:w="4585" w:type="dxa"/>
            <w:tcBorders>
              <w:top w:val="nil"/>
              <w:bottom w:val="single" w:sz="4" w:space="0" w:color="auto"/>
            </w:tcBorders>
          </w:tcPr>
          <w:p w14:paraId="4ED327DB" w14:textId="77777777" w:rsidR="00811A15" w:rsidRPr="00783730" w:rsidRDefault="00811A15" w:rsidP="00811A15">
            <w:pPr>
              <w:spacing w:line="276" w:lineRule="auto"/>
            </w:pPr>
            <w:r w:rsidRPr="008E5F5D">
              <w:rPr>
                <w:i/>
              </w:rPr>
              <w:t>Natural</w:t>
            </w:r>
          </w:p>
        </w:tc>
        <w:tc>
          <w:tcPr>
            <w:tcW w:w="2340" w:type="dxa"/>
            <w:tcBorders>
              <w:top w:val="nil"/>
              <w:bottom w:val="single" w:sz="4" w:space="0" w:color="auto"/>
            </w:tcBorders>
          </w:tcPr>
          <w:p w14:paraId="15ACD67A" w14:textId="77777777" w:rsidR="00811A15" w:rsidRPr="00783730" w:rsidRDefault="00811A15" w:rsidP="00811A15">
            <w:pPr>
              <w:pStyle w:val="Tabletext8"/>
              <w:spacing w:before="0" w:after="0" w:line="276" w:lineRule="auto"/>
              <w:jc w:val="center"/>
              <w:rPr>
                <w:rFonts w:ascii="Times New Roman" w:hAnsi="Times New Roman"/>
                <w:sz w:val="24"/>
                <w:szCs w:val="24"/>
              </w:rPr>
            </w:pPr>
          </w:p>
        </w:tc>
        <w:tc>
          <w:tcPr>
            <w:tcW w:w="2425" w:type="dxa"/>
            <w:tcBorders>
              <w:top w:val="nil"/>
              <w:bottom w:val="single" w:sz="4" w:space="0" w:color="auto"/>
            </w:tcBorders>
          </w:tcPr>
          <w:p w14:paraId="22ACB899" w14:textId="6F7594F1" w:rsidR="00811A15" w:rsidRPr="00783730"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2,500 (resp)</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t</w:t>
            </w:r>
          </w:p>
        </w:tc>
      </w:tr>
      <w:tr w:rsidR="00811A15" w14:paraId="5DF9986F" w14:textId="77777777" w:rsidTr="008D0064">
        <w:trPr>
          <w:jc w:val="center"/>
        </w:trPr>
        <w:tc>
          <w:tcPr>
            <w:tcW w:w="4585" w:type="dxa"/>
            <w:tcBorders>
              <w:bottom w:val="nil"/>
            </w:tcBorders>
          </w:tcPr>
          <w:p w14:paraId="4B6B6BCB" w14:textId="77777777" w:rsidR="00811A15" w:rsidRPr="006C75B8" w:rsidRDefault="00811A15" w:rsidP="00811A15">
            <w:pPr>
              <w:spacing w:line="276" w:lineRule="auto"/>
            </w:pPr>
            <w:r w:rsidRPr="006C75B8">
              <w:t xml:space="preserve">Carbon black </w:t>
            </w:r>
            <w:r>
              <w:t xml:space="preserve">(C) </w:t>
            </w:r>
            <w:r w:rsidRPr="006C75B8">
              <w:t>– chemically-related material</w:t>
            </w:r>
          </w:p>
        </w:tc>
        <w:tc>
          <w:tcPr>
            <w:tcW w:w="2340" w:type="dxa"/>
            <w:tcBorders>
              <w:bottom w:val="nil"/>
            </w:tcBorders>
          </w:tcPr>
          <w:p w14:paraId="73133956" w14:textId="0CDFD59E" w:rsidR="00811A15" w:rsidRPr="00783730" w:rsidRDefault="004B6931"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NA</w:t>
            </w:r>
          </w:p>
        </w:tc>
        <w:tc>
          <w:tcPr>
            <w:tcW w:w="2425" w:type="dxa"/>
            <w:tcBorders>
              <w:bottom w:val="nil"/>
            </w:tcBorders>
          </w:tcPr>
          <w:p w14:paraId="438B9C57" w14:textId="0212CFD1" w:rsidR="00811A15"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3,500 (resp)</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u</w:t>
            </w:r>
          </w:p>
        </w:tc>
      </w:tr>
      <w:tr w:rsidR="00811A15" w14:paraId="346E3D0C" w14:textId="77777777" w:rsidTr="008D0064">
        <w:trPr>
          <w:jc w:val="center"/>
        </w:trPr>
        <w:tc>
          <w:tcPr>
            <w:tcW w:w="4585" w:type="dxa"/>
            <w:tcBorders>
              <w:bottom w:val="nil"/>
            </w:tcBorders>
          </w:tcPr>
          <w:p w14:paraId="4B59CA91" w14:textId="77777777" w:rsidR="00811A15" w:rsidRPr="00255367" w:rsidRDefault="00811A15" w:rsidP="00811A15">
            <w:pPr>
              <w:spacing w:line="276" w:lineRule="auto"/>
              <w:rPr>
                <w:b/>
              </w:rPr>
            </w:pPr>
            <w:r w:rsidRPr="00255367">
              <w:rPr>
                <w:b/>
              </w:rPr>
              <w:t>Cellulose</w:t>
            </w:r>
          </w:p>
        </w:tc>
        <w:tc>
          <w:tcPr>
            <w:tcW w:w="2340" w:type="dxa"/>
            <w:tcBorders>
              <w:bottom w:val="nil"/>
            </w:tcBorders>
          </w:tcPr>
          <w:p w14:paraId="4EBCFA43" w14:textId="77777777" w:rsidR="00811A15" w:rsidRPr="00783730" w:rsidRDefault="00811A15" w:rsidP="00811A15">
            <w:pPr>
              <w:pStyle w:val="Tabletext8"/>
              <w:spacing w:before="0" w:after="0" w:line="276" w:lineRule="auto"/>
              <w:jc w:val="center"/>
              <w:rPr>
                <w:rFonts w:ascii="Times New Roman" w:hAnsi="Times New Roman"/>
                <w:sz w:val="24"/>
                <w:szCs w:val="24"/>
              </w:rPr>
            </w:pPr>
          </w:p>
        </w:tc>
        <w:tc>
          <w:tcPr>
            <w:tcW w:w="2425" w:type="dxa"/>
            <w:tcBorders>
              <w:bottom w:val="nil"/>
            </w:tcBorders>
          </w:tcPr>
          <w:p w14:paraId="42D9B129" w14:textId="26BB27FE" w:rsidR="00811A15" w:rsidRPr="00783730"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15,000 (total)</w:t>
            </w:r>
            <w:r>
              <w:rPr>
                <w:rFonts w:ascii="Times New Roman" w:hAnsi="Times New Roman"/>
                <w:sz w:val="24"/>
                <w:szCs w:val="24"/>
                <w:vertAlign w:val="superscript"/>
              </w:rPr>
              <w:t xml:space="preserve"> </w:t>
            </w:r>
            <w:r w:rsidR="00EF2CFC">
              <w:rPr>
                <w:rFonts w:ascii="Times New Roman" w:hAnsi="Times New Roman"/>
                <w:sz w:val="24"/>
                <w:szCs w:val="24"/>
                <w:vertAlign w:val="superscript"/>
              </w:rPr>
              <w:t>w</w:t>
            </w:r>
          </w:p>
        </w:tc>
      </w:tr>
      <w:tr w:rsidR="00811A15" w14:paraId="3133E2DC" w14:textId="77777777" w:rsidTr="008D0064">
        <w:trPr>
          <w:jc w:val="center"/>
        </w:trPr>
        <w:tc>
          <w:tcPr>
            <w:tcW w:w="4585" w:type="dxa"/>
            <w:tcBorders>
              <w:top w:val="nil"/>
              <w:bottom w:val="nil"/>
            </w:tcBorders>
          </w:tcPr>
          <w:p w14:paraId="0428D652" w14:textId="77777777" w:rsidR="00811A15" w:rsidRPr="00783730" w:rsidRDefault="00811A15" w:rsidP="00811A15">
            <w:pPr>
              <w:spacing w:line="276" w:lineRule="auto"/>
            </w:pPr>
          </w:p>
        </w:tc>
        <w:tc>
          <w:tcPr>
            <w:tcW w:w="2340" w:type="dxa"/>
            <w:tcBorders>
              <w:top w:val="nil"/>
              <w:bottom w:val="nil"/>
            </w:tcBorders>
          </w:tcPr>
          <w:p w14:paraId="2DB2BCEA" w14:textId="74FA1569" w:rsidR="00811A15" w:rsidRPr="00783730" w:rsidRDefault="00811A15" w:rsidP="00811A15">
            <w:pPr>
              <w:pStyle w:val="Tabletext8"/>
              <w:spacing w:before="0" w:after="0" w:line="276" w:lineRule="auto"/>
              <w:jc w:val="center"/>
              <w:rPr>
                <w:rFonts w:ascii="Times New Roman" w:hAnsi="Times New Roman"/>
                <w:sz w:val="24"/>
                <w:szCs w:val="24"/>
              </w:rPr>
            </w:pPr>
            <w:r>
              <w:rPr>
                <w:rFonts w:ascii="Times New Roman" w:hAnsi="Times New Roman"/>
                <w:sz w:val="24"/>
                <w:szCs w:val="24"/>
              </w:rPr>
              <w:t>0.01 fibers/ml</w:t>
            </w:r>
            <w:r w:rsidRPr="002B00C8">
              <w:rPr>
                <w:rFonts w:ascii="Times New Roman" w:hAnsi="Times New Roman"/>
                <w:sz w:val="24"/>
                <w:szCs w:val="24"/>
                <w:vertAlign w:val="superscript"/>
              </w:rPr>
              <w:t xml:space="preserve"> </w:t>
            </w:r>
            <w:r w:rsidR="00EF2CFC">
              <w:rPr>
                <w:rFonts w:ascii="Times New Roman" w:hAnsi="Times New Roman"/>
                <w:sz w:val="24"/>
                <w:szCs w:val="24"/>
                <w:vertAlign w:val="superscript"/>
              </w:rPr>
              <w:t>v</w:t>
            </w:r>
          </w:p>
        </w:tc>
        <w:tc>
          <w:tcPr>
            <w:tcW w:w="2425" w:type="dxa"/>
            <w:tcBorders>
              <w:top w:val="nil"/>
              <w:bottom w:val="nil"/>
            </w:tcBorders>
          </w:tcPr>
          <w:p w14:paraId="3D062E88" w14:textId="391461B2" w:rsidR="00811A15" w:rsidRPr="00783730" w:rsidRDefault="00811A15" w:rsidP="00811A15">
            <w:pPr>
              <w:spacing w:line="276" w:lineRule="auto"/>
              <w:jc w:val="center"/>
            </w:pPr>
            <w:r>
              <w:t>10,000 (total)</w:t>
            </w:r>
            <w:r>
              <w:rPr>
                <w:vertAlign w:val="superscript"/>
              </w:rPr>
              <w:t xml:space="preserve"> </w:t>
            </w:r>
            <w:r w:rsidR="00EF2CFC">
              <w:rPr>
                <w:vertAlign w:val="superscript"/>
              </w:rPr>
              <w:t>x</w:t>
            </w:r>
          </w:p>
        </w:tc>
      </w:tr>
      <w:tr w:rsidR="00811A15" w14:paraId="688B1548" w14:textId="77777777" w:rsidTr="008D0064">
        <w:trPr>
          <w:jc w:val="center"/>
        </w:trPr>
        <w:tc>
          <w:tcPr>
            <w:tcW w:w="4585" w:type="dxa"/>
            <w:tcBorders>
              <w:top w:val="nil"/>
              <w:bottom w:val="single" w:sz="4" w:space="0" w:color="auto"/>
            </w:tcBorders>
          </w:tcPr>
          <w:p w14:paraId="2E92E864" w14:textId="77777777" w:rsidR="00811A15" w:rsidRPr="00783730" w:rsidRDefault="00811A15" w:rsidP="00811A15">
            <w:pPr>
              <w:spacing w:line="276" w:lineRule="auto"/>
            </w:pPr>
          </w:p>
        </w:tc>
        <w:tc>
          <w:tcPr>
            <w:tcW w:w="2340" w:type="dxa"/>
            <w:tcBorders>
              <w:top w:val="nil"/>
              <w:bottom w:val="single" w:sz="4" w:space="0" w:color="auto"/>
            </w:tcBorders>
          </w:tcPr>
          <w:p w14:paraId="54EA0F55" w14:textId="77777777" w:rsidR="00811A15" w:rsidRPr="00783730" w:rsidRDefault="00811A15" w:rsidP="00811A15">
            <w:pPr>
              <w:spacing w:line="276" w:lineRule="auto"/>
            </w:pPr>
          </w:p>
        </w:tc>
        <w:tc>
          <w:tcPr>
            <w:tcW w:w="2425" w:type="dxa"/>
            <w:tcBorders>
              <w:top w:val="nil"/>
              <w:bottom w:val="single" w:sz="4" w:space="0" w:color="auto"/>
            </w:tcBorders>
          </w:tcPr>
          <w:p w14:paraId="325B02E7" w14:textId="0E1A6A49" w:rsidR="00811A15" w:rsidRDefault="00811A15" w:rsidP="00811A15">
            <w:pPr>
              <w:spacing w:line="276" w:lineRule="auto"/>
              <w:jc w:val="center"/>
            </w:pPr>
            <w:r>
              <w:t>5,000 (resp)</w:t>
            </w:r>
            <w:r>
              <w:rPr>
                <w:vertAlign w:val="superscript"/>
              </w:rPr>
              <w:t xml:space="preserve"> </w:t>
            </w:r>
            <w:r w:rsidR="00EF2CFC">
              <w:rPr>
                <w:vertAlign w:val="superscript"/>
              </w:rPr>
              <w:t>w</w:t>
            </w:r>
            <w:r>
              <w:rPr>
                <w:vertAlign w:val="superscript"/>
              </w:rPr>
              <w:t>,</w:t>
            </w:r>
            <w:r w:rsidR="00EF2CFC">
              <w:rPr>
                <w:vertAlign w:val="superscript"/>
              </w:rPr>
              <w:t>x</w:t>
            </w:r>
          </w:p>
        </w:tc>
      </w:tr>
      <w:tr w:rsidR="00811A15" w14:paraId="6D7D4BDC" w14:textId="77777777" w:rsidTr="008D0064">
        <w:trPr>
          <w:trHeight w:val="485"/>
          <w:jc w:val="center"/>
        </w:trPr>
        <w:tc>
          <w:tcPr>
            <w:tcW w:w="4585" w:type="dxa"/>
            <w:tcBorders>
              <w:top w:val="single" w:sz="4" w:space="0" w:color="auto"/>
            </w:tcBorders>
          </w:tcPr>
          <w:p w14:paraId="3ABC624B" w14:textId="77777777" w:rsidR="00811A15" w:rsidRPr="00783730" w:rsidRDefault="00811A15" w:rsidP="00811A15">
            <w:pPr>
              <w:spacing w:line="276" w:lineRule="auto"/>
            </w:pPr>
            <w:r>
              <w:t>Particles not otherwise regulated (PNOR)</w:t>
            </w:r>
          </w:p>
        </w:tc>
        <w:tc>
          <w:tcPr>
            <w:tcW w:w="2340" w:type="dxa"/>
            <w:tcBorders>
              <w:top w:val="single" w:sz="4" w:space="0" w:color="auto"/>
            </w:tcBorders>
          </w:tcPr>
          <w:p w14:paraId="6813A9BD" w14:textId="266C2BFE" w:rsidR="00811A15" w:rsidRPr="00783730" w:rsidRDefault="004B6931" w:rsidP="00811A15">
            <w:pPr>
              <w:spacing w:line="276" w:lineRule="auto"/>
              <w:jc w:val="center"/>
            </w:pPr>
            <w:r>
              <w:t>NA</w:t>
            </w:r>
          </w:p>
        </w:tc>
        <w:tc>
          <w:tcPr>
            <w:tcW w:w="2425" w:type="dxa"/>
            <w:tcBorders>
              <w:top w:val="single" w:sz="4" w:space="0" w:color="auto"/>
            </w:tcBorders>
          </w:tcPr>
          <w:p w14:paraId="5563B756" w14:textId="1EE06EF7" w:rsidR="00811A15" w:rsidRDefault="00811A15" w:rsidP="00811A15">
            <w:pPr>
              <w:spacing w:line="276" w:lineRule="auto"/>
              <w:jc w:val="center"/>
            </w:pPr>
            <w:r>
              <w:t>5,000 (resp)</w:t>
            </w:r>
            <w:r>
              <w:rPr>
                <w:vertAlign w:val="superscript"/>
              </w:rPr>
              <w:t xml:space="preserve"> </w:t>
            </w:r>
            <w:r w:rsidR="00EF2CFC">
              <w:rPr>
                <w:vertAlign w:val="superscript"/>
              </w:rPr>
              <w:t>y</w:t>
            </w:r>
          </w:p>
        </w:tc>
      </w:tr>
    </w:tbl>
    <w:p w14:paraId="7AD42D28" w14:textId="7903EAE8" w:rsidR="00D92195" w:rsidRDefault="00811A15" w:rsidP="00811A15">
      <w:pPr>
        <w:spacing w:before="120" w:after="0" w:line="240" w:lineRule="auto"/>
        <w:rPr>
          <w:rFonts w:ascii="Times New Roman" w:hAnsi="Times New Roman" w:cs="Times New Roman"/>
          <w:b/>
        </w:rPr>
      </w:pPr>
      <w:r w:rsidRPr="008D0064">
        <w:rPr>
          <w:rFonts w:ascii="Times New Roman" w:hAnsi="Times New Roman" w:cs="Times New Roman"/>
          <w:b/>
        </w:rPr>
        <w:t>Footnotes on next page</w:t>
      </w:r>
      <w:r w:rsidR="00D92195">
        <w:rPr>
          <w:rFonts w:ascii="Times New Roman" w:hAnsi="Times New Roman" w:cs="Times New Roman"/>
          <w:b/>
        </w:rPr>
        <w:t>.</w:t>
      </w:r>
    </w:p>
    <w:p w14:paraId="2657C4E9" w14:textId="77777777" w:rsidR="00D92195" w:rsidRDefault="00D92195">
      <w:pPr>
        <w:rPr>
          <w:rFonts w:ascii="Times New Roman" w:hAnsi="Times New Roman" w:cs="Times New Roman"/>
          <w:b/>
        </w:rPr>
      </w:pPr>
      <w:r>
        <w:rPr>
          <w:rFonts w:ascii="Times New Roman" w:hAnsi="Times New Roman" w:cs="Times New Roman"/>
          <w:b/>
        </w:rPr>
        <w:br w:type="page"/>
      </w:r>
    </w:p>
    <w:p w14:paraId="246CB261" w14:textId="77777777" w:rsidR="00811A15" w:rsidRPr="008D0064" w:rsidRDefault="00811A15" w:rsidP="00811A15">
      <w:pPr>
        <w:spacing w:before="120" w:after="0" w:line="240" w:lineRule="auto"/>
        <w:rPr>
          <w:rFonts w:ascii="Times New Roman" w:hAnsi="Times New Roman" w:cs="Times New Roman"/>
          <w:b/>
        </w:rPr>
      </w:pPr>
    </w:p>
    <w:p w14:paraId="788F6C44" w14:textId="3C0AB851" w:rsidR="00811A15" w:rsidRPr="008D0064" w:rsidRDefault="00811A15" w:rsidP="008D0064">
      <w:pPr>
        <w:spacing w:after="120"/>
        <w:rPr>
          <w:rFonts w:ascii="Times New Roman" w:hAnsi="Times New Roman" w:cs="Times New Roman"/>
          <w:b/>
        </w:rPr>
      </w:pPr>
      <w:r w:rsidRPr="008D0064">
        <w:rPr>
          <w:rFonts w:ascii="Times New Roman" w:hAnsi="Times New Roman" w:cs="Times New Roman"/>
          <w:b/>
        </w:rPr>
        <w:t xml:space="preserve">Footnotes to Table </w:t>
      </w:r>
      <w:r w:rsidR="002A40CF" w:rsidRPr="008D0064">
        <w:rPr>
          <w:rFonts w:ascii="Times New Roman" w:hAnsi="Times New Roman" w:cs="Times New Roman"/>
          <w:b/>
        </w:rPr>
        <w:t>S-</w:t>
      </w:r>
      <w:r w:rsidRPr="008D0064">
        <w:rPr>
          <w:rFonts w:ascii="Times New Roman" w:hAnsi="Times New Roman" w:cs="Times New Roman"/>
          <w:b/>
        </w:rPr>
        <w:t>1:</w:t>
      </w:r>
    </w:p>
    <w:p w14:paraId="31396890" w14:textId="1DDC4252" w:rsidR="00811A15" w:rsidRPr="0042752B" w:rsidRDefault="00811A15" w:rsidP="00811A15">
      <w:pPr>
        <w:spacing w:before="120" w:after="0"/>
        <w:rPr>
          <w:rFonts w:ascii="Times New Roman" w:hAnsi="Times New Roman" w:cs="Times New Roman"/>
        </w:rPr>
      </w:pPr>
      <w:r w:rsidRPr="0042752B">
        <w:rPr>
          <w:rFonts w:ascii="Times New Roman" w:hAnsi="Times New Roman" w:cs="Times New Roman"/>
          <w:b/>
        </w:rPr>
        <w:t>Silica</w:t>
      </w:r>
      <w:r w:rsidRPr="0042752B">
        <w:rPr>
          <w:rFonts w:ascii="Times New Roman" w:hAnsi="Times New Roman"/>
        </w:rPr>
        <w:t xml:space="preserve">:  </w:t>
      </w:r>
      <w:r w:rsidRPr="0042752B">
        <w:rPr>
          <w:rFonts w:ascii="Times New Roman" w:hAnsi="Times New Roman"/>
          <w:vertAlign w:val="superscript"/>
        </w:rPr>
        <w:t>a</w:t>
      </w:r>
      <w:r w:rsidRPr="0042752B">
        <w:rPr>
          <w:rFonts w:ascii="Times New Roman" w:hAnsi="Times New Roman"/>
        </w:rPr>
        <w:t xml:space="preserve"> </w:t>
      </w:r>
      <w:r w:rsidR="007F6B62" w:rsidRPr="00811A15">
        <w:rPr>
          <w:rFonts w:ascii="Times New Roman" w:hAnsi="Times New Roman" w:cs="Times New Roman"/>
        </w:rPr>
        <w:t xml:space="preserve">Stockmann-Juvala </w:t>
      </w:r>
      <w:r w:rsidR="007F6B62">
        <w:rPr>
          <w:rFonts w:ascii="Times New Roman" w:hAnsi="Times New Roman" w:cs="Times New Roman"/>
        </w:rPr>
        <w:t xml:space="preserve">et al. </w:t>
      </w:r>
      <w:r w:rsidR="007F6B62" w:rsidRPr="00811A15">
        <w:rPr>
          <w:rFonts w:ascii="Times New Roman" w:hAnsi="Times New Roman" w:cs="Times New Roman"/>
        </w:rPr>
        <w:t>2014</w:t>
      </w:r>
      <w:r w:rsidR="007F6B62">
        <w:rPr>
          <w:rFonts w:ascii="Times New Roman" w:hAnsi="Times New Roman" w:cs="Times New Roman"/>
        </w:rPr>
        <w:t xml:space="preserve">; </w:t>
      </w:r>
      <w:r w:rsidR="007F6B62" w:rsidRPr="0042752B">
        <w:rPr>
          <w:rFonts w:ascii="Times New Roman" w:hAnsi="Times New Roman"/>
          <w:vertAlign w:val="superscript"/>
        </w:rPr>
        <w:t>b</w:t>
      </w:r>
      <w:r w:rsidR="007F6B62" w:rsidRPr="0042752B">
        <w:rPr>
          <w:rFonts w:ascii="Times New Roman" w:hAnsi="Times New Roman" w:cs="Times New Roman"/>
        </w:rPr>
        <w:t xml:space="preserve"> </w:t>
      </w:r>
      <w:r w:rsidRPr="0042752B">
        <w:rPr>
          <w:rFonts w:ascii="Times New Roman" w:hAnsi="Times New Roman" w:cs="Times New Roman"/>
        </w:rPr>
        <w:t>NIOSH 2007.</w:t>
      </w:r>
    </w:p>
    <w:p w14:paraId="0E388134" w14:textId="0DA94E99" w:rsidR="007F6B62" w:rsidRDefault="00811A15" w:rsidP="00811A15">
      <w:pPr>
        <w:spacing w:after="0"/>
        <w:rPr>
          <w:rFonts w:ascii="Times New Roman" w:hAnsi="Times New Roman" w:cs="Times New Roman"/>
        </w:rPr>
      </w:pPr>
      <w:r w:rsidRPr="0042752B">
        <w:rPr>
          <w:rFonts w:ascii="Times New Roman" w:hAnsi="Times New Roman"/>
          <w:b/>
        </w:rPr>
        <w:t>Titanium dioxide</w:t>
      </w:r>
      <w:r w:rsidRPr="0042752B">
        <w:rPr>
          <w:rFonts w:ascii="Times New Roman" w:hAnsi="Times New Roman"/>
        </w:rPr>
        <w:t xml:space="preserve">:  </w:t>
      </w:r>
      <w:r w:rsidR="007F6B62">
        <w:rPr>
          <w:rFonts w:ascii="Times New Roman" w:hAnsi="Times New Roman"/>
          <w:vertAlign w:val="superscript"/>
        </w:rPr>
        <w:t>c</w:t>
      </w:r>
      <w:r w:rsidRPr="0042752B">
        <w:rPr>
          <w:rFonts w:ascii="Times New Roman" w:hAnsi="Times New Roman" w:cs="Times New Roman"/>
        </w:rPr>
        <w:t xml:space="preserve"> Aschberger et al. 2011;</w:t>
      </w:r>
      <w:r w:rsidR="007F6B62">
        <w:rPr>
          <w:rFonts w:ascii="Times New Roman" w:hAnsi="Times New Roman" w:cs="Times New Roman"/>
        </w:rPr>
        <w:t xml:space="preserve"> </w:t>
      </w:r>
      <w:r w:rsidR="007F6B62">
        <w:rPr>
          <w:rFonts w:ascii="Times New Roman" w:hAnsi="Times New Roman"/>
          <w:vertAlign w:val="superscript"/>
        </w:rPr>
        <w:t>d</w:t>
      </w:r>
      <w:r w:rsidR="007F6B62" w:rsidRPr="0042752B">
        <w:rPr>
          <w:rFonts w:ascii="Times New Roman" w:hAnsi="Times New Roman"/>
        </w:rPr>
        <w:t xml:space="preserve"> </w:t>
      </w:r>
      <w:r w:rsidR="007F6B62" w:rsidRPr="00811A15">
        <w:rPr>
          <w:rFonts w:ascii="Times New Roman" w:hAnsi="Times New Roman" w:cs="Times New Roman"/>
        </w:rPr>
        <w:t xml:space="preserve">Stockmann-Juvala </w:t>
      </w:r>
      <w:r w:rsidR="007F6B62">
        <w:rPr>
          <w:rFonts w:ascii="Times New Roman" w:hAnsi="Times New Roman" w:cs="Times New Roman"/>
        </w:rPr>
        <w:t xml:space="preserve">et al. </w:t>
      </w:r>
      <w:r w:rsidR="007F6B62" w:rsidRPr="00811A15">
        <w:rPr>
          <w:rFonts w:ascii="Times New Roman" w:hAnsi="Times New Roman" w:cs="Times New Roman"/>
        </w:rPr>
        <w:t>2014</w:t>
      </w:r>
      <w:r w:rsidR="007F6B62">
        <w:rPr>
          <w:rFonts w:ascii="Times New Roman" w:hAnsi="Times New Roman" w:cs="Times New Roman"/>
        </w:rPr>
        <w:t xml:space="preserve">; </w:t>
      </w:r>
      <w:r w:rsidRPr="0042752B">
        <w:rPr>
          <w:rFonts w:ascii="Times New Roman" w:hAnsi="Times New Roman" w:cs="Times New Roman"/>
        </w:rPr>
        <w:t xml:space="preserve"> </w:t>
      </w:r>
      <w:r w:rsidR="007F6B62">
        <w:rPr>
          <w:rFonts w:ascii="Times New Roman" w:hAnsi="Times New Roman"/>
          <w:vertAlign w:val="superscript"/>
        </w:rPr>
        <w:t>e</w:t>
      </w:r>
      <w:r w:rsidRPr="0042752B">
        <w:rPr>
          <w:rFonts w:ascii="Times New Roman" w:hAnsi="Times New Roman" w:cs="Times New Roman"/>
        </w:rPr>
        <w:t xml:space="preserve"> NIOSH 2011</w:t>
      </w:r>
      <w:r w:rsidR="00EF2CFC">
        <w:rPr>
          <w:rFonts w:ascii="Times New Roman" w:hAnsi="Times New Roman" w:cs="Times New Roman"/>
        </w:rPr>
        <w:t>;</w:t>
      </w:r>
      <w:r w:rsidRPr="0042752B">
        <w:rPr>
          <w:rFonts w:ascii="Times New Roman" w:hAnsi="Times New Roman" w:cs="Times New Roman"/>
        </w:rPr>
        <w:t xml:space="preserve"> </w:t>
      </w:r>
      <w:r w:rsidR="00EF2CFC">
        <w:rPr>
          <w:rFonts w:ascii="Times New Roman" w:hAnsi="Times New Roman"/>
          <w:vertAlign w:val="superscript"/>
        </w:rPr>
        <w:t>f</w:t>
      </w:r>
      <w:r w:rsidR="00EF2CFC" w:rsidRPr="0042752B">
        <w:rPr>
          <w:rFonts w:ascii="Times New Roman" w:hAnsi="Times New Roman" w:cs="Times New Roman"/>
        </w:rPr>
        <w:t xml:space="preserve"> </w:t>
      </w:r>
      <w:r w:rsidRPr="0042752B">
        <w:rPr>
          <w:rFonts w:ascii="Times New Roman" w:hAnsi="Times New Roman" w:cs="Times New Roman"/>
        </w:rPr>
        <w:t>JSOH 2013;</w:t>
      </w:r>
    </w:p>
    <w:p w14:paraId="2E79393E" w14:textId="61A4DFD0" w:rsidR="00811A15" w:rsidRPr="0042752B" w:rsidRDefault="00811A15" w:rsidP="00811A15">
      <w:pPr>
        <w:spacing w:after="0"/>
        <w:rPr>
          <w:rFonts w:ascii="Times New Roman" w:hAnsi="Times New Roman" w:cs="Times New Roman"/>
        </w:rPr>
      </w:pPr>
      <w:r w:rsidRPr="0042752B">
        <w:rPr>
          <w:rFonts w:ascii="Times New Roman" w:hAnsi="Times New Roman" w:cs="Times New Roman"/>
        </w:rPr>
        <w:t xml:space="preserve"> </w:t>
      </w:r>
      <w:r w:rsidR="007F6B62">
        <w:rPr>
          <w:rFonts w:ascii="Times New Roman" w:hAnsi="Times New Roman" w:cs="Times New Roman"/>
        </w:rPr>
        <w:t xml:space="preserve">  </w:t>
      </w:r>
      <w:r w:rsidR="00EF2CFC">
        <w:rPr>
          <w:rFonts w:ascii="Times New Roman" w:hAnsi="Times New Roman"/>
          <w:vertAlign w:val="superscript"/>
        </w:rPr>
        <w:t>g</w:t>
      </w:r>
      <w:r w:rsidRPr="0042752B">
        <w:rPr>
          <w:rFonts w:ascii="Times New Roman" w:hAnsi="Times New Roman"/>
        </w:rPr>
        <w:t xml:space="preserve"> </w:t>
      </w:r>
      <w:r w:rsidRPr="0042752B">
        <w:rPr>
          <w:rFonts w:ascii="Times New Roman" w:hAnsi="Times New Roman" w:cs="Times New Roman"/>
        </w:rPr>
        <w:t xml:space="preserve">Gamo 2011; Nakanishi 2011; </w:t>
      </w:r>
      <w:r w:rsidR="00EF2CFC">
        <w:rPr>
          <w:rFonts w:ascii="Times New Roman" w:hAnsi="Times New Roman"/>
          <w:vertAlign w:val="superscript"/>
        </w:rPr>
        <w:t>h</w:t>
      </w:r>
      <w:r w:rsidRPr="0042752B">
        <w:rPr>
          <w:rFonts w:ascii="Times New Roman" w:hAnsi="Times New Roman" w:cs="Times New Roman"/>
        </w:rPr>
        <w:t xml:space="preserve"> NIOSH 2011; </w:t>
      </w:r>
      <w:r w:rsidR="00EF2CFC">
        <w:rPr>
          <w:rFonts w:ascii="Times New Roman" w:hAnsi="Times New Roman"/>
          <w:vertAlign w:val="superscript"/>
        </w:rPr>
        <w:t>i</w:t>
      </w:r>
      <w:r w:rsidRPr="0042752B">
        <w:rPr>
          <w:rFonts w:ascii="Times New Roman" w:hAnsi="Times New Roman" w:cs="Times New Roman"/>
        </w:rPr>
        <w:t xml:space="preserve"> OSHA [29 CFR 1910.1000].</w:t>
      </w:r>
    </w:p>
    <w:p w14:paraId="72F8F1C4" w14:textId="4B3B178F" w:rsidR="003870E4" w:rsidRDefault="00811A15" w:rsidP="002734F7">
      <w:pPr>
        <w:spacing w:after="0"/>
        <w:rPr>
          <w:rFonts w:ascii="Times New Roman" w:hAnsi="Times New Roman" w:cs="Times New Roman"/>
        </w:rPr>
      </w:pPr>
      <w:r w:rsidRPr="0042752B">
        <w:rPr>
          <w:rFonts w:ascii="Times New Roman" w:hAnsi="Times New Roman" w:cs="Times New Roman"/>
          <w:b/>
        </w:rPr>
        <w:t>Silver</w:t>
      </w:r>
      <w:r w:rsidRPr="0042752B">
        <w:rPr>
          <w:rFonts w:ascii="Times New Roman" w:hAnsi="Times New Roman" w:cs="Times New Roman"/>
        </w:rPr>
        <w:t xml:space="preserve">:  </w:t>
      </w:r>
      <w:r w:rsidR="00EF2CFC">
        <w:rPr>
          <w:rFonts w:ascii="Times New Roman" w:hAnsi="Times New Roman"/>
          <w:vertAlign w:val="superscript"/>
        </w:rPr>
        <w:t>j</w:t>
      </w:r>
      <w:r w:rsidRPr="0042752B">
        <w:rPr>
          <w:rFonts w:ascii="Times New Roman" w:hAnsi="Times New Roman" w:cs="Times New Roman"/>
        </w:rPr>
        <w:t xml:space="preserve"> Aschberger et al. 2011</w:t>
      </w:r>
      <w:r w:rsidR="003870E4">
        <w:rPr>
          <w:rFonts w:ascii="Times New Roman" w:hAnsi="Times New Roman" w:cs="Times New Roman"/>
        </w:rPr>
        <w:t>, Stone et al. 2009</w:t>
      </w:r>
      <w:r w:rsidRPr="0042752B">
        <w:rPr>
          <w:rFonts w:ascii="Times New Roman" w:hAnsi="Times New Roman" w:cs="Times New Roman"/>
        </w:rPr>
        <w:t>;</w:t>
      </w:r>
      <w:r w:rsidR="003870E4">
        <w:rPr>
          <w:rFonts w:ascii="Times New Roman" w:hAnsi="Times New Roman" w:cs="Times New Roman"/>
        </w:rPr>
        <w:t xml:space="preserve"> </w:t>
      </w:r>
      <w:r w:rsidR="003870E4" w:rsidRPr="003870E4">
        <w:rPr>
          <w:rFonts w:ascii="Times New Roman" w:hAnsi="Times New Roman"/>
          <w:vertAlign w:val="superscript"/>
        </w:rPr>
        <w:t xml:space="preserve"> </w:t>
      </w:r>
      <w:r w:rsidR="00EF2CFC">
        <w:rPr>
          <w:rFonts w:ascii="Times New Roman" w:hAnsi="Times New Roman"/>
          <w:vertAlign w:val="superscript"/>
        </w:rPr>
        <w:t>k</w:t>
      </w:r>
      <w:r w:rsidRPr="0042752B">
        <w:rPr>
          <w:rFonts w:ascii="Times New Roman" w:hAnsi="Times New Roman" w:cs="Times New Roman"/>
        </w:rPr>
        <w:t xml:space="preserve"> </w:t>
      </w:r>
      <w:r w:rsidR="003870E4">
        <w:rPr>
          <w:rFonts w:ascii="Times New Roman" w:hAnsi="Times New Roman" w:cs="Times New Roman"/>
        </w:rPr>
        <w:t xml:space="preserve">Weldon et al. 2016; </w:t>
      </w:r>
      <w:r w:rsidR="00EF2CFC">
        <w:rPr>
          <w:rFonts w:ascii="Times New Roman" w:hAnsi="Times New Roman"/>
          <w:vertAlign w:val="superscript"/>
        </w:rPr>
        <w:t>l</w:t>
      </w:r>
      <w:r>
        <w:rPr>
          <w:rFonts w:ascii="Times New Roman" w:hAnsi="Times New Roman" w:cs="Times New Roman"/>
        </w:rPr>
        <w:t xml:space="preserve"> NIOSH 2007, </w:t>
      </w:r>
      <w:r w:rsidRPr="0042752B">
        <w:rPr>
          <w:rFonts w:ascii="Times New Roman" w:hAnsi="Times New Roman" w:cs="Times New Roman"/>
        </w:rPr>
        <w:t>OSHA [29 CFR 1910]</w:t>
      </w:r>
    </w:p>
    <w:p w14:paraId="491658D5" w14:textId="03D9D21E" w:rsidR="003870E4" w:rsidRDefault="003870E4" w:rsidP="002734F7">
      <w:pPr>
        <w:spacing w:after="0"/>
        <w:rPr>
          <w:rFonts w:ascii="Times New Roman" w:hAnsi="Times New Roman" w:cs="Times New Roman"/>
        </w:rPr>
      </w:pPr>
      <w:r>
        <w:rPr>
          <w:rFonts w:ascii="Times New Roman" w:hAnsi="Times New Roman" w:cs="Times New Roman"/>
        </w:rPr>
        <w:t xml:space="preserve">  </w:t>
      </w:r>
      <w:r w:rsidR="002734F7">
        <w:rPr>
          <w:rFonts w:ascii="Times New Roman" w:hAnsi="Times New Roman" w:cs="Times New Roman"/>
        </w:rPr>
        <w:t xml:space="preserve"> (metal dust, fume, and soluble</w:t>
      </w:r>
      <w:r>
        <w:rPr>
          <w:rFonts w:ascii="Times New Roman" w:hAnsi="Times New Roman" w:cs="Times New Roman"/>
        </w:rPr>
        <w:t xml:space="preserve"> </w:t>
      </w:r>
      <w:r w:rsidR="002734F7">
        <w:rPr>
          <w:rFonts w:ascii="Times New Roman" w:hAnsi="Times New Roman" w:cs="Times New Roman"/>
        </w:rPr>
        <w:t>compounds)</w:t>
      </w:r>
      <w:r w:rsidR="00811A15" w:rsidRPr="0042752B">
        <w:rPr>
          <w:rFonts w:ascii="Times New Roman" w:hAnsi="Times New Roman" w:cs="Times New Roman"/>
        </w:rPr>
        <w:t xml:space="preserve">; </w:t>
      </w:r>
      <w:r w:rsidR="00EF2CFC">
        <w:rPr>
          <w:rFonts w:ascii="Times New Roman" w:hAnsi="Times New Roman"/>
          <w:vertAlign w:val="superscript"/>
        </w:rPr>
        <w:t>m</w:t>
      </w:r>
      <w:r w:rsidR="00811A15">
        <w:rPr>
          <w:rFonts w:ascii="Times New Roman" w:hAnsi="Times New Roman"/>
          <w:vertAlign w:val="superscript"/>
        </w:rPr>
        <w:t xml:space="preserve"> </w:t>
      </w:r>
      <w:r w:rsidR="00811A15" w:rsidRPr="0042752B">
        <w:rPr>
          <w:rFonts w:ascii="Times New Roman" w:hAnsi="Times New Roman" w:cs="Times New Roman"/>
        </w:rPr>
        <w:t>ACGIH 2001: 10 µg/m</w:t>
      </w:r>
      <w:r w:rsidR="00811A15" w:rsidRPr="0042752B">
        <w:rPr>
          <w:rFonts w:ascii="Times New Roman" w:hAnsi="Times New Roman" w:cs="Times New Roman"/>
          <w:vertAlign w:val="superscript"/>
        </w:rPr>
        <w:t>3</w:t>
      </w:r>
      <w:r w:rsidR="00811A15">
        <w:rPr>
          <w:rFonts w:ascii="Times New Roman" w:hAnsi="Times New Roman" w:cs="Times New Roman"/>
        </w:rPr>
        <w:t xml:space="preserve"> (</w:t>
      </w:r>
      <w:r w:rsidR="00811A15" w:rsidRPr="0042752B">
        <w:rPr>
          <w:rFonts w:ascii="Times New Roman" w:hAnsi="Times New Roman" w:cs="Times New Roman"/>
        </w:rPr>
        <w:t>soluble</w:t>
      </w:r>
      <w:r w:rsidR="002734F7">
        <w:rPr>
          <w:rFonts w:ascii="Times New Roman" w:hAnsi="Times New Roman" w:cs="Times New Roman"/>
        </w:rPr>
        <w:t xml:space="preserve"> compounds</w:t>
      </w:r>
      <w:r w:rsidR="00811A15" w:rsidRPr="0042752B">
        <w:rPr>
          <w:rFonts w:ascii="Times New Roman" w:hAnsi="Times New Roman" w:cs="Times New Roman"/>
        </w:rPr>
        <w:t>)</w:t>
      </w:r>
      <w:r w:rsidR="000E77D6">
        <w:rPr>
          <w:rFonts w:ascii="Times New Roman" w:hAnsi="Times New Roman" w:cs="Times New Roman"/>
        </w:rPr>
        <w:t xml:space="preserve">; </w:t>
      </w:r>
      <w:r w:rsidR="000E77D6" w:rsidRPr="0042752B">
        <w:rPr>
          <w:rFonts w:ascii="Times New Roman" w:hAnsi="Times New Roman" w:cs="Times New Roman"/>
        </w:rPr>
        <w:t>10</w:t>
      </w:r>
      <w:r w:rsidR="000E77D6">
        <w:rPr>
          <w:rFonts w:ascii="Times New Roman" w:hAnsi="Times New Roman" w:cs="Times New Roman"/>
        </w:rPr>
        <w:t>0</w:t>
      </w:r>
      <w:r w:rsidR="000E77D6" w:rsidRPr="0042752B">
        <w:rPr>
          <w:rFonts w:ascii="Times New Roman" w:hAnsi="Times New Roman" w:cs="Times New Roman"/>
        </w:rPr>
        <w:t xml:space="preserve"> µg/m</w:t>
      </w:r>
      <w:r w:rsidR="000E77D6" w:rsidRPr="0042752B">
        <w:rPr>
          <w:rFonts w:ascii="Times New Roman" w:hAnsi="Times New Roman" w:cs="Times New Roman"/>
          <w:vertAlign w:val="superscript"/>
        </w:rPr>
        <w:t>3</w:t>
      </w:r>
      <w:r w:rsidR="000E77D6">
        <w:rPr>
          <w:rFonts w:ascii="Times New Roman" w:hAnsi="Times New Roman" w:cs="Times New Roman"/>
        </w:rPr>
        <w:t xml:space="preserve"> (</w:t>
      </w:r>
      <w:r w:rsidR="002734F7">
        <w:rPr>
          <w:rFonts w:ascii="Times New Roman" w:hAnsi="Times New Roman" w:cs="Times New Roman"/>
        </w:rPr>
        <w:t>metal</w:t>
      </w:r>
    </w:p>
    <w:p w14:paraId="088F779E" w14:textId="00543BE2" w:rsidR="00AB571E" w:rsidRDefault="003870E4" w:rsidP="002734F7">
      <w:pPr>
        <w:spacing w:after="0"/>
        <w:rPr>
          <w:rFonts w:ascii="Times New Roman" w:hAnsi="Times New Roman" w:cs="Times New Roman"/>
        </w:rPr>
      </w:pPr>
      <w:r>
        <w:rPr>
          <w:rFonts w:ascii="Times New Roman" w:hAnsi="Times New Roman" w:cs="Times New Roman"/>
        </w:rPr>
        <w:t xml:space="preserve">  </w:t>
      </w:r>
      <w:r w:rsidR="002734F7">
        <w:rPr>
          <w:rFonts w:ascii="Times New Roman" w:hAnsi="Times New Roman" w:cs="Times New Roman"/>
        </w:rPr>
        <w:t xml:space="preserve"> dust and fume</w:t>
      </w:r>
      <w:r w:rsidR="000E77D6" w:rsidRPr="0042752B">
        <w:rPr>
          <w:rFonts w:ascii="Times New Roman" w:hAnsi="Times New Roman" w:cs="Times New Roman"/>
        </w:rPr>
        <w:t>)</w:t>
      </w:r>
      <w:r w:rsidR="00811A15" w:rsidRPr="00811A15">
        <w:rPr>
          <w:rFonts w:ascii="Times New Roman" w:hAnsi="Times New Roman" w:cs="Times New Roman"/>
        </w:rPr>
        <w:t>.</w:t>
      </w:r>
      <w:r w:rsidR="00811A15" w:rsidRPr="00811A15">
        <w:rPr>
          <w:rFonts w:ascii="Times New Roman" w:hAnsi="Times New Roman" w:cs="Times New Roman"/>
        </w:rPr>
        <w:cr/>
      </w:r>
      <w:r w:rsidR="00811A15" w:rsidRPr="0042752B">
        <w:rPr>
          <w:rFonts w:ascii="Times New Roman" w:hAnsi="Times New Roman" w:cs="Times New Roman"/>
          <w:b/>
        </w:rPr>
        <w:t>Carbon nanotubes</w:t>
      </w:r>
      <w:r w:rsidR="00811A15" w:rsidRPr="0042752B">
        <w:rPr>
          <w:rFonts w:ascii="Times New Roman" w:hAnsi="Times New Roman" w:cs="Times New Roman"/>
        </w:rPr>
        <w:t xml:space="preserve">:  </w:t>
      </w:r>
      <w:r w:rsidR="00EF2CFC">
        <w:rPr>
          <w:rFonts w:ascii="Times New Roman" w:hAnsi="Times New Roman"/>
          <w:vertAlign w:val="superscript"/>
        </w:rPr>
        <w:t>n</w:t>
      </w:r>
      <w:r w:rsidR="0077059B">
        <w:rPr>
          <w:rFonts w:ascii="Times New Roman" w:hAnsi="Times New Roman"/>
          <w:vertAlign w:val="superscript"/>
        </w:rPr>
        <w:t xml:space="preserve"> </w:t>
      </w:r>
      <w:r w:rsidR="00AB571E">
        <w:rPr>
          <w:rFonts w:ascii="Times New Roman" w:hAnsi="Times New Roman" w:cs="Times New Roman"/>
        </w:rPr>
        <w:t>Stone et al. 2009;</w:t>
      </w:r>
      <w:r w:rsidR="0077059B" w:rsidRPr="0042752B">
        <w:rPr>
          <w:rFonts w:ascii="Times New Roman" w:hAnsi="Times New Roman" w:cs="Times New Roman"/>
        </w:rPr>
        <w:t xml:space="preserve"> </w:t>
      </w:r>
      <w:r w:rsidR="00EF2CFC">
        <w:rPr>
          <w:rFonts w:ascii="Times New Roman" w:hAnsi="Times New Roman"/>
          <w:vertAlign w:val="superscript"/>
        </w:rPr>
        <w:t>o</w:t>
      </w:r>
      <w:r w:rsidR="00811A15" w:rsidRPr="0042752B">
        <w:rPr>
          <w:rFonts w:ascii="Times New Roman" w:hAnsi="Times New Roman" w:cs="Times New Roman"/>
        </w:rPr>
        <w:t xml:space="preserve"> NIOSH 2013; </w:t>
      </w:r>
      <w:r w:rsidR="00EF2CFC">
        <w:rPr>
          <w:rFonts w:ascii="Times New Roman" w:hAnsi="Times New Roman"/>
          <w:vertAlign w:val="superscript"/>
        </w:rPr>
        <w:t>p</w:t>
      </w:r>
      <w:r w:rsidR="00811A15" w:rsidRPr="0042752B">
        <w:rPr>
          <w:rFonts w:ascii="Times New Roman" w:hAnsi="Times New Roman" w:cs="Times New Roman"/>
        </w:rPr>
        <w:t xml:space="preserve"> Aschberger et al. 2010</w:t>
      </w:r>
      <w:r w:rsidR="00AB571E">
        <w:rPr>
          <w:rFonts w:ascii="Times New Roman" w:hAnsi="Times New Roman" w:cs="Times New Roman"/>
        </w:rPr>
        <w:t>,</w:t>
      </w:r>
      <w:r w:rsidR="00811A15" w:rsidRPr="0042752B">
        <w:rPr>
          <w:rFonts w:ascii="Times New Roman" w:hAnsi="Times New Roman" w:cs="Times New Roman"/>
        </w:rPr>
        <w:t xml:space="preserve"> 2011; </w:t>
      </w:r>
      <w:r w:rsidR="00EF2CFC">
        <w:rPr>
          <w:rFonts w:ascii="Times New Roman" w:hAnsi="Times New Roman"/>
          <w:vertAlign w:val="superscript"/>
        </w:rPr>
        <w:t>q</w:t>
      </w:r>
      <w:r w:rsidR="00811A15" w:rsidRPr="0042752B">
        <w:rPr>
          <w:rFonts w:ascii="Times New Roman" w:hAnsi="Times New Roman" w:cs="Times New Roman"/>
        </w:rPr>
        <w:t xml:space="preserve"> Nakanishi 2011;</w:t>
      </w:r>
    </w:p>
    <w:p w14:paraId="3B99C128" w14:textId="3A89ED65" w:rsidR="00811A15" w:rsidRPr="0042752B" w:rsidRDefault="00AB571E" w:rsidP="002734F7">
      <w:pPr>
        <w:spacing w:after="0"/>
        <w:rPr>
          <w:rFonts w:ascii="Times New Roman" w:hAnsi="Times New Roman" w:cs="Times New Roman"/>
        </w:rPr>
      </w:pPr>
      <w:r>
        <w:rPr>
          <w:rFonts w:ascii="Times New Roman" w:hAnsi="Times New Roman" w:cs="Times New Roman"/>
        </w:rPr>
        <w:t xml:space="preserve">   </w:t>
      </w:r>
      <w:r w:rsidR="00811A15" w:rsidRPr="0042752B">
        <w:rPr>
          <w:rFonts w:ascii="Times New Roman" w:hAnsi="Times New Roman" w:cs="Times New Roman"/>
        </w:rPr>
        <w:t xml:space="preserve"> </w:t>
      </w:r>
      <w:r w:rsidR="00EF2CFC">
        <w:rPr>
          <w:rFonts w:ascii="Times New Roman" w:hAnsi="Times New Roman"/>
          <w:vertAlign w:val="superscript"/>
        </w:rPr>
        <w:t>r</w:t>
      </w:r>
      <w:r w:rsidR="00811A15" w:rsidRPr="0042752B">
        <w:rPr>
          <w:rFonts w:ascii="Times New Roman" w:hAnsi="Times New Roman" w:cs="Times New Roman"/>
        </w:rPr>
        <w:t xml:space="preserve"> Pauluhn 2010.</w:t>
      </w:r>
    </w:p>
    <w:p w14:paraId="1493DF32" w14:textId="6B2691C0" w:rsidR="00811A15" w:rsidRPr="0042752B" w:rsidRDefault="00811A15" w:rsidP="00811A15">
      <w:pPr>
        <w:spacing w:after="0"/>
        <w:rPr>
          <w:rFonts w:ascii="Times New Roman" w:hAnsi="Times New Roman" w:cs="Times New Roman"/>
        </w:rPr>
      </w:pPr>
      <w:r w:rsidRPr="0042752B">
        <w:rPr>
          <w:rFonts w:ascii="Times New Roman" w:hAnsi="Times New Roman" w:cs="Times New Roman"/>
        </w:rPr>
        <w:t xml:space="preserve">Graphite:  </w:t>
      </w:r>
      <w:r w:rsidR="00EF2CFC">
        <w:rPr>
          <w:rFonts w:ascii="Times New Roman" w:hAnsi="Times New Roman"/>
          <w:vertAlign w:val="superscript"/>
        </w:rPr>
        <w:t>s</w:t>
      </w:r>
      <w:r w:rsidRPr="0042752B">
        <w:rPr>
          <w:rFonts w:ascii="Times New Roman" w:hAnsi="Times New Roman" w:cs="Times New Roman"/>
        </w:rPr>
        <w:t xml:space="preserve"> OSHA [29 CFR 1910]; </w:t>
      </w:r>
      <w:r w:rsidR="00EF2CFC">
        <w:rPr>
          <w:rFonts w:ascii="Times New Roman" w:hAnsi="Times New Roman"/>
          <w:vertAlign w:val="superscript"/>
        </w:rPr>
        <w:t>t</w:t>
      </w:r>
      <w:r w:rsidRPr="0042752B">
        <w:rPr>
          <w:rFonts w:ascii="Times New Roman" w:hAnsi="Times New Roman" w:cs="Times New Roman"/>
        </w:rPr>
        <w:t xml:space="preserve"> NIOSH 2007.</w:t>
      </w:r>
    </w:p>
    <w:p w14:paraId="07E63578" w14:textId="41B26012" w:rsidR="00811A15" w:rsidRPr="0042752B" w:rsidRDefault="00811A15" w:rsidP="00811A15">
      <w:pPr>
        <w:spacing w:after="0"/>
        <w:rPr>
          <w:rFonts w:ascii="Times New Roman" w:hAnsi="Times New Roman" w:cs="Times New Roman"/>
        </w:rPr>
      </w:pPr>
      <w:r w:rsidRPr="0042752B">
        <w:rPr>
          <w:rFonts w:ascii="Times New Roman" w:hAnsi="Times New Roman" w:cs="Times New Roman"/>
        </w:rPr>
        <w:t xml:space="preserve">Carbon black: </w:t>
      </w:r>
      <w:r w:rsidR="00EF2CFC">
        <w:rPr>
          <w:rFonts w:ascii="Times New Roman" w:hAnsi="Times New Roman"/>
          <w:vertAlign w:val="superscript"/>
        </w:rPr>
        <w:t>u</w:t>
      </w:r>
      <w:r w:rsidRPr="0042752B">
        <w:rPr>
          <w:rFonts w:ascii="Times New Roman" w:hAnsi="Times New Roman" w:cs="Times New Roman"/>
        </w:rPr>
        <w:t xml:space="preserve"> NIOSH 2007, OSHA [29 CFR 1910].</w:t>
      </w:r>
    </w:p>
    <w:p w14:paraId="259DE7D4" w14:textId="248D95E1" w:rsidR="00811A15" w:rsidRPr="0042752B" w:rsidRDefault="00811A15" w:rsidP="00811A15">
      <w:pPr>
        <w:spacing w:after="0"/>
        <w:rPr>
          <w:rFonts w:ascii="Times New Roman" w:hAnsi="Times New Roman" w:cs="Times New Roman"/>
        </w:rPr>
      </w:pPr>
      <w:r w:rsidRPr="0042752B">
        <w:rPr>
          <w:rFonts w:ascii="Times New Roman" w:hAnsi="Times New Roman" w:cs="Times New Roman"/>
        </w:rPr>
        <w:t xml:space="preserve">Cellulose:  </w:t>
      </w:r>
      <w:r w:rsidR="00EF2CFC">
        <w:rPr>
          <w:rFonts w:ascii="Times New Roman" w:hAnsi="Times New Roman"/>
          <w:vertAlign w:val="superscript"/>
        </w:rPr>
        <w:t>v</w:t>
      </w:r>
      <w:r w:rsidRPr="0042752B">
        <w:rPr>
          <w:rFonts w:ascii="Times New Roman" w:hAnsi="Times New Roman" w:cs="Times New Roman"/>
        </w:rPr>
        <w:t xml:space="preserve"> </w:t>
      </w:r>
      <w:r w:rsidR="007E697A" w:rsidRPr="00811A15">
        <w:rPr>
          <w:rFonts w:ascii="Times New Roman" w:hAnsi="Times New Roman" w:cs="Times New Roman"/>
        </w:rPr>
        <w:t xml:space="preserve">Stockmann-Juvala </w:t>
      </w:r>
      <w:r w:rsidR="007E697A">
        <w:rPr>
          <w:rFonts w:ascii="Times New Roman" w:hAnsi="Times New Roman" w:cs="Times New Roman"/>
        </w:rPr>
        <w:t xml:space="preserve">et al. </w:t>
      </w:r>
      <w:r w:rsidR="007E697A" w:rsidRPr="00811A15">
        <w:rPr>
          <w:rFonts w:ascii="Times New Roman" w:hAnsi="Times New Roman" w:cs="Times New Roman"/>
        </w:rPr>
        <w:t>2014</w:t>
      </w:r>
      <w:r w:rsidR="007E697A">
        <w:rPr>
          <w:rFonts w:ascii="Times New Roman" w:hAnsi="Times New Roman" w:cs="Times New Roman"/>
        </w:rPr>
        <w:t xml:space="preserve">; </w:t>
      </w:r>
      <w:r w:rsidR="00EF2CFC">
        <w:rPr>
          <w:rFonts w:ascii="Times New Roman" w:hAnsi="Times New Roman"/>
          <w:vertAlign w:val="superscript"/>
        </w:rPr>
        <w:t>w</w:t>
      </w:r>
      <w:r w:rsidR="007E697A" w:rsidRPr="0042752B">
        <w:rPr>
          <w:rFonts w:ascii="Times New Roman" w:hAnsi="Times New Roman" w:cs="Times New Roman"/>
        </w:rPr>
        <w:t xml:space="preserve"> </w:t>
      </w:r>
      <w:r w:rsidRPr="0042752B">
        <w:rPr>
          <w:rFonts w:ascii="Times New Roman" w:hAnsi="Times New Roman" w:cs="Times New Roman"/>
        </w:rPr>
        <w:t xml:space="preserve">OSHA [29 CFR 1910]; </w:t>
      </w:r>
      <w:r w:rsidR="00EF2CFC">
        <w:rPr>
          <w:rFonts w:ascii="Times New Roman" w:hAnsi="Times New Roman"/>
          <w:vertAlign w:val="superscript"/>
        </w:rPr>
        <w:t>x</w:t>
      </w:r>
      <w:r w:rsidRPr="0042752B">
        <w:rPr>
          <w:rFonts w:ascii="Times New Roman" w:hAnsi="Times New Roman" w:cs="Times New Roman"/>
        </w:rPr>
        <w:t xml:space="preserve"> NIOSH 2007.</w:t>
      </w:r>
    </w:p>
    <w:p w14:paraId="35D38270" w14:textId="66BB914F" w:rsidR="00811A15" w:rsidRPr="0042752B" w:rsidRDefault="00811A15" w:rsidP="00811A15">
      <w:pPr>
        <w:spacing w:after="0"/>
        <w:rPr>
          <w:rFonts w:ascii="Times New Roman" w:hAnsi="Times New Roman" w:cs="Times New Roman"/>
        </w:rPr>
      </w:pPr>
      <w:r w:rsidRPr="0042752B">
        <w:rPr>
          <w:rFonts w:ascii="Times New Roman" w:hAnsi="Times New Roman" w:cs="Times New Roman"/>
        </w:rPr>
        <w:t xml:space="preserve">PNOR:  </w:t>
      </w:r>
      <w:r w:rsidR="00EF2CFC">
        <w:rPr>
          <w:rFonts w:ascii="Times New Roman" w:hAnsi="Times New Roman"/>
          <w:vertAlign w:val="superscript"/>
        </w:rPr>
        <w:t>y</w:t>
      </w:r>
      <w:r w:rsidRPr="0042752B">
        <w:rPr>
          <w:rFonts w:ascii="Times New Roman" w:hAnsi="Times New Roman" w:cs="Times New Roman"/>
        </w:rPr>
        <w:t xml:space="preserve"> OSHA [29 CFR 1910.1000].</w:t>
      </w:r>
    </w:p>
    <w:p w14:paraId="0E3FD509" w14:textId="44C262DC" w:rsidR="00811A15" w:rsidRPr="0042752B" w:rsidRDefault="00811A15" w:rsidP="00811A15">
      <w:pPr>
        <w:spacing w:after="0"/>
        <w:rPr>
          <w:rFonts w:ascii="Times New Roman" w:hAnsi="Times New Roman" w:cs="Times New Roman"/>
        </w:rPr>
      </w:pPr>
      <w:r w:rsidRPr="008D0064">
        <w:rPr>
          <w:rFonts w:ascii="Times New Roman" w:hAnsi="Times New Roman" w:cs="Times New Roman"/>
          <w:b/>
          <w:i/>
        </w:rPr>
        <w:t>Abbreviations:</w:t>
      </w:r>
      <w:r w:rsidRPr="0042752B">
        <w:rPr>
          <w:rFonts w:ascii="Times New Roman" w:hAnsi="Times New Roman" w:cs="Times New Roman"/>
          <w:i/>
        </w:rPr>
        <w:t xml:space="preserve"> </w:t>
      </w:r>
      <w:r>
        <w:rPr>
          <w:rFonts w:ascii="Times New Roman" w:hAnsi="Times New Roman" w:cs="Times New Roman"/>
          <w:i/>
        </w:rPr>
        <w:t xml:space="preserve"> </w:t>
      </w:r>
      <w:r w:rsidRPr="0042752B">
        <w:rPr>
          <w:rFonts w:ascii="Times New Roman" w:hAnsi="Times New Roman" w:cs="Times New Roman"/>
        </w:rPr>
        <w:t xml:space="preserve">TWA: time-weighted average concentration; </w:t>
      </w:r>
      <w:r>
        <w:rPr>
          <w:rFonts w:ascii="Times New Roman" w:hAnsi="Times New Roman" w:cs="Times New Roman"/>
        </w:rPr>
        <w:t xml:space="preserve"> Resp: respirable particle size fraction;   Total: total airborne particle mass;  </w:t>
      </w:r>
      <w:r w:rsidR="007E697A">
        <w:rPr>
          <w:rFonts w:ascii="Times New Roman" w:hAnsi="Times New Roman" w:cs="Times New Roman"/>
        </w:rPr>
        <w:t>NA</w:t>
      </w:r>
      <w:r w:rsidRPr="0042752B">
        <w:rPr>
          <w:rFonts w:ascii="Times New Roman" w:hAnsi="Times New Roman" w:cs="Times New Roman"/>
        </w:rPr>
        <w:t>: not available or not applicable.</w:t>
      </w:r>
    </w:p>
    <w:p w14:paraId="29F941A4" w14:textId="1F5372C0" w:rsidR="003471E9" w:rsidRDefault="003471E9" w:rsidP="003471E9">
      <w:pPr>
        <w:spacing w:before="120" w:after="0"/>
        <w:rPr>
          <w:rFonts w:ascii="Times New Roman" w:hAnsi="Times New Roman" w:cs="Times New Roman"/>
          <w:b/>
        </w:rPr>
      </w:pPr>
      <w:r w:rsidRPr="008D0064">
        <w:rPr>
          <w:rFonts w:ascii="Times New Roman" w:hAnsi="Times New Roman" w:cs="Times New Roman"/>
          <w:b/>
          <w:i/>
        </w:rPr>
        <w:t xml:space="preserve">Note: </w:t>
      </w:r>
      <w:r>
        <w:rPr>
          <w:rFonts w:ascii="Times New Roman" w:hAnsi="Times New Roman" w:cs="Times New Roman"/>
          <w:b/>
          <w:i/>
        </w:rPr>
        <w:t xml:space="preserve"> </w:t>
      </w:r>
      <w:r w:rsidR="00D92195">
        <w:rPr>
          <w:rFonts w:ascii="Times New Roman" w:hAnsi="Times New Roman" w:cs="Times New Roman"/>
        </w:rPr>
        <w:t>Additional specific inhalation OELs</w:t>
      </w:r>
      <w:r>
        <w:rPr>
          <w:rFonts w:ascii="Times New Roman" w:hAnsi="Times New Roman" w:cs="Times New Roman"/>
        </w:rPr>
        <w:t xml:space="preserve"> </w:t>
      </w:r>
      <w:r w:rsidR="00D92195">
        <w:rPr>
          <w:rFonts w:ascii="Times New Roman" w:hAnsi="Times New Roman" w:cs="Times New Roman"/>
        </w:rPr>
        <w:t xml:space="preserve">for these ENMs </w:t>
      </w:r>
      <w:r>
        <w:rPr>
          <w:rFonts w:ascii="Times New Roman" w:hAnsi="Times New Roman" w:cs="Times New Roman"/>
        </w:rPr>
        <w:t xml:space="preserve">reported in Mihalache et al. (2017) </w:t>
      </w:r>
      <w:r w:rsidR="00D92195">
        <w:rPr>
          <w:rFonts w:ascii="Times New Roman" w:hAnsi="Times New Roman" w:cs="Times New Roman"/>
        </w:rPr>
        <w:t xml:space="preserve">that are </w:t>
      </w:r>
      <w:r>
        <w:rPr>
          <w:rFonts w:ascii="Times New Roman" w:hAnsi="Times New Roman" w:cs="Times New Roman"/>
        </w:rPr>
        <w:t xml:space="preserve">not shown in Table S-1 include:  </w:t>
      </w:r>
      <w:r w:rsidR="00D92195">
        <w:rPr>
          <w:rFonts w:ascii="Times New Roman" w:hAnsi="Times New Roman" w:cs="Times New Roman"/>
        </w:rPr>
        <w:t xml:space="preserve">acute inhalation OELs (Table 2 of Mihalache et al. 2017); </w:t>
      </w:r>
      <w:r>
        <w:rPr>
          <w:rFonts w:ascii="Times New Roman" w:hAnsi="Times New Roman" w:cs="Times New Roman"/>
        </w:rPr>
        <w:t xml:space="preserve">risk estimates, vs. OELs (Kuempel et al. 2006); </w:t>
      </w:r>
      <w:r w:rsidR="00D92195">
        <w:rPr>
          <w:rFonts w:ascii="Times New Roman" w:hAnsi="Times New Roman" w:cs="Times New Roman"/>
        </w:rPr>
        <w:t xml:space="preserve">OEL derivation </w:t>
      </w:r>
      <w:r>
        <w:rPr>
          <w:rFonts w:ascii="Times New Roman" w:hAnsi="Times New Roman" w:cs="Times New Roman"/>
        </w:rPr>
        <w:t>methods could not be confirmed from information in reference cited (Warheit 2013) or were not in English (Swidwinska-Gajewska and Czerczak 2014</w:t>
      </w:r>
      <w:r w:rsidR="006441F1">
        <w:rPr>
          <w:rFonts w:ascii="Times New Roman" w:hAnsi="Times New Roman" w:cs="Times New Roman"/>
        </w:rPr>
        <w:t>, 2015</w:t>
      </w:r>
      <w:r>
        <w:rPr>
          <w:rFonts w:ascii="Times New Roman" w:hAnsi="Times New Roman" w:cs="Times New Roman"/>
        </w:rPr>
        <w:t xml:space="preserve">); </w:t>
      </w:r>
      <w:r w:rsidR="00D92195">
        <w:rPr>
          <w:rFonts w:ascii="Times New Roman" w:hAnsi="Times New Roman" w:cs="Times New Roman"/>
        </w:rPr>
        <w:t xml:space="preserve">another </w:t>
      </w:r>
      <w:r>
        <w:rPr>
          <w:rFonts w:ascii="Times New Roman" w:hAnsi="Times New Roman" w:cs="Times New Roman"/>
        </w:rPr>
        <w:t xml:space="preserve">reference </w:t>
      </w:r>
      <w:r w:rsidR="00D92195">
        <w:rPr>
          <w:rFonts w:ascii="Times New Roman" w:hAnsi="Times New Roman" w:cs="Times New Roman"/>
        </w:rPr>
        <w:t xml:space="preserve">was </w:t>
      </w:r>
      <w:r>
        <w:rPr>
          <w:rFonts w:ascii="Times New Roman" w:hAnsi="Times New Roman" w:cs="Times New Roman"/>
        </w:rPr>
        <w:t>cited for TiO</w:t>
      </w:r>
      <w:r w:rsidRPr="008D0064">
        <w:rPr>
          <w:rFonts w:ascii="Times New Roman" w:hAnsi="Times New Roman" w:cs="Times New Roman"/>
          <w:vertAlign w:val="subscript"/>
        </w:rPr>
        <w:t>2</w:t>
      </w:r>
      <w:r>
        <w:rPr>
          <w:rFonts w:ascii="Times New Roman" w:hAnsi="Times New Roman" w:cs="Times New Roman"/>
        </w:rPr>
        <w:t xml:space="preserve"> (Ogura et al. 2011).  Weldon et al. (2016) </w:t>
      </w:r>
      <w:r w:rsidR="00D92195">
        <w:rPr>
          <w:rFonts w:ascii="Times New Roman" w:hAnsi="Times New Roman" w:cs="Times New Roman"/>
        </w:rPr>
        <w:t>is included here,</w:t>
      </w:r>
      <w:r>
        <w:rPr>
          <w:rFonts w:ascii="Times New Roman" w:hAnsi="Times New Roman" w:cs="Times New Roman"/>
        </w:rPr>
        <w:t xml:space="preserve"> but was not cited in Mihalache et al. (2017). </w:t>
      </w:r>
    </w:p>
    <w:p w14:paraId="41DC85A6" w14:textId="79B11115" w:rsidR="00811A15" w:rsidRDefault="00811A15" w:rsidP="00811A15">
      <w:pPr>
        <w:rPr>
          <w:lang w:val="de-DE" w:eastAsia="ja-JP"/>
        </w:rPr>
      </w:pPr>
    </w:p>
    <w:p w14:paraId="7762FEDC" w14:textId="77777777" w:rsidR="00E66359" w:rsidRDefault="00E66359" w:rsidP="000B7087">
      <w:pPr>
        <w:rPr>
          <w:rFonts w:ascii="Times New Roman" w:hAnsi="Times New Roman" w:cs="Times New Roman"/>
          <w:b/>
          <w:sz w:val="24"/>
          <w:szCs w:val="24"/>
        </w:rPr>
        <w:sectPr w:rsidR="00E66359" w:rsidSect="005A1321">
          <w:footerReference w:type="default" r:id="rId8"/>
          <w:pgSz w:w="12240" w:h="15840" w:code="1"/>
          <w:pgMar w:top="1080" w:right="1080" w:bottom="1080" w:left="1080" w:header="720" w:footer="720" w:gutter="0"/>
          <w:cols w:space="720"/>
          <w:docGrid w:linePitch="360"/>
        </w:sectPr>
      </w:pPr>
    </w:p>
    <w:p w14:paraId="1660F673" w14:textId="6A56805A" w:rsidR="000B7087" w:rsidRDefault="000B7087" w:rsidP="00457ABE">
      <w:pPr>
        <w:spacing w:after="240"/>
        <w:rPr>
          <w:b/>
        </w:rPr>
      </w:pPr>
      <w:r w:rsidRPr="000B027C">
        <w:rPr>
          <w:rFonts w:ascii="Times New Roman" w:hAnsi="Times New Roman" w:cs="Times New Roman"/>
          <w:b/>
          <w:sz w:val="24"/>
          <w:szCs w:val="24"/>
        </w:rPr>
        <w:lastRenderedPageBreak/>
        <w:t xml:space="preserve">Table </w:t>
      </w:r>
      <w:r>
        <w:rPr>
          <w:rFonts w:ascii="Times New Roman" w:hAnsi="Times New Roman" w:cs="Times New Roman"/>
          <w:b/>
          <w:sz w:val="24"/>
          <w:szCs w:val="24"/>
        </w:rPr>
        <w:t>S-2</w:t>
      </w:r>
      <w:r w:rsidRPr="000B027C">
        <w:rPr>
          <w:rFonts w:ascii="Times New Roman" w:hAnsi="Times New Roman" w:cs="Times New Roman"/>
          <w:b/>
          <w:sz w:val="24"/>
          <w:szCs w:val="24"/>
        </w:rPr>
        <w:t xml:space="preserve">. Summary of characteristics of the various nanomaterial-specific control </w:t>
      </w:r>
      <w:r w:rsidRPr="00BB1225">
        <w:rPr>
          <w:rFonts w:ascii="Times New Roman" w:hAnsi="Times New Roman" w:cs="Times New Roman"/>
          <w:b/>
          <w:sz w:val="24"/>
          <w:szCs w:val="24"/>
        </w:rPr>
        <w:t xml:space="preserve">banding </w:t>
      </w:r>
      <w:r w:rsidRPr="001A4491">
        <w:rPr>
          <w:rFonts w:ascii="Times New Roman" w:hAnsi="Times New Roman" w:cs="Times New Roman"/>
          <w:b/>
          <w:sz w:val="24"/>
          <w:szCs w:val="24"/>
        </w:rPr>
        <w:t>tools</w:t>
      </w:r>
      <w:r w:rsidRPr="00BB1225">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w:t>
      </w:r>
    </w:p>
    <w:p w14:paraId="52B85C16" w14:textId="4A454CD4" w:rsidR="005563B0" w:rsidRPr="005563B0" w:rsidRDefault="005563B0" w:rsidP="00457ABE">
      <w:pPr>
        <w:spacing w:after="0"/>
      </w:pPr>
      <w:r w:rsidRPr="005563B0">
        <w:rPr>
          <w:noProof/>
        </w:rPr>
        <w:drawing>
          <wp:inline distT="0" distB="0" distL="0" distR="0" wp14:anchorId="39E81F08" wp14:editId="30E7A568">
            <wp:extent cx="8676693" cy="304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8793" b="17139"/>
                    <a:stretch/>
                  </pic:blipFill>
                  <pic:spPr bwMode="auto">
                    <a:xfrm>
                      <a:off x="0" y="0"/>
                      <a:ext cx="8701855" cy="3054182"/>
                    </a:xfrm>
                    <a:prstGeom prst="rect">
                      <a:avLst/>
                    </a:prstGeom>
                    <a:noFill/>
                    <a:ln>
                      <a:noFill/>
                    </a:ln>
                    <a:extLst>
                      <a:ext uri="{53640926-AAD7-44D8-BBD7-CCE9431645EC}">
                        <a14:shadowObscured xmlns:a14="http://schemas.microsoft.com/office/drawing/2010/main"/>
                      </a:ext>
                    </a:extLst>
                  </pic:spPr>
                </pic:pic>
              </a:graphicData>
            </a:graphic>
          </wp:inline>
        </w:drawing>
      </w:r>
    </w:p>
    <w:p w14:paraId="5389BFA5" w14:textId="41684650" w:rsidR="00457ABE" w:rsidRDefault="005563B0" w:rsidP="00457ABE">
      <w:pPr>
        <w:spacing w:after="120" w:line="240" w:lineRule="auto"/>
      </w:pPr>
      <w:r w:rsidRPr="005563B0">
        <w:t xml:space="preserve">Adapted from Brouwer </w:t>
      </w:r>
      <w:r w:rsidR="006441F1">
        <w:t>(2012)</w:t>
      </w:r>
      <w:r>
        <w:t>.</w:t>
      </w:r>
    </w:p>
    <w:p w14:paraId="3AC14C4D" w14:textId="571497A8" w:rsidR="00457ABE" w:rsidRDefault="00457ABE" w:rsidP="00457ABE">
      <w:pPr>
        <w:spacing w:after="0" w:line="240" w:lineRule="auto"/>
      </w:pPr>
      <w:r w:rsidRPr="00457ABE">
        <w:rPr>
          <w:noProof/>
        </w:rPr>
        <w:drawing>
          <wp:inline distT="0" distB="0" distL="0" distR="0" wp14:anchorId="67BC88A8" wp14:editId="44730FF7">
            <wp:extent cx="4481040" cy="325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435" cy="337924"/>
                    </a:xfrm>
                    <a:prstGeom prst="rect">
                      <a:avLst/>
                    </a:prstGeom>
                    <a:noFill/>
                    <a:ln>
                      <a:noFill/>
                    </a:ln>
                  </pic:spPr>
                </pic:pic>
              </a:graphicData>
            </a:graphic>
          </wp:inline>
        </w:drawing>
      </w:r>
    </w:p>
    <w:p w14:paraId="642458EE" w14:textId="79FACDFA" w:rsidR="00457ABE" w:rsidRDefault="00457ABE" w:rsidP="00457ABE">
      <w:pPr>
        <w:spacing w:after="0" w:line="240" w:lineRule="auto"/>
      </w:pPr>
      <w:r w:rsidRPr="00457ABE">
        <w:rPr>
          <w:noProof/>
        </w:rPr>
        <w:drawing>
          <wp:inline distT="0" distB="0" distL="0" distR="0" wp14:anchorId="71EF10DA" wp14:editId="6082FFA7">
            <wp:extent cx="4162680" cy="33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42" cy="346925"/>
                    </a:xfrm>
                    <a:prstGeom prst="rect">
                      <a:avLst/>
                    </a:prstGeom>
                    <a:noFill/>
                    <a:ln>
                      <a:noFill/>
                    </a:ln>
                  </pic:spPr>
                </pic:pic>
              </a:graphicData>
            </a:graphic>
          </wp:inline>
        </w:drawing>
      </w:r>
    </w:p>
    <w:p w14:paraId="6DD298DB" w14:textId="77777777" w:rsidR="00457ABE" w:rsidRDefault="00457ABE" w:rsidP="00457ABE">
      <w:pPr>
        <w:spacing w:after="0"/>
      </w:pPr>
    </w:p>
    <w:p w14:paraId="29D03F3D" w14:textId="772DC10B" w:rsidR="006441F1" w:rsidRDefault="006441F1">
      <w:pPr>
        <w:rPr>
          <w:rFonts w:cs="Times New Roman"/>
        </w:rPr>
      </w:pPr>
      <w:r>
        <w:rPr>
          <w:rFonts w:cs="Times New Roman"/>
        </w:rPr>
        <w:br w:type="page"/>
      </w:r>
    </w:p>
    <w:p w14:paraId="04EFD931" w14:textId="77777777" w:rsidR="006441F1" w:rsidRDefault="006441F1" w:rsidP="000D3AAA">
      <w:pPr>
        <w:rPr>
          <w:rFonts w:cs="Times New Roman"/>
        </w:rPr>
        <w:sectPr w:rsidR="006441F1" w:rsidSect="00D15395">
          <w:pgSz w:w="15840" w:h="12240" w:orient="landscape" w:code="1"/>
          <w:pgMar w:top="1080" w:right="1080" w:bottom="1080" w:left="1080" w:header="720" w:footer="720" w:gutter="0"/>
          <w:cols w:space="720"/>
          <w:docGrid w:linePitch="360"/>
        </w:sectPr>
      </w:pPr>
    </w:p>
    <w:p w14:paraId="3153B051" w14:textId="3BA50087" w:rsidR="003C3C95" w:rsidRPr="006441F1" w:rsidRDefault="006441F1" w:rsidP="000D3AAA">
      <w:pPr>
        <w:rPr>
          <w:rFonts w:cs="Times New Roman"/>
          <w:b/>
        </w:rPr>
      </w:pPr>
      <w:r w:rsidRPr="006441F1">
        <w:rPr>
          <w:rFonts w:cs="Times New Roman"/>
          <w:b/>
        </w:rPr>
        <w:lastRenderedPageBreak/>
        <w:t>References cited in Supplement</w:t>
      </w:r>
    </w:p>
    <w:p w14:paraId="0D0175BC" w14:textId="77777777" w:rsidR="006441F1" w:rsidRPr="006441F1" w:rsidRDefault="006441F1" w:rsidP="006441F1">
      <w:pPr>
        <w:rPr>
          <w:rFonts w:cs="Times New Roman"/>
        </w:rPr>
      </w:pPr>
      <w:r w:rsidRPr="006441F1">
        <w:rPr>
          <w:rFonts w:cs="Times New Roman"/>
        </w:rPr>
        <w:t>ACGIH. (2001). Silver and compounds. In: Documentation of threshold limit values and biological exposure indices. 7th ed. Vol. 1. Cincinnati, OH: American Conference of Governmental Industrial Hygienists.</w:t>
      </w:r>
    </w:p>
    <w:p w14:paraId="1F6C948D" w14:textId="77777777" w:rsidR="006441F1" w:rsidRPr="006441F1" w:rsidRDefault="006441F1" w:rsidP="006441F1">
      <w:pPr>
        <w:rPr>
          <w:rFonts w:cs="Times New Roman"/>
        </w:rPr>
      </w:pPr>
      <w:r w:rsidRPr="006441F1">
        <w:rPr>
          <w:rFonts w:cs="Times New Roman"/>
        </w:rPr>
        <w:t>Aschberger K, Johnston HJ, Stone V, Aitken RJ, Hankin SM, Peters SA. (2010) Review of carbon nanotubes toxicity and exposure — Appraisal of human health risk assessment based on open literature. Crit Rev Toxicol 40(9):759–790.</w:t>
      </w:r>
    </w:p>
    <w:p w14:paraId="401FBDA9" w14:textId="77777777" w:rsidR="006441F1" w:rsidRPr="006441F1" w:rsidRDefault="006441F1" w:rsidP="006441F1">
      <w:pPr>
        <w:rPr>
          <w:rFonts w:cs="Times New Roman"/>
        </w:rPr>
      </w:pPr>
      <w:r w:rsidRPr="006441F1">
        <w:rPr>
          <w:rFonts w:cs="Times New Roman"/>
        </w:rPr>
        <w:t>Aschberger K, Micheletti C, Sokull-Klüttgen B, Christensen FM. (2011) Analysis of currently available data for characterising the risk of engineered nanomaterials to the environment and human health — Lessons learned from four case studies. Environ Int 37(6):1143–1156.</w:t>
      </w:r>
    </w:p>
    <w:p w14:paraId="6E473FC2" w14:textId="77777777" w:rsidR="006441F1" w:rsidRPr="006441F1" w:rsidRDefault="006441F1" w:rsidP="006441F1">
      <w:pPr>
        <w:rPr>
          <w:rFonts w:cs="Times New Roman"/>
        </w:rPr>
      </w:pPr>
      <w:r w:rsidRPr="006441F1">
        <w:rPr>
          <w:rFonts w:cs="Times New Roman"/>
        </w:rPr>
        <w:t>Brouwer DH. (2012) Control banding approaches for nanomaterials. Annals of Occupational Hygiene; 56 506-14.</w:t>
      </w:r>
    </w:p>
    <w:p w14:paraId="66448057" w14:textId="77777777" w:rsidR="006441F1" w:rsidRPr="006441F1" w:rsidRDefault="006441F1" w:rsidP="006441F1">
      <w:pPr>
        <w:rPr>
          <w:rFonts w:cs="Times New Roman"/>
        </w:rPr>
      </w:pPr>
      <w:r w:rsidRPr="006441F1">
        <w:rPr>
          <w:rFonts w:cs="Times New Roman"/>
        </w:rPr>
        <w:t>Gamo M, ed. (2011) Risk assessment of manufactured nanomaterials: Titanium dioxide (TiO2). Final report issued on July 22, 2011. New Energy and Industrial Technology Development Organization (NEDO) project (P06041) “Research and Development of Nanoparticle Characterization Methods.” National Institute of Advanced Industrial Science and Technology (AIST). Available from http://en.aist-riss.jp/assessment/2721/</w:t>
      </w:r>
    </w:p>
    <w:p w14:paraId="402CCE89" w14:textId="29FB7887" w:rsidR="006441F1" w:rsidRDefault="006441F1" w:rsidP="006441F1">
      <w:pPr>
        <w:rPr>
          <w:rFonts w:cs="Times New Roman"/>
        </w:rPr>
      </w:pPr>
      <w:r w:rsidRPr="006441F1">
        <w:rPr>
          <w:rFonts w:cs="Times New Roman"/>
        </w:rPr>
        <w:t>JSOH (The Japan Society for Occupational Health). (2013) Recommendation of occupational exposure limits (2013–2014). J Occup Health, pp. 421–439.</w:t>
      </w:r>
    </w:p>
    <w:p w14:paraId="7BB0E781" w14:textId="5CDC2296" w:rsidR="006441F1" w:rsidRPr="006441F1" w:rsidRDefault="006441F1" w:rsidP="006441F1">
      <w:pPr>
        <w:rPr>
          <w:rFonts w:cs="Times New Roman"/>
        </w:rPr>
      </w:pPr>
      <w:r w:rsidRPr="006441F1">
        <w:rPr>
          <w:rFonts w:cs="Times New Roman"/>
        </w:rPr>
        <w:t>Kuempel ED, Tran CL, Castranova V, Bailer AJ. (2006) Lung dosimetry and risk assessment of nanoparticles: evaluating and extending current models in rats and humans. Inhal Toxicol 18:717–24.</w:t>
      </w:r>
    </w:p>
    <w:p w14:paraId="540A9BDA" w14:textId="77777777" w:rsidR="006441F1" w:rsidRPr="006441F1" w:rsidRDefault="006441F1" w:rsidP="006441F1">
      <w:pPr>
        <w:rPr>
          <w:rFonts w:cs="Times New Roman"/>
        </w:rPr>
      </w:pPr>
      <w:r w:rsidRPr="006441F1">
        <w:rPr>
          <w:rFonts w:cs="Times New Roman"/>
        </w:rPr>
        <w:t>Mihalache R, Verbeek J, Graczyk H, Murashov V, van Broekhuizen P. (2017) Occupational exposure limits for manufactured nanomaterials, a systematic review. Nanotoxicology; 11 7-19.</w:t>
      </w:r>
    </w:p>
    <w:p w14:paraId="34B03111" w14:textId="77777777" w:rsidR="006441F1" w:rsidRPr="006441F1" w:rsidRDefault="006441F1" w:rsidP="006441F1">
      <w:pPr>
        <w:rPr>
          <w:rFonts w:cs="Times New Roman"/>
        </w:rPr>
      </w:pPr>
      <w:r w:rsidRPr="006441F1">
        <w:rPr>
          <w:rFonts w:cs="Times New Roman"/>
        </w:rPr>
        <w:t>Nakanishi J ed. (2011) Risk assessment of manufactured nanomaterials: “Approaches” - Overview of approaches and results. Final report issued on August 17, 2011. New Energy and Industrial Technology Development Organization (NEDO) project (P06041) “Research and Development of Nanoparticle Characterization Methods.” National Institute of Advanced Industrial Science and Technology (AIST). Available from http://en.aist-riss.jp/assessment/2721/</w:t>
      </w:r>
    </w:p>
    <w:p w14:paraId="3B4CC69E" w14:textId="77777777" w:rsidR="006441F1" w:rsidRPr="006441F1" w:rsidRDefault="006441F1" w:rsidP="006441F1">
      <w:pPr>
        <w:rPr>
          <w:rFonts w:cs="Times New Roman"/>
        </w:rPr>
      </w:pPr>
      <w:r w:rsidRPr="006441F1">
        <w:rPr>
          <w:rFonts w:cs="Times New Roman"/>
        </w:rPr>
        <w:t>NIOSH. (2007) Pocket guide to chemical hazards. Cincinnati, OH: U.S. Department of Health and Human Services, Centers for Disease Control and Prevention, National Institute for Occupational Safety and Health, DHHS (NIOSH) Publication No. 2005-149.</w:t>
      </w:r>
    </w:p>
    <w:p w14:paraId="57903CB9" w14:textId="77777777" w:rsidR="006441F1" w:rsidRPr="006441F1" w:rsidRDefault="006441F1" w:rsidP="006441F1">
      <w:pPr>
        <w:rPr>
          <w:rFonts w:cs="Times New Roman"/>
        </w:rPr>
      </w:pPr>
      <w:r w:rsidRPr="006441F1">
        <w:rPr>
          <w:rFonts w:cs="Times New Roman"/>
        </w:rPr>
        <w:t>NIOSH. (2011) Current Intelligence Bulletin 63: Occupational exposure to titanium dioxide. Cincinnati, OH: U.S. Department of Health and Human Services, Public Health Service, Centers for Disease Control and Prevention, National Institute for Occupational Safety and Health, DHHS (NIOSH) Publication No. 2011-160.</w:t>
      </w:r>
    </w:p>
    <w:p w14:paraId="01D26263" w14:textId="77777777" w:rsidR="006441F1" w:rsidRPr="006441F1" w:rsidRDefault="006441F1" w:rsidP="006441F1">
      <w:pPr>
        <w:rPr>
          <w:rFonts w:cs="Times New Roman"/>
        </w:rPr>
      </w:pPr>
      <w:r w:rsidRPr="006441F1">
        <w:rPr>
          <w:rFonts w:cs="Times New Roman"/>
        </w:rPr>
        <w:t>NIOSH. (2013) Current Intelligence Bulletin 65: Occupational Exposure to Carbon Nanotubes and Nanofibers. Cincinnati, OH: U.S. Department of Health and Human Services, Public Health Service, Centers for Disease Control and Prevention, National Institute for Occupational Safety and Health, DHHS (NIOSH) Publication No. 2013-145.</w:t>
      </w:r>
    </w:p>
    <w:p w14:paraId="0E9D34F4" w14:textId="75B896AA" w:rsidR="006441F1" w:rsidRPr="006441F1" w:rsidRDefault="006441F1" w:rsidP="006441F1">
      <w:pPr>
        <w:rPr>
          <w:rFonts w:cs="Times New Roman"/>
        </w:rPr>
      </w:pPr>
      <w:r w:rsidRPr="006441F1">
        <w:rPr>
          <w:rFonts w:cs="Times New Roman"/>
        </w:rPr>
        <w:lastRenderedPageBreak/>
        <w:t>Ogura I, Gamo M, Kobayashi N, Ema M, Adachi K, Yamada N, Yamamoto O. (2011) Risk assessment</w:t>
      </w:r>
      <w:r>
        <w:rPr>
          <w:rFonts w:cs="Times New Roman"/>
        </w:rPr>
        <w:t xml:space="preserve"> of manufactured nanomaterials, </w:t>
      </w:r>
      <w:r w:rsidRPr="006441F1">
        <w:rPr>
          <w:rFonts w:cs="Times New Roman"/>
        </w:rPr>
        <w:t>TiO2. Tsukuba, Japan: NEDO reports.</w:t>
      </w:r>
    </w:p>
    <w:p w14:paraId="217EF176" w14:textId="77777777" w:rsidR="006441F1" w:rsidRPr="006441F1" w:rsidRDefault="006441F1" w:rsidP="006441F1">
      <w:pPr>
        <w:rPr>
          <w:rFonts w:cs="Times New Roman"/>
        </w:rPr>
      </w:pPr>
      <w:r w:rsidRPr="006441F1">
        <w:rPr>
          <w:rFonts w:cs="Times New Roman"/>
        </w:rPr>
        <w:t xml:space="preserve">Pauluhn J. (2010). Subchronic 13-week inhalation exposure of rats to multiwalled carbon nanotubes: toxic effects are determined by density of agglomerate structures, not fibrillar structures. Toxicol Sci 113(1):226-242. </w:t>
      </w:r>
    </w:p>
    <w:p w14:paraId="46FC667C" w14:textId="1B8FE32D" w:rsidR="006441F1" w:rsidRPr="006441F1" w:rsidRDefault="006441F1" w:rsidP="006441F1">
      <w:pPr>
        <w:rPr>
          <w:rFonts w:cs="Times New Roman"/>
        </w:rPr>
      </w:pPr>
      <w:r w:rsidRPr="006441F1">
        <w:rPr>
          <w:rFonts w:cs="Times New Roman"/>
        </w:rPr>
        <w:t>Stockmann-Juvala H, Taxell P, Santonen T. (2014) Formulating occupational exposure limits values (OELs) (Inhalation &amp; Dermal). Helsinki: Finnish Institute of Occupational Health.  Sc</w:t>
      </w:r>
      <w:r>
        <w:rPr>
          <w:rFonts w:cs="Times New Roman"/>
        </w:rPr>
        <w:t>affold Public Documents - SPD7.</w:t>
      </w:r>
    </w:p>
    <w:p w14:paraId="5BF480A2" w14:textId="77777777" w:rsidR="006441F1" w:rsidRPr="006441F1" w:rsidRDefault="006441F1" w:rsidP="006441F1">
      <w:pPr>
        <w:rPr>
          <w:rFonts w:cs="Times New Roman"/>
        </w:rPr>
      </w:pPr>
      <w:r w:rsidRPr="006441F1">
        <w:rPr>
          <w:rFonts w:cs="Times New Roman"/>
        </w:rPr>
        <w:t>Stone V. (2009) Engineered nanoparticles: review of health and environmental safety. Edinburgh: ENRHES EU project report.</w:t>
      </w:r>
    </w:p>
    <w:p w14:paraId="5B85AE2C" w14:textId="008B5A9C" w:rsidR="006441F1" w:rsidRPr="006441F1" w:rsidRDefault="006441F1" w:rsidP="006441F1">
      <w:pPr>
        <w:rPr>
          <w:rFonts w:cs="Times New Roman"/>
        </w:rPr>
      </w:pPr>
      <w:r w:rsidRPr="006441F1">
        <w:rPr>
          <w:rFonts w:cs="Times New Roman"/>
        </w:rPr>
        <w:t xml:space="preserve">Swidwinska-Gajewska AM, Czerczak S. (2014) Titanium dioxide nanoparticles: occupational </w:t>
      </w:r>
      <w:r>
        <w:rPr>
          <w:rFonts w:cs="Times New Roman"/>
        </w:rPr>
        <w:t xml:space="preserve">exposure limits. Medycyna Pracy </w:t>
      </w:r>
      <w:r w:rsidRPr="006441F1">
        <w:rPr>
          <w:rFonts w:cs="Times New Roman"/>
        </w:rPr>
        <w:t>65:407 [in Polish].</w:t>
      </w:r>
    </w:p>
    <w:p w14:paraId="33AD587B" w14:textId="77777777" w:rsidR="006441F1" w:rsidRPr="006441F1" w:rsidRDefault="006441F1" w:rsidP="006441F1">
      <w:pPr>
        <w:rPr>
          <w:rFonts w:cs="Times New Roman"/>
        </w:rPr>
      </w:pPr>
      <w:r w:rsidRPr="006441F1">
        <w:rPr>
          <w:rFonts w:cs="Times New Roman"/>
        </w:rPr>
        <w:t>Swidwinska-Gajewska AM, Czerczak S. (2015) Nanosilver-Occupational exposure limits. Med Pr 66:429–442 [in Polish].</w:t>
      </w:r>
    </w:p>
    <w:p w14:paraId="4D183F2E" w14:textId="77777777" w:rsidR="006441F1" w:rsidRPr="006441F1" w:rsidRDefault="006441F1" w:rsidP="006441F1">
      <w:pPr>
        <w:rPr>
          <w:rFonts w:cs="Times New Roman"/>
        </w:rPr>
      </w:pPr>
      <w:r w:rsidRPr="006441F1">
        <w:rPr>
          <w:rFonts w:cs="Times New Roman"/>
        </w:rPr>
        <w:t>Warheit DB. (2013) How to measure hazards/risks following exposures to nanoscale or pigment-grade titanium dioxide particles. Toxicol Lett 220:193–204</w:t>
      </w:r>
    </w:p>
    <w:p w14:paraId="52950749" w14:textId="77777777" w:rsidR="006441F1" w:rsidRPr="006441F1" w:rsidRDefault="006441F1" w:rsidP="006441F1">
      <w:pPr>
        <w:rPr>
          <w:rFonts w:cs="Times New Roman"/>
        </w:rPr>
      </w:pPr>
      <w:r w:rsidRPr="006441F1">
        <w:rPr>
          <w:rFonts w:cs="Times New Roman"/>
        </w:rPr>
        <w:t xml:space="preserve">Weldon BA, Faustman EM, Oberdorster G, Workman T, Griffith WC, Kneuer C, Yu IJ. (2016) Occupational exposure limit for silver nanoparticles: considerations on the derivation of a general health-based value.  Nanotoxicology 10(7):945-956. </w:t>
      </w:r>
    </w:p>
    <w:p w14:paraId="3A455F40" w14:textId="77777777" w:rsidR="006441F1" w:rsidRPr="006441F1" w:rsidRDefault="006441F1" w:rsidP="006441F1">
      <w:pPr>
        <w:rPr>
          <w:rFonts w:cs="Times New Roman"/>
        </w:rPr>
      </w:pPr>
    </w:p>
    <w:p w14:paraId="5A5C49BB" w14:textId="77777777" w:rsidR="006441F1" w:rsidRPr="00A136D6" w:rsidRDefault="006441F1" w:rsidP="000D3AAA">
      <w:pPr>
        <w:rPr>
          <w:rFonts w:cs="Times New Roman"/>
        </w:rPr>
      </w:pPr>
    </w:p>
    <w:sectPr w:rsidR="006441F1" w:rsidRPr="00A136D6" w:rsidSect="006441F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9585" w14:textId="77777777" w:rsidR="005563B0" w:rsidRDefault="005563B0" w:rsidP="008B5D54">
      <w:pPr>
        <w:spacing w:after="0" w:line="240" w:lineRule="auto"/>
      </w:pPr>
      <w:r>
        <w:separator/>
      </w:r>
    </w:p>
  </w:endnote>
  <w:endnote w:type="continuationSeparator" w:id="0">
    <w:p w14:paraId="044FAD13" w14:textId="77777777" w:rsidR="005563B0" w:rsidRDefault="005563B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259516"/>
      <w:docPartObj>
        <w:docPartGallery w:val="Page Numbers (Bottom of Page)"/>
        <w:docPartUnique/>
      </w:docPartObj>
    </w:sdtPr>
    <w:sdtEndPr>
      <w:rPr>
        <w:color w:val="808080" w:themeColor="background1" w:themeShade="80"/>
        <w:spacing w:val="60"/>
      </w:rPr>
    </w:sdtEndPr>
    <w:sdtContent>
      <w:p w14:paraId="50E0CCA6" w14:textId="35C702FA" w:rsidR="005563B0" w:rsidRDefault="005563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363F" w:rsidRPr="00EB363F">
          <w:rPr>
            <w:b/>
            <w:bCs/>
            <w:noProof/>
          </w:rPr>
          <w:t>5</w:t>
        </w:r>
        <w:r>
          <w:rPr>
            <w:b/>
            <w:bCs/>
            <w:noProof/>
          </w:rPr>
          <w:fldChar w:fldCharType="end"/>
        </w:r>
        <w:r>
          <w:rPr>
            <w:b/>
            <w:bCs/>
          </w:rPr>
          <w:t xml:space="preserve"> | </w:t>
        </w:r>
        <w:r>
          <w:rPr>
            <w:color w:val="808080" w:themeColor="background1" w:themeShade="80"/>
            <w:spacing w:val="60"/>
          </w:rPr>
          <w:t>Page</w:t>
        </w:r>
      </w:p>
    </w:sdtContent>
  </w:sdt>
  <w:p w14:paraId="5B17CAC1" w14:textId="77777777" w:rsidR="005563B0" w:rsidRDefault="0055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43FC" w14:textId="77777777" w:rsidR="005563B0" w:rsidRDefault="005563B0" w:rsidP="008B5D54">
      <w:pPr>
        <w:spacing w:after="0" w:line="240" w:lineRule="auto"/>
      </w:pPr>
      <w:r>
        <w:separator/>
      </w:r>
    </w:p>
  </w:footnote>
  <w:footnote w:type="continuationSeparator" w:id="0">
    <w:p w14:paraId="70CCA2A7" w14:textId="77777777" w:rsidR="005563B0" w:rsidRDefault="005563B0"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0AF"/>
    <w:multiLevelType w:val="hybridMultilevel"/>
    <w:tmpl w:val="C49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5C64"/>
    <w:multiLevelType w:val="hybridMultilevel"/>
    <w:tmpl w:val="80B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1EEF"/>
    <w:multiLevelType w:val="hybridMultilevel"/>
    <w:tmpl w:val="79C27606"/>
    <w:lvl w:ilvl="0" w:tplc="46CA12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12F7"/>
    <w:multiLevelType w:val="hybridMultilevel"/>
    <w:tmpl w:val="785E12DA"/>
    <w:lvl w:ilvl="0" w:tplc="B8F89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E52CD"/>
    <w:multiLevelType w:val="hybridMultilevel"/>
    <w:tmpl w:val="A8A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0F44"/>
    <w:multiLevelType w:val="hybridMultilevel"/>
    <w:tmpl w:val="D09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862A6"/>
    <w:multiLevelType w:val="hybridMultilevel"/>
    <w:tmpl w:val="2C26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1C3D"/>
    <w:multiLevelType w:val="hybridMultilevel"/>
    <w:tmpl w:val="0DBA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D2A3B"/>
    <w:multiLevelType w:val="hybridMultilevel"/>
    <w:tmpl w:val="1AD26136"/>
    <w:lvl w:ilvl="0" w:tplc="BDDC42EE">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D600C"/>
    <w:multiLevelType w:val="hybridMultilevel"/>
    <w:tmpl w:val="3FA60CE4"/>
    <w:lvl w:ilvl="0" w:tplc="3FD646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7EB8"/>
    <w:multiLevelType w:val="multilevel"/>
    <w:tmpl w:val="1B62E2EE"/>
    <w:lvl w:ilvl="0">
      <w:start w:val="4"/>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360"/>
        </w:tabs>
        <w:ind w:left="0" w:firstLine="0"/>
      </w:pPr>
      <w:rPr>
        <w:rFonts w:hint="default"/>
        <w:b/>
        <w:i w:val="0"/>
      </w:rPr>
    </w:lvl>
    <w:lvl w:ilvl="2">
      <w:start w:val="1"/>
      <w:numFmt w:val="decimal"/>
      <w:pStyle w:val="Heading3"/>
      <w:lvlText w:val="%1.%2.%3"/>
      <w:lvlJc w:val="left"/>
      <w:pPr>
        <w:tabs>
          <w:tab w:val="num" w:pos="720"/>
        </w:tabs>
        <w:ind w:left="0" w:firstLine="0"/>
      </w:pPr>
      <w:rPr>
        <w:rFonts w:hint="default"/>
        <w:b/>
        <w:i w:val="0"/>
      </w:rPr>
    </w:lvl>
    <w:lvl w:ilvl="3">
      <w:start w:val="1"/>
      <w:numFmt w:val="decimal"/>
      <w:pStyle w:val="Heading4"/>
      <w:lvlText w:val="%1.%2.%3.%4"/>
      <w:lvlJc w:val="left"/>
      <w:pPr>
        <w:tabs>
          <w:tab w:val="num" w:pos="1080"/>
        </w:tabs>
        <w:ind w:left="0" w:firstLine="0"/>
      </w:pPr>
      <w:rPr>
        <w:rFonts w:hint="default"/>
        <w:b/>
        <w:i w:val="0"/>
      </w:rPr>
    </w:lvl>
    <w:lvl w:ilvl="4">
      <w:start w:val="1"/>
      <w:numFmt w:val="decimal"/>
      <w:pStyle w:val="Heading5"/>
      <w:lvlText w:val="%1.%2.%3.%4.%5"/>
      <w:lvlJc w:val="left"/>
      <w:pPr>
        <w:tabs>
          <w:tab w:val="num" w:pos="1080"/>
        </w:tabs>
        <w:ind w:left="0" w:firstLine="0"/>
      </w:pPr>
      <w:rPr>
        <w:rFonts w:hint="default"/>
        <w:b/>
        <w:i w:val="0"/>
      </w:rPr>
    </w:lvl>
    <w:lvl w:ilvl="5">
      <w:start w:val="1"/>
      <w:numFmt w:val="decimal"/>
      <w:pStyle w:val="Heading6"/>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36A10554"/>
    <w:multiLevelType w:val="hybridMultilevel"/>
    <w:tmpl w:val="D12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05BF7"/>
    <w:multiLevelType w:val="hybridMultilevel"/>
    <w:tmpl w:val="BF6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B7B68"/>
    <w:multiLevelType w:val="hybridMultilevel"/>
    <w:tmpl w:val="7400ACDA"/>
    <w:lvl w:ilvl="0" w:tplc="46CA12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854BD"/>
    <w:multiLevelType w:val="hybridMultilevel"/>
    <w:tmpl w:val="D10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2C2F"/>
    <w:multiLevelType w:val="hybridMultilevel"/>
    <w:tmpl w:val="682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33286"/>
    <w:multiLevelType w:val="hybridMultilevel"/>
    <w:tmpl w:val="72580596"/>
    <w:lvl w:ilvl="0" w:tplc="0409000B">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1046B"/>
    <w:multiLevelType w:val="hybridMultilevel"/>
    <w:tmpl w:val="49BC48DC"/>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8" w15:restartNumberingAfterBreak="0">
    <w:nsid w:val="41E7001A"/>
    <w:multiLevelType w:val="hybridMultilevel"/>
    <w:tmpl w:val="4D02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25459"/>
    <w:multiLevelType w:val="hybridMultilevel"/>
    <w:tmpl w:val="4F1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511B7"/>
    <w:multiLevelType w:val="hybridMultilevel"/>
    <w:tmpl w:val="90C6665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DDE797C"/>
    <w:multiLevelType w:val="hybridMultilevel"/>
    <w:tmpl w:val="9EA0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24A0A"/>
    <w:multiLevelType w:val="hybridMultilevel"/>
    <w:tmpl w:val="38F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669FF"/>
    <w:multiLevelType w:val="hybridMultilevel"/>
    <w:tmpl w:val="6E4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F019F"/>
    <w:multiLevelType w:val="hybridMultilevel"/>
    <w:tmpl w:val="B0B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B69EB"/>
    <w:multiLevelType w:val="hybridMultilevel"/>
    <w:tmpl w:val="6326FD88"/>
    <w:lvl w:ilvl="0" w:tplc="46CA12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96E67"/>
    <w:multiLevelType w:val="hybridMultilevel"/>
    <w:tmpl w:val="6EB0BC72"/>
    <w:lvl w:ilvl="0" w:tplc="FFFFFFFF">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F170E"/>
    <w:multiLevelType w:val="hybridMultilevel"/>
    <w:tmpl w:val="2972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2674"/>
    <w:multiLevelType w:val="hybridMultilevel"/>
    <w:tmpl w:val="E0D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639B5"/>
    <w:multiLevelType w:val="hybridMultilevel"/>
    <w:tmpl w:val="05F874D0"/>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0" w15:restartNumberingAfterBreak="0">
    <w:nsid w:val="77A24FF3"/>
    <w:multiLevelType w:val="hybridMultilevel"/>
    <w:tmpl w:val="D73CCB7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1" w15:restartNumberingAfterBreak="0">
    <w:nsid w:val="7D3A7091"/>
    <w:multiLevelType w:val="hybridMultilevel"/>
    <w:tmpl w:val="82D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94B8F"/>
    <w:multiLevelType w:val="hybridMultilevel"/>
    <w:tmpl w:val="ED1AA884"/>
    <w:lvl w:ilvl="0" w:tplc="46CA12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7"/>
  </w:num>
  <w:num w:numId="5">
    <w:abstractNumId w:val="0"/>
  </w:num>
  <w:num w:numId="6">
    <w:abstractNumId w:val="29"/>
  </w:num>
  <w:num w:numId="7">
    <w:abstractNumId w:val="5"/>
  </w:num>
  <w:num w:numId="8">
    <w:abstractNumId w:val="1"/>
  </w:num>
  <w:num w:numId="9">
    <w:abstractNumId w:val="7"/>
  </w:num>
  <w:num w:numId="10">
    <w:abstractNumId w:val="21"/>
  </w:num>
  <w:num w:numId="11">
    <w:abstractNumId w:val="4"/>
  </w:num>
  <w:num w:numId="12">
    <w:abstractNumId w:val="12"/>
  </w:num>
  <w:num w:numId="13">
    <w:abstractNumId w:val="23"/>
  </w:num>
  <w:num w:numId="14">
    <w:abstractNumId w:val="15"/>
  </w:num>
  <w:num w:numId="15">
    <w:abstractNumId w:val="24"/>
  </w:num>
  <w:num w:numId="16">
    <w:abstractNumId w:val="31"/>
  </w:num>
  <w:num w:numId="17">
    <w:abstractNumId w:val="19"/>
  </w:num>
  <w:num w:numId="18">
    <w:abstractNumId w:val="14"/>
  </w:num>
  <w:num w:numId="19">
    <w:abstractNumId w:val="22"/>
  </w:num>
  <w:num w:numId="20">
    <w:abstractNumId w:val="20"/>
  </w:num>
  <w:num w:numId="21">
    <w:abstractNumId w:val="10"/>
  </w:num>
  <w:num w:numId="22">
    <w:abstractNumId w:val="26"/>
  </w:num>
  <w:num w:numId="23">
    <w:abstractNumId w:val="30"/>
  </w:num>
  <w:num w:numId="24">
    <w:abstractNumId w:val="17"/>
  </w:num>
  <w:num w:numId="25">
    <w:abstractNumId w:val="28"/>
  </w:num>
  <w:num w:numId="26">
    <w:abstractNumId w:val="8"/>
  </w:num>
  <w:num w:numId="27">
    <w:abstractNumId w:val="2"/>
  </w:num>
  <w:num w:numId="28">
    <w:abstractNumId w:val="3"/>
  </w:num>
  <w:num w:numId="29">
    <w:abstractNumId w:val="9"/>
  </w:num>
  <w:num w:numId="30">
    <w:abstractNumId w:val="18"/>
  </w:num>
  <w:num w:numId="31">
    <w:abstractNumId w:val="25"/>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ccup Hygie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747AA"/>
    <w:rsid w:val="0001117C"/>
    <w:rsid w:val="00027F97"/>
    <w:rsid w:val="000321E5"/>
    <w:rsid w:val="0003655A"/>
    <w:rsid w:val="00041CBC"/>
    <w:rsid w:val="00051DE3"/>
    <w:rsid w:val="00076848"/>
    <w:rsid w:val="00076E20"/>
    <w:rsid w:val="00082A12"/>
    <w:rsid w:val="00084E13"/>
    <w:rsid w:val="00085D87"/>
    <w:rsid w:val="000B5E30"/>
    <w:rsid w:val="000B7087"/>
    <w:rsid w:val="000C0D01"/>
    <w:rsid w:val="000D3AAA"/>
    <w:rsid w:val="000E77D6"/>
    <w:rsid w:val="000F1499"/>
    <w:rsid w:val="00102FA7"/>
    <w:rsid w:val="001051C1"/>
    <w:rsid w:val="001217AF"/>
    <w:rsid w:val="00135ABD"/>
    <w:rsid w:val="00135F34"/>
    <w:rsid w:val="00142629"/>
    <w:rsid w:val="00142CC6"/>
    <w:rsid w:val="001435D5"/>
    <w:rsid w:val="00153A25"/>
    <w:rsid w:val="0016528B"/>
    <w:rsid w:val="00172DB1"/>
    <w:rsid w:val="00176B3C"/>
    <w:rsid w:val="00185F99"/>
    <w:rsid w:val="001954A1"/>
    <w:rsid w:val="001D368B"/>
    <w:rsid w:val="001E16A9"/>
    <w:rsid w:val="00200533"/>
    <w:rsid w:val="00213392"/>
    <w:rsid w:val="0025016B"/>
    <w:rsid w:val="002525A1"/>
    <w:rsid w:val="00267B0F"/>
    <w:rsid w:val="002734F7"/>
    <w:rsid w:val="00275388"/>
    <w:rsid w:val="002768F7"/>
    <w:rsid w:val="00280C26"/>
    <w:rsid w:val="00281601"/>
    <w:rsid w:val="002A40CF"/>
    <w:rsid w:val="002A4BD4"/>
    <w:rsid w:val="002B3A22"/>
    <w:rsid w:val="002C740A"/>
    <w:rsid w:val="002D3DE3"/>
    <w:rsid w:val="002D7856"/>
    <w:rsid w:val="002E1C59"/>
    <w:rsid w:val="002F0383"/>
    <w:rsid w:val="002F32FB"/>
    <w:rsid w:val="002F4E11"/>
    <w:rsid w:val="00314DB3"/>
    <w:rsid w:val="003240EB"/>
    <w:rsid w:val="00326046"/>
    <w:rsid w:val="0032734A"/>
    <w:rsid w:val="00337D79"/>
    <w:rsid w:val="00345803"/>
    <w:rsid w:val="003468CD"/>
    <w:rsid w:val="003471E9"/>
    <w:rsid w:val="00360FB6"/>
    <w:rsid w:val="00363C0F"/>
    <w:rsid w:val="00382E58"/>
    <w:rsid w:val="00383F71"/>
    <w:rsid w:val="00385C51"/>
    <w:rsid w:val="003870E4"/>
    <w:rsid w:val="00390945"/>
    <w:rsid w:val="00392C60"/>
    <w:rsid w:val="00395C97"/>
    <w:rsid w:val="003963C3"/>
    <w:rsid w:val="003A6718"/>
    <w:rsid w:val="003B0B8F"/>
    <w:rsid w:val="003B5CE4"/>
    <w:rsid w:val="003C309C"/>
    <w:rsid w:val="003C3C95"/>
    <w:rsid w:val="003D0A8E"/>
    <w:rsid w:val="003E0769"/>
    <w:rsid w:val="003E1ACF"/>
    <w:rsid w:val="003E2936"/>
    <w:rsid w:val="003E6067"/>
    <w:rsid w:val="003F1350"/>
    <w:rsid w:val="003F3FBA"/>
    <w:rsid w:val="00400288"/>
    <w:rsid w:val="00406D95"/>
    <w:rsid w:val="00440871"/>
    <w:rsid w:val="004432F1"/>
    <w:rsid w:val="00455A34"/>
    <w:rsid w:val="00456847"/>
    <w:rsid w:val="00457ABE"/>
    <w:rsid w:val="00462361"/>
    <w:rsid w:val="00474B6A"/>
    <w:rsid w:val="00475F22"/>
    <w:rsid w:val="004765F4"/>
    <w:rsid w:val="004B6931"/>
    <w:rsid w:val="004B7AB0"/>
    <w:rsid w:val="004C0997"/>
    <w:rsid w:val="004C5764"/>
    <w:rsid w:val="004C6785"/>
    <w:rsid w:val="004D3E29"/>
    <w:rsid w:val="004D4D1E"/>
    <w:rsid w:val="004E6BF6"/>
    <w:rsid w:val="004E7B5E"/>
    <w:rsid w:val="004F1EF7"/>
    <w:rsid w:val="004F2222"/>
    <w:rsid w:val="004F376C"/>
    <w:rsid w:val="00501372"/>
    <w:rsid w:val="00504531"/>
    <w:rsid w:val="00506C21"/>
    <w:rsid w:val="00531D8F"/>
    <w:rsid w:val="00543B3A"/>
    <w:rsid w:val="005472EF"/>
    <w:rsid w:val="005535A4"/>
    <w:rsid w:val="005563B0"/>
    <w:rsid w:val="0056225B"/>
    <w:rsid w:val="0056386A"/>
    <w:rsid w:val="00564D88"/>
    <w:rsid w:val="005665C6"/>
    <w:rsid w:val="00566DEC"/>
    <w:rsid w:val="00567319"/>
    <w:rsid w:val="00574278"/>
    <w:rsid w:val="00574CB0"/>
    <w:rsid w:val="00590349"/>
    <w:rsid w:val="005A1321"/>
    <w:rsid w:val="005A3538"/>
    <w:rsid w:val="005B0FF5"/>
    <w:rsid w:val="005B442A"/>
    <w:rsid w:val="005B5A07"/>
    <w:rsid w:val="005C03BD"/>
    <w:rsid w:val="005C2AA4"/>
    <w:rsid w:val="005D4E55"/>
    <w:rsid w:val="005E62E9"/>
    <w:rsid w:val="005E6D17"/>
    <w:rsid w:val="005F34DD"/>
    <w:rsid w:val="00607506"/>
    <w:rsid w:val="006217F8"/>
    <w:rsid w:val="00631277"/>
    <w:rsid w:val="00636F82"/>
    <w:rsid w:val="006441F1"/>
    <w:rsid w:val="00665488"/>
    <w:rsid w:val="00686C89"/>
    <w:rsid w:val="006909C7"/>
    <w:rsid w:val="006935C8"/>
    <w:rsid w:val="006C6578"/>
    <w:rsid w:val="006D09C9"/>
    <w:rsid w:val="006F31FE"/>
    <w:rsid w:val="00703E54"/>
    <w:rsid w:val="00711611"/>
    <w:rsid w:val="00726603"/>
    <w:rsid w:val="007309A3"/>
    <w:rsid w:val="00732548"/>
    <w:rsid w:val="00742BC9"/>
    <w:rsid w:val="00750B4F"/>
    <w:rsid w:val="007570BE"/>
    <w:rsid w:val="00763D9E"/>
    <w:rsid w:val="007644B5"/>
    <w:rsid w:val="0077059B"/>
    <w:rsid w:val="007711AB"/>
    <w:rsid w:val="0077587F"/>
    <w:rsid w:val="0077724B"/>
    <w:rsid w:val="007A637C"/>
    <w:rsid w:val="007B5851"/>
    <w:rsid w:val="007C18A9"/>
    <w:rsid w:val="007D5F7F"/>
    <w:rsid w:val="007E0BEB"/>
    <w:rsid w:val="007E5678"/>
    <w:rsid w:val="007E697A"/>
    <w:rsid w:val="007E6D74"/>
    <w:rsid w:val="007F6B62"/>
    <w:rsid w:val="0080396E"/>
    <w:rsid w:val="00811A15"/>
    <w:rsid w:val="00812E9F"/>
    <w:rsid w:val="00823434"/>
    <w:rsid w:val="0083568B"/>
    <w:rsid w:val="00847E44"/>
    <w:rsid w:val="00850366"/>
    <w:rsid w:val="00875F17"/>
    <w:rsid w:val="008A07E7"/>
    <w:rsid w:val="008A2216"/>
    <w:rsid w:val="008A6347"/>
    <w:rsid w:val="008B3ED2"/>
    <w:rsid w:val="008B5D54"/>
    <w:rsid w:val="008B62B4"/>
    <w:rsid w:val="008C4FDF"/>
    <w:rsid w:val="008D0064"/>
    <w:rsid w:val="008E195C"/>
    <w:rsid w:val="008E7733"/>
    <w:rsid w:val="008F7EB9"/>
    <w:rsid w:val="00917174"/>
    <w:rsid w:val="0092499F"/>
    <w:rsid w:val="009300C4"/>
    <w:rsid w:val="00933217"/>
    <w:rsid w:val="0093425F"/>
    <w:rsid w:val="00937E4F"/>
    <w:rsid w:val="00944953"/>
    <w:rsid w:val="00953AA8"/>
    <w:rsid w:val="00955845"/>
    <w:rsid w:val="009631EB"/>
    <w:rsid w:val="00967ED8"/>
    <w:rsid w:val="00981177"/>
    <w:rsid w:val="00990DC4"/>
    <w:rsid w:val="009926E2"/>
    <w:rsid w:val="00995DAB"/>
    <w:rsid w:val="0099686B"/>
    <w:rsid w:val="009A02D8"/>
    <w:rsid w:val="009A586D"/>
    <w:rsid w:val="009B74CF"/>
    <w:rsid w:val="009D5DE1"/>
    <w:rsid w:val="009D7350"/>
    <w:rsid w:val="009E5967"/>
    <w:rsid w:val="009F7F90"/>
    <w:rsid w:val="00A11D4C"/>
    <w:rsid w:val="00A13057"/>
    <w:rsid w:val="00A136D6"/>
    <w:rsid w:val="00A16291"/>
    <w:rsid w:val="00A2597E"/>
    <w:rsid w:val="00A36189"/>
    <w:rsid w:val="00A43942"/>
    <w:rsid w:val="00A46C1C"/>
    <w:rsid w:val="00A522B4"/>
    <w:rsid w:val="00A555A8"/>
    <w:rsid w:val="00A600A3"/>
    <w:rsid w:val="00A65717"/>
    <w:rsid w:val="00A66317"/>
    <w:rsid w:val="00A762D1"/>
    <w:rsid w:val="00A8667A"/>
    <w:rsid w:val="00A9116C"/>
    <w:rsid w:val="00A91940"/>
    <w:rsid w:val="00AB571E"/>
    <w:rsid w:val="00AC699C"/>
    <w:rsid w:val="00AC706D"/>
    <w:rsid w:val="00AD2320"/>
    <w:rsid w:val="00AD496D"/>
    <w:rsid w:val="00AD4A63"/>
    <w:rsid w:val="00AD4FEC"/>
    <w:rsid w:val="00AE0D1E"/>
    <w:rsid w:val="00AE17C7"/>
    <w:rsid w:val="00AF2E19"/>
    <w:rsid w:val="00AF6D82"/>
    <w:rsid w:val="00B04FDF"/>
    <w:rsid w:val="00B14ADF"/>
    <w:rsid w:val="00B55735"/>
    <w:rsid w:val="00B55E4B"/>
    <w:rsid w:val="00B608AC"/>
    <w:rsid w:val="00B6158F"/>
    <w:rsid w:val="00B70474"/>
    <w:rsid w:val="00B71016"/>
    <w:rsid w:val="00B741FA"/>
    <w:rsid w:val="00B76050"/>
    <w:rsid w:val="00B84C5C"/>
    <w:rsid w:val="00B9020A"/>
    <w:rsid w:val="00B90B3F"/>
    <w:rsid w:val="00BA2FD8"/>
    <w:rsid w:val="00BA49FC"/>
    <w:rsid w:val="00BA4B00"/>
    <w:rsid w:val="00BA6391"/>
    <w:rsid w:val="00BA7877"/>
    <w:rsid w:val="00BC4C51"/>
    <w:rsid w:val="00BC70BB"/>
    <w:rsid w:val="00C06DD5"/>
    <w:rsid w:val="00C13D10"/>
    <w:rsid w:val="00C14036"/>
    <w:rsid w:val="00C1405C"/>
    <w:rsid w:val="00C22BED"/>
    <w:rsid w:val="00C26781"/>
    <w:rsid w:val="00C30F28"/>
    <w:rsid w:val="00C35A6E"/>
    <w:rsid w:val="00C45064"/>
    <w:rsid w:val="00C62CE8"/>
    <w:rsid w:val="00C9275B"/>
    <w:rsid w:val="00C94D1C"/>
    <w:rsid w:val="00C97EE4"/>
    <w:rsid w:val="00CA5F6C"/>
    <w:rsid w:val="00CE0021"/>
    <w:rsid w:val="00CE2D8F"/>
    <w:rsid w:val="00CF646D"/>
    <w:rsid w:val="00D149D1"/>
    <w:rsid w:val="00D15395"/>
    <w:rsid w:val="00D401D4"/>
    <w:rsid w:val="00D40A05"/>
    <w:rsid w:val="00D4259D"/>
    <w:rsid w:val="00D45F96"/>
    <w:rsid w:val="00D5304F"/>
    <w:rsid w:val="00D60406"/>
    <w:rsid w:val="00D60B06"/>
    <w:rsid w:val="00D736D5"/>
    <w:rsid w:val="00D73A8E"/>
    <w:rsid w:val="00D747AA"/>
    <w:rsid w:val="00D8590E"/>
    <w:rsid w:val="00D92195"/>
    <w:rsid w:val="00DA71F5"/>
    <w:rsid w:val="00DB3521"/>
    <w:rsid w:val="00DC0225"/>
    <w:rsid w:val="00DC18B4"/>
    <w:rsid w:val="00DC57CC"/>
    <w:rsid w:val="00DD4837"/>
    <w:rsid w:val="00DF40F3"/>
    <w:rsid w:val="00DF59EC"/>
    <w:rsid w:val="00E1178A"/>
    <w:rsid w:val="00E14231"/>
    <w:rsid w:val="00E16CE9"/>
    <w:rsid w:val="00E56D9F"/>
    <w:rsid w:val="00E66359"/>
    <w:rsid w:val="00E66B68"/>
    <w:rsid w:val="00E91AD6"/>
    <w:rsid w:val="00EA5B74"/>
    <w:rsid w:val="00EB2DD7"/>
    <w:rsid w:val="00EB363F"/>
    <w:rsid w:val="00EB79B0"/>
    <w:rsid w:val="00EC2621"/>
    <w:rsid w:val="00EE3F25"/>
    <w:rsid w:val="00EE6EE5"/>
    <w:rsid w:val="00EF2CFC"/>
    <w:rsid w:val="00EF48EA"/>
    <w:rsid w:val="00F0315A"/>
    <w:rsid w:val="00F077E3"/>
    <w:rsid w:val="00F37A50"/>
    <w:rsid w:val="00F41AAD"/>
    <w:rsid w:val="00F54307"/>
    <w:rsid w:val="00FA0ABB"/>
    <w:rsid w:val="00FA5F4E"/>
    <w:rsid w:val="00FB4CAD"/>
    <w:rsid w:val="00FE257B"/>
    <w:rsid w:val="00FE6A46"/>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0BF98F"/>
  <w15:chartTrackingRefBased/>
  <w15:docId w15:val="{19331C35-586D-47B0-87C6-96FF3666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47AA"/>
    <w:pPr>
      <w:keepNext/>
      <w:numPr>
        <w:numId w:val="21"/>
      </w:numPr>
      <w:tabs>
        <w:tab w:val="left" w:pos="400"/>
        <w:tab w:val="left" w:pos="560"/>
      </w:tabs>
      <w:suppressAutoHyphens/>
      <w:spacing w:before="270" w:after="240" w:line="270" w:lineRule="exact"/>
      <w:outlineLvl w:val="0"/>
    </w:pPr>
    <w:rPr>
      <w:rFonts w:ascii="Arial" w:eastAsia="MS Mincho" w:hAnsi="Arial" w:cs="Times New Roman"/>
      <w:b/>
      <w:sz w:val="24"/>
      <w:szCs w:val="20"/>
      <w:lang w:val="de-DE" w:eastAsia="ja-JP"/>
    </w:rPr>
  </w:style>
  <w:style w:type="paragraph" w:styleId="Heading2">
    <w:name w:val="heading 2"/>
    <w:basedOn w:val="Heading1"/>
    <w:next w:val="Normal"/>
    <w:link w:val="Heading2Char"/>
    <w:qFormat/>
    <w:rsid w:val="00D747AA"/>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rsid w:val="00D747AA"/>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basedOn w:val="Heading3"/>
    <w:next w:val="Normal"/>
    <w:link w:val="Heading4Char"/>
    <w:qFormat/>
    <w:rsid w:val="00D747AA"/>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qFormat/>
    <w:rsid w:val="00D747AA"/>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D747AA"/>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D747AA"/>
    <w:rPr>
      <w:rFonts w:ascii="Arial" w:eastAsia="MS Mincho" w:hAnsi="Arial" w:cs="Times New Roman"/>
      <w:b/>
      <w:sz w:val="24"/>
      <w:szCs w:val="20"/>
      <w:lang w:val="de-DE" w:eastAsia="ja-JP"/>
    </w:rPr>
  </w:style>
  <w:style w:type="character" w:customStyle="1" w:styleId="Heading2Char">
    <w:name w:val="Heading 2 Char"/>
    <w:basedOn w:val="DefaultParagraphFont"/>
    <w:link w:val="Heading2"/>
    <w:rsid w:val="00D747AA"/>
    <w:rPr>
      <w:rFonts w:ascii="Arial" w:eastAsia="MS Mincho" w:hAnsi="Arial" w:cs="Times New Roman"/>
      <w:b/>
      <w:szCs w:val="20"/>
      <w:lang w:val="de-DE" w:eastAsia="ja-JP"/>
    </w:rPr>
  </w:style>
  <w:style w:type="character" w:customStyle="1" w:styleId="Heading3Char">
    <w:name w:val="Heading 3 Char"/>
    <w:basedOn w:val="DefaultParagraphFont"/>
    <w:link w:val="Heading3"/>
    <w:rsid w:val="00D747AA"/>
    <w:rPr>
      <w:rFonts w:ascii="Arial" w:eastAsia="MS Mincho" w:hAnsi="Arial" w:cs="Times New Roman"/>
      <w:b/>
      <w:sz w:val="20"/>
      <w:szCs w:val="20"/>
      <w:lang w:val="de-DE" w:eastAsia="ja-JP"/>
    </w:rPr>
  </w:style>
  <w:style w:type="character" w:customStyle="1" w:styleId="Heading4Char">
    <w:name w:val="Heading 4 Char"/>
    <w:basedOn w:val="DefaultParagraphFont"/>
    <w:link w:val="Heading4"/>
    <w:rsid w:val="00D747AA"/>
    <w:rPr>
      <w:rFonts w:ascii="Arial" w:eastAsia="MS Mincho" w:hAnsi="Arial" w:cs="Times New Roman"/>
      <w:b/>
      <w:sz w:val="20"/>
      <w:szCs w:val="20"/>
      <w:lang w:val="de-DE" w:eastAsia="ja-JP"/>
    </w:rPr>
  </w:style>
  <w:style w:type="character" w:customStyle="1" w:styleId="Heading5Char">
    <w:name w:val="Heading 5 Char"/>
    <w:basedOn w:val="DefaultParagraphFont"/>
    <w:link w:val="Heading5"/>
    <w:rsid w:val="00D747AA"/>
    <w:rPr>
      <w:rFonts w:ascii="Arial" w:eastAsia="MS Mincho" w:hAnsi="Arial" w:cs="Times New Roman"/>
      <w:b/>
      <w:sz w:val="20"/>
      <w:szCs w:val="20"/>
      <w:lang w:val="de-DE" w:eastAsia="ja-JP"/>
    </w:rPr>
  </w:style>
  <w:style w:type="character" w:customStyle="1" w:styleId="Heading6Char">
    <w:name w:val="Heading 6 Char"/>
    <w:basedOn w:val="DefaultParagraphFont"/>
    <w:link w:val="Heading6"/>
    <w:rsid w:val="00D747AA"/>
    <w:rPr>
      <w:rFonts w:ascii="Arial" w:eastAsia="MS Mincho" w:hAnsi="Arial" w:cs="Times New Roman"/>
      <w:b/>
      <w:sz w:val="20"/>
      <w:szCs w:val="20"/>
      <w:lang w:val="de-DE" w:eastAsia="ja-JP"/>
    </w:rPr>
  </w:style>
  <w:style w:type="numbering" w:customStyle="1" w:styleId="NoList1">
    <w:name w:val="No List1"/>
    <w:next w:val="NoList"/>
    <w:uiPriority w:val="99"/>
    <w:semiHidden/>
    <w:unhideWhenUsed/>
    <w:rsid w:val="00D747AA"/>
  </w:style>
  <w:style w:type="paragraph" w:styleId="BalloonText">
    <w:name w:val="Balloon Text"/>
    <w:basedOn w:val="Normal"/>
    <w:link w:val="BalloonTextChar"/>
    <w:uiPriority w:val="99"/>
    <w:semiHidden/>
    <w:unhideWhenUsed/>
    <w:rsid w:val="00D7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AA"/>
    <w:rPr>
      <w:rFonts w:ascii="Tahoma" w:hAnsi="Tahoma" w:cs="Tahoma"/>
      <w:sz w:val="16"/>
      <w:szCs w:val="16"/>
    </w:rPr>
  </w:style>
  <w:style w:type="paragraph" w:customStyle="1" w:styleId="EndNoteBibliographyTitle">
    <w:name w:val="EndNote Bibliography Title"/>
    <w:basedOn w:val="Normal"/>
    <w:link w:val="EndNoteBibliographyTitleChar"/>
    <w:rsid w:val="00D747A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47AA"/>
    <w:rPr>
      <w:rFonts w:ascii="Calibri" w:hAnsi="Calibri"/>
      <w:noProof/>
    </w:rPr>
  </w:style>
  <w:style w:type="paragraph" w:customStyle="1" w:styleId="EndNoteBibliography">
    <w:name w:val="EndNote Bibliography"/>
    <w:basedOn w:val="Normal"/>
    <w:link w:val="EndNoteBibliographyChar"/>
    <w:rsid w:val="00D747A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747AA"/>
    <w:rPr>
      <w:rFonts w:ascii="Calibri" w:hAnsi="Calibri"/>
      <w:noProof/>
    </w:rPr>
  </w:style>
  <w:style w:type="character" w:styleId="CommentReference">
    <w:name w:val="annotation reference"/>
    <w:basedOn w:val="DefaultParagraphFont"/>
    <w:uiPriority w:val="99"/>
    <w:semiHidden/>
    <w:unhideWhenUsed/>
    <w:rsid w:val="00D747AA"/>
    <w:rPr>
      <w:sz w:val="16"/>
      <w:szCs w:val="16"/>
    </w:rPr>
  </w:style>
  <w:style w:type="paragraph" w:styleId="CommentText">
    <w:name w:val="annotation text"/>
    <w:basedOn w:val="Normal"/>
    <w:link w:val="CommentTextChar"/>
    <w:uiPriority w:val="99"/>
    <w:unhideWhenUsed/>
    <w:rsid w:val="00D747AA"/>
    <w:pPr>
      <w:spacing w:line="240" w:lineRule="auto"/>
    </w:pPr>
    <w:rPr>
      <w:sz w:val="20"/>
      <w:szCs w:val="20"/>
    </w:rPr>
  </w:style>
  <w:style w:type="character" w:customStyle="1" w:styleId="CommentTextChar">
    <w:name w:val="Comment Text Char"/>
    <w:basedOn w:val="DefaultParagraphFont"/>
    <w:link w:val="CommentText"/>
    <w:uiPriority w:val="99"/>
    <w:rsid w:val="00D747AA"/>
    <w:rPr>
      <w:sz w:val="20"/>
      <w:szCs w:val="20"/>
    </w:rPr>
  </w:style>
  <w:style w:type="paragraph" w:styleId="CommentSubject">
    <w:name w:val="annotation subject"/>
    <w:basedOn w:val="CommentText"/>
    <w:next w:val="CommentText"/>
    <w:link w:val="CommentSubjectChar"/>
    <w:uiPriority w:val="99"/>
    <w:semiHidden/>
    <w:unhideWhenUsed/>
    <w:rsid w:val="00D747AA"/>
    <w:rPr>
      <w:b/>
      <w:bCs/>
    </w:rPr>
  </w:style>
  <w:style w:type="character" w:customStyle="1" w:styleId="CommentSubjectChar">
    <w:name w:val="Comment Subject Char"/>
    <w:basedOn w:val="CommentTextChar"/>
    <w:link w:val="CommentSubject"/>
    <w:uiPriority w:val="99"/>
    <w:semiHidden/>
    <w:rsid w:val="00D747AA"/>
    <w:rPr>
      <w:b/>
      <w:bCs/>
      <w:sz w:val="20"/>
      <w:szCs w:val="20"/>
    </w:rPr>
  </w:style>
  <w:style w:type="paragraph" w:styleId="ListParagraph">
    <w:name w:val="List Paragraph"/>
    <w:basedOn w:val="Normal"/>
    <w:uiPriority w:val="34"/>
    <w:qFormat/>
    <w:rsid w:val="00D747AA"/>
    <w:pPr>
      <w:ind w:left="720"/>
      <w:contextualSpacing/>
    </w:pPr>
  </w:style>
  <w:style w:type="paragraph" w:customStyle="1" w:styleId="Default">
    <w:name w:val="Default"/>
    <w:rsid w:val="00D747A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747AA"/>
    <w:pPr>
      <w:spacing w:after="0" w:line="240" w:lineRule="auto"/>
    </w:pPr>
  </w:style>
  <w:style w:type="paragraph" w:customStyle="1" w:styleId="biblio">
    <w:name w:val="biblio"/>
    <w:basedOn w:val="Normal"/>
    <w:rsid w:val="00D747AA"/>
    <w:pPr>
      <w:keepLines/>
      <w:spacing w:after="240" w:line="240" w:lineRule="auto"/>
      <w:ind w:left="720" w:hanging="720"/>
    </w:pPr>
    <w:rPr>
      <w:rFonts w:ascii="Times New Roman" w:eastAsia="Times New Roman" w:hAnsi="Times New Roman" w:cs="Times New Roman"/>
      <w:szCs w:val="20"/>
    </w:rPr>
  </w:style>
  <w:style w:type="character" w:styleId="Hyperlink">
    <w:name w:val="Hyperlink"/>
    <w:basedOn w:val="DefaultParagraphFont"/>
    <w:uiPriority w:val="99"/>
    <w:unhideWhenUsed/>
    <w:rsid w:val="00D747AA"/>
    <w:rPr>
      <w:color w:val="0000FF" w:themeColor="hyperlink"/>
      <w:u w:val="single"/>
    </w:rPr>
  </w:style>
  <w:style w:type="paragraph" w:styleId="Title">
    <w:name w:val="Title"/>
    <w:basedOn w:val="Normal"/>
    <w:next w:val="Normal"/>
    <w:link w:val="TitleChar"/>
    <w:uiPriority w:val="10"/>
    <w:qFormat/>
    <w:rsid w:val="00D74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7A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747AA"/>
    <w:rPr>
      <w:i/>
      <w:iCs/>
    </w:rPr>
  </w:style>
  <w:style w:type="character" w:styleId="FollowedHyperlink">
    <w:name w:val="FollowedHyperlink"/>
    <w:basedOn w:val="DefaultParagraphFont"/>
    <w:uiPriority w:val="99"/>
    <w:semiHidden/>
    <w:unhideWhenUsed/>
    <w:rsid w:val="00D747AA"/>
    <w:rPr>
      <w:color w:val="800080" w:themeColor="followedHyperlink"/>
      <w:u w:val="single"/>
    </w:rPr>
  </w:style>
  <w:style w:type="table" w:styleId="TableGrid">
    <w:name w:val="Table Grid"/>
    <w:basedOn w:val="TableNormal"/>
    <w:uiPriority w:val="59"/>
    <w:rsid w:val="00D747AA"/>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rsid w:val="00D747AA"/>
    <w:pPr>
      <w:keepNext/>
      <w:suppressAutoHyphens/>
      <w:spacing w:before="120" w:after="120" w:line="230" w:lineRule="exact"/>
      <w:jc w:val="center"/>
    </w:pPr>
    <w:rPr>
      <w:rFonts w:ascii="Arial" w:eastAsia="MS Mincho" w:hAnsi="Arial" w:cs="Times New Roman"/>
      <w:b/>
      <w:sz w:val="20"/>
      <w:szCs w:val="20"/>
      <w:lang w:val="de-DE" w:eastAsia="ja-JP"/>
    </w:rPr>
  </w:style>
  <w:style w:type="character" w:customStyle="1" w:styleId="TableFootNoteXref">
    <w:name w:val="TableFootNoteXref"/>
    <w:rsid w:val="00D747AA"/>
    <w:rPr>
      <w:noProof/>
      <w:position w:val="6"/>
      <w:sz w:val="14"/>
      <w:lang w:val="fr-FR"/>
    </w:rPr>
  </w:style>
  <w:style w:type="paragraph" w:customStyle="1" w:styleId="Tabletext9">
    <w:name w:val="Table text (9)"/>
    <w:basedOn w:val="Normal"/>
    <w:rsid w:val="00D747AA"/>
    <w:pPr>
      <w:spacing w:before="60" w:after="60" w:line="210" w:lineRule="atLeast"/>
      <w:jc w:val="both"/>
    </w:pPr>
    <w:rPr>
      <w:rFonts w:ascii="Arial" w:eastAsia="MS Mincho" w:hAnsi="Arial" w:cs="Times New Roman"/>
      <w:sz w:val="18"/>
      <w:szCs w:val="20"/>
      <w:lang w:val="de-DE" w:eastAsia="ja-JP"/>
    </w:rPr>
  </w:style>
  <w:style w:type="paragraph" w:customStyle="1" w:styleId="Tabletext8">
    <w:name w:val="Table text (8)"/>
    <w:basedOn w:val="Normal"/>
    <w:rsid w:val="00D747AA"/>
    <w:pPr>
      <w:spacing w:before="60" w:after="60" w:line="190" w:lineRule="atLeast"/>
      <w:jc w:val="both"/>
    </w:pPr>
    <w:rPr>
      <w:rFonts w:ascii="Arial" w:eastAsia="MS Mincho" w:hAnsi="Arial" w:cs="Times New Roman"/>
      <w:sz w:val="16"/>
      <w:szCs w:val="20"/>
      <w:lang w:val="de-DE" w:eastAsia="ja-JP"/>
    </w:rPr>
  </w:style>
  <w:style w:type="paragraph" w:styleId="PlainText">
    <w:name w:val="Plain Text"/>
    <w:basedOn w:val="Normal"/>
    <w:link w:val="PlainTextChar"/>
    <w:uiPriority w:val="99"/>
    <w:unhideWhenUsed/>
    <w:rsid w:val="00D747AA"/>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D747AA"/>
    <w:rPr>
      <w:rFonts w:ascii="Times New Roman" w:hAnsi="Times New Roman" w:cs="Times New Roman"/>
      <w:sz w:val="24"/>
      <w:szCs w:val="24"/>
    </w:rPr>
  </w:style>
  <w:style w:type="table" w:customStyle="1" w:styleId="TableGrid1">
    <w:name w:val="Table Grid1"/>
    <w:basedOn w:val="TableNormal"/>
    <w:next w:val="TableGrid"/>
    <w:uiPriority w:val="59"/>
    <w:rsid w:val="00D747AA"/>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0898">
      <w:bodyDiv w:val="1"/>
      <w:marLeft w:val="0"/>
      <w:marRight w:val="0"/>
      <w:marTop w:val="0"/>
      <w:marBottom w:val="0"/>
      <w:divBdr>
        <w:top w:val="none" w:sz="0" w:space="0" w:color="auto"/>
        <w:left w:val="none" w:sz="0" w:space="0" w:color="auto"/>
        <w:bottom w:val="none" w:sz="0" w:space="0" w:color="auto"/>
        <w:right w:val="none" w:sz="0" w:space="0" w:color="auto"/>
      </w:divBdr>
    </w:div>
    <w:div w:id="727924390">
      <w:bodyDiv w:val="1"/>
      <w:marLeft w:val="0"/>
      <w:marRight w:val="0"/>
      <w:marTop w:val="0"/>
      <w:marBottom w:val="0"/>
      <w:divBdr>
        <w:top w:val="none" w:sz="0" w:space="0" w:color="auto"/>
        <w:left w:val="none" w:sz="0" w:space="0" w:color="auto"/>
        <w:bottom w:val="none" w:sz="0" w:space="0" w:color="auto"/>
        <w:right w:val="none" w:sz="0" w:space="0" w:color="auto"/>
      </w:divBdr>
    </w:div>
    <w:div w:id="817264287">
      <w:bodyDiv w:val="1"/>
      <w:marLeft w:val="0"/>
      <w:marRight w:val="0"/>
      <w:marTop w:val="0"/>
      <w:marBottom w:val="0"/>
      <w:divBdr>
        <w:top w:val="none" w:sz="0" w:space="0" w:color="auto"/>
        <w:left w:val="none" w:sz="0" w:space="0" w:color="auto"/>
        <w:bottom w:val="none" w:sz="0" w:space="0" w:color="auto"/>
        <w:right w:val="none" w:sz="0" w:space="0" w:color="auto"/>
      </w:divBdr>
    </w:div>
    <w:div w:id="1577938386">
      <w:bodyDiv w:val="1"/>
      <w:marLeft w:val="0"/>
      <w:marRight w:val="0"/>
      <w:marTop w:val="0"/>
      <w:marBottom w:val="0"/>
      <w:divBdr>
        <w:top w:val="none" w:sz="0" w:space="0" w:color="auto"/>
        <w:left w:val="none" w:sz="0" w:space="0" w:color="auto"/>
        <w:bottom w:val="none" w:sz="0" w:space="0" w:color="auto"/>
        <w:right w:val="none" w:sz="0" w:space="0" w:color="auto"/>
      </w:divBdr>
    </w:div>
    <w:div w:id="1602175899">
      <w:bodyDiv w:val="1"/>
      <w:marLeft w:val="0"/>
      <w:marRight w:val="0"/>
      <w:marTop w:val="0"/>
      <w:marBottom w:val="0"/>
      <w:divBdr>
        <w:top w:val="none" w:sz="0" w:space="0" w:color="auto"/>
        <w:left w:val="none" w:sz="0" w:space="0" w:color="auto"/>
        <w:bottom w:val="none" w:sz="0" w:space="0" w:color="auto"/>
        <w:right w:val="none" w:sz="0" w:space="0" w:color="auto"/>
      </w:divBdr>
    </w:div>
    <w:div w:id="18753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D24A-52BA-4428-9819-E00DFC30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Kevin H. (CDC/NIOSH/DART)</dc:creator>
  <cp:keywords/>
  <dc:description/>
  <cp:lastModifiedBy>Dunn, Kevin H. (CDC/NIOSH/DART)</cp:lastModifiedBy>
  <cp:revision>3</cp:revision>
  <cp:lastPrinted>2017-10-03T20:19:00Z</cp:lastPrinted>
  <dcterms:created xsi:type="dcterms:W3CDTF">2017-11-01T21:02:00Z</dcterms:created>
  <dcterms:modified xsi:type="dcterms:W3CDTF">2017-11-01T21:32:00Z</dcterms:modified>
</cp:coreProperties>
</file>