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BA23" w14:textId="77777777" w:rsidR="00C32B22" w:rsidRDefault="00C32B22" w:rsidP="00C32B2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Data</w:t>
      </w:r>
    </w:p>
    <w:p w14:paraId="642A113A" w14:textId="6FF9130E" w:rsidR="00C32B22" w:rsidRDefault="00C32B22" w:rsidP="00C32B2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15D0250" wp14:editId="59024EB9">
            <wp:extent cx="3616452" cy="3011424"/>
            <wp:effectExtent l="0" t="0" r="3175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452" cy="301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35247" w14:textId="77777777" w:rsidR="00C32B22" w:rsidRDefault="00C32B22" w:rsidP="00C32B22">
      <w:pPr>
        <w:spacing w:line="480" w:lineRule="auto"/>
        <w:rPr>
          <w:rFonts w:ascii="Arial" w:hAnsi="Arial" w:cs="Arial"/>
          <w:b/>
          <w:bCs/>
        </w:rPr>
      </w:pPr>
    </w:p>
    <w:p w14:paraId="03880786" w14:textId="3CE3BAD5" w:rsidR="00C32B22" w:rsidRPr="00A304CA" w:rsidRDefault="00C32B22" w:rsidP="00C32B2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S</w:t>
      </w:r>
      <w:r w:rsidRPr="00A304CA">
        <w:rPr>
          <w:rFonts w:ascii="Arial" w:hAnsi="Arial" w:cs="Arial"/>
          <w:b/>
          <w:bCs/>
        </w:rPr>
        <w:t>1.</w:t>
      </w:r>
      <w:r w:rsidRPr="00A304CA">
        <w:rPr>
          <w:rFonts w:ascii="Arial" w:hAnsi="Arial" w:cs="Arial"/>
        </w:rPr>
        <w:t xml:space="preserve"> Mean emtricitabine (FTC) concentrations in plasma collected from MSM following 2 oral doses of integrase strand transfer inhibitor-containing regimens given 24 hours apart. Geometric mean concentrations and 95% </w:t>
      </w:r>
      <w:r>
        <w:rPr>
          <w:rFonts w:ascii="Arial" w:hAnsi="Arial" w:cs="Arial"/>
        </w:rPr>
        <w:t>CI</w:t>
      </w:r>
      <w:r w:rsidRPr="00A304CA">
        <w:rPr>
          <w:rFonts w:ascii="Arial" w:hAnsi="Arial" w:cs="Arial"/>
        </w:rPr>
        <w:t xml:space="preserve"> for plasma are presented from 2 to 120 hours following the first dose for participants receiving </w:t>
      </w:r>
      <w:proofErr w:type="spellStart"/>
      <w:r w:rsidRPr="00A304CA">
        <w:rPr>
          <w:rFonts w:ascii="Arial" w:hAnsi="Arial" w:cs="Arial"/>
        </w:rPr>
        <w:t>unboosted</w:t>
      </w:r>
      <w:proofErr w:type="spellEnd"/>
      <w:r w:rsidRPr="00A304CA">
        <w:rPr>
          <w:rFonts w:ascii="Arial" w:hAnsi="Arial" w:cs="Arial"/>
        </w:rPr>
        <w:t xml:space="preserve"> FTC or FTC boosted with cobicistat. The dotted line indicates the lower limit of quantification (LLOQ) for FTC measurements in plasma (10 ng/mL).</w:t>
      </w:r>
    </w:p>
    <w:p w14:paraId="14954479" w14:textId="4892F975" w:rsidR="00C32B22" w:rsidRDefault="00C32B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38699F" w14:textId="77777777" w:rsidR="00C32B22" w:rsidRPr="00143081" w:rsidRDefault="00C32B22" w:rsidP="00C32B22">
      <w:pPr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143081">
        <w:rPr>
          <w:b/>
          <w:bCs/>
        </w:rPr>
        <w:t xml:space="preserve">Table </w:t>
      </w:r>
      <w:r>
        <w:rPr>
          <w:b/>
          <w:bCs/>
        </w:rPr>
        <w:t>1</w:t>
      </w:r>
      <w:r w:rsidRPr="00143081">
        <w:rPr>
          <w:b/>
          <w:bCs/>
        </w:rPr>
        <w:t xml:space="preserve">: Pharmacokinetic parameters of </w:t>
      </w:r>
      <w:r>
        <w:rPr>
          <w:b/>
          <w:bCs/>
        </w:rPr>
        <w:t>emtricitabine</w:t>
      </w:r>
      <w:r w:rsidRPr="00143081">
        <w:rPr>
          <w:b/>
          <w:bCs/>
        </w:rPr>
        <w:t xml:space="preserve"> in plasma</w:t>
      </w:r>
    </w:p>
    <w:p w14:paraId="3238EAA7" w14:textId="77777777" w:rsidR="00C32B22" w:rsidRDefault="00C32B22" w:rsidP="00C32B22"/>
    <w:tbl>
      <w:tblPr>
        <w:tblStyle w:val="TableGrid"/>
        <w:tblW w:w="73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90"/>
      </w:tblGrid>
      <w:tr w:rsidR="00C32B22" w14:paraId="173ECE5C" w14:textId="77777777" w:rsidTr="00B23D5B"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4C8EE61A" w14:textId="77777777" w:rsidR="00C32B22" w:rsidRDefault="00C32B22" w:rsidP="00B23D5B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11E60B1" w14:textId="77777777" w:rsidR="00C32B22" w:rsidRPr="000506A3" w:rsidRDefault="00C32B22" w:rsidP="00B23D5B">
            <w:pPr>
              <w:jc w:val="center"/>
              <w:rPr>
                <w:b/>
                <w:bCs/>
              </w:rPr>
            </w:pPr>
            <w:proofErr w:type="spellStart"/>
            <w:r w:rsidRPr="000506A3">
              <w:rPr>
                <w:b/>
                <w:bCs/>
              </w:rPr>
              <w:t>C</w:t>
            </w:r>
            <w:r w:rsidRPr="000506A3">
              <w:rPr>
                <w:b/>
                <w:bCs/>
                <w:vertAlign w:val="subscript"/>
              </w:rPr>
              <w:t>max</w:t>
            </w:r>
            <w:proofErr w:type="spellEnd"/>
          </w:p>
          <w:p w14:paraId="257039B3" w14:textId="77777777" w:rsidR="00C32B22" w:rsidRPr="000506A3" w:rsidRDefault="00C32B22" w:rsidP="00B23D5B">
            <w:pPr>
              <w:jc w:val="center"/>
              <w:rPr>
                <w:b/>
                <w:bCs/>
              </w:rPr>
            </w:pPr>
            <w:r w:rsidRPr="000506A3">
              <w:rPr>
                <w:b/>
                <w:bCs/>
              </w:rPr>
              <w:t>(ng/</w:t>
            </w:r>
            <w:proofErr w:type="gramStart"/>
            <w:r w:rsidRPr="000506A3">
              <w:rPr>
                <w:b/>
                <w:bCs/>
              </w:rPr>
              <w:t>mL)</w:t>
            </w:r>
            <w:r w:rsidRPr="000506A3">
              <w:rPr>
                <w:b/>
                <w:bCs/>
                <w:vertAlign w:val="superscript"/>
              </w:rPr>
              <w:t>a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D6241DF" w14:textId="77777777" w:rsidR="00C32B22" w:rsidRPr="000506A3" w:rsidRDefault="00C32B22" w:rsidP="00B23D5B">
            <w:pPr>
              <w:jc w:val="center"/>
              <w:rPr>
                <w:b/>
                <w:bCs/>
              </w:rPr>
            </w:pPr>
            <w:proofErr w:type="spellStart"/>
            <w:r w:rsidRPr="000506A3">
              <w:rPr>
                <w:b/>
                <w:bCs/>
              </w:rPr>
              <w:t>T</w:t>
            </w:r>
            <w:r w:rsidRPr="000506A3">
              <w:rPr>
                <w:b/>
                <w:bCs/>
                <w:vertAlign w:val="subscript"/>
              </w:rPr>
              <w:t>max</w:t>
            </w:r>
            <w:proofErr w:type="spellEnd"/>
          </w:p>
          <w:p w14:paraId="1D85EA8B" w14:textId="77777777" w:rsidR="00C32B22" w:rsidRPr="000506A3" w:rsidRDefault="00C32B22" w:rsidP="00B23D5B">
            <w:pPr>
              <w:jc w:val="center"/>
              <w:rPr>
                <w:b/>
                <w:bCs/>
              </w:rPr>
            </w:pPr>
            <w:r w:rsidRPr="000506A3">
              <w:rPr>
                <w:b/>
                <w:bCs/>
              </w:rPr>
              <w:t>(h)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583AADE" w14:textId="77777777" w:rsidR="00C32B22" w:rsidRPr="000506A3" w:rsidRDefault="00C32B22" w:rsidP="00B23D5B">
            <w:pPr>
              <w:jc w:val="center"/>
              <w:rPr>
                <w:b/>
                <w:bCs/>
              </w:rPr>
            </w:pPr>
            <w:r w:rsidRPr="000506A3">
              <w:rPr>
                <w:b/>
                <w:bCs/>
              </w:rPr>
              <w:t>AUC</w:t>
            </w:r>
            <w:r w:rsidRPr="000506A3">
              <w:rPr>
                <w:b/>
                <w:bCs/>
                <w:vertAlign w:val="subscript"/>
              </w:rPr>
              <w:t>0-120h</w:t>
            </w:r>
            <w:r w:rsidRPr="000506A3">
              <w:rPr>
                <w:b/>
                <w:bCs/>
              </w:rPr>
              <w:t xml:space="preserve"> (ng*h/</w:t>
            </w:r>
            <w:proofErr w:type="gramStart"/>
            <w:r w:rsidRPr="000506A3">
              <w:rPr>
                <w:b/>
                <w:bCs/>
              </w:rPr>
              <w:t>mL)</w:t>
            </w:r>
            <w:r w:rsidRPr="000506A3">
              <w:rPr>
                <w:b/>
                <w:bCs/>
                <w:vertAlign w:val="superscript"/>
              </w:rPr>
              <w:t>b</w:t>
            </w:r>
            <w:proofErr w:type="gramEnd"/>
          </w:p>
        </w:tc>
      </w:tr>
      <w:tr w:rsidR="00C32B22" w14:paraId="780DB357" w14:textId="77777777" w:rsidTr="00B23D5B">
        <w:tc>
          <w:tcPr>
            <w:tcW w:w="1705" w:type="dxa"/>
            <w:tcBorders>
              <w:top w:val="single" w:sz="4" w:space="0" w:color="auto"/>
              <w:bottom w:val="nil"/>
            </w:tcBorders>
            <w:vAlign w:val="center"/>
          </w:tcPr>
          <w:p w14:paraId="5F7F4C61" w14:textId="77777777" w:rsidR="00C32B22" w:rsidRDefault="00C32B22" w:rsidP="00B23D5B">
            <w:pPr>
              <w:jc w:val="center"/>
            </w:pPr>
            <w:r>
              <w:t>Emtricitabine (+cobicistat)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31A1FE7B" w14:textId="77777777" w:rsidR="00C32B22" w:rsidRDefault="00C32B22" w:rsidP="00B23D5B">
            <w:pPr>
              <w:jc w:val="center"/>
            </w:pPr>
            <w:r>
              <w:t>2611</w:t>
            </w:r>
          </w:p>
          <w:p w14:paraId="2EAC74F9" w14:textId="77777777" w:rsidR="00C32B22" w:rsidRDefault="00C32B22" w:rsidP="00B23D5B">
            <w:pPr>
              <w:jc w:val="center"/>
            </w:pPr>
            <w:r>
              <w:t>(2096 – 3252)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29104874" w14:textId="77777777" w:rsidR="00C32B22" w:rsidRDefault="00C32B22" w:rsidP="00B23D5B">
            <w:pPr>
              <w:jc w:val="center"/>
            </w:pPr>
            <w:r>
              <w:t>26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70B8555E" w14:textId="77777777" w:rsidR="00C32B22" w:rsidRDefault="00C32B22" w:rsidP="00B23D5B">
            <w:pPr>
              <w:jc w:val="center"/>
            </w:pPr>
            <w:r>
              <w:t>43,288</w:t>
            </w:r>
          </w:p>
          <w:p w14:paraId="6AAFDF12" w14:textId="77777777" w:rsidR="00C32B22" w:rsidRDefault="00C32B22" w:rsidP="00B23D5B">
            <w:pPr>
              <w:jc w:val="center"/>
            </w:pPr>
            <w:r>
              <w:t>(4051)</w:t>
            </w:r>
          </w:p>
        </w:tc>
      </w:tr>
      <w:tr w:rsidR="00C32B22" w14:paraId="5279014D" w14:textId="77777777" w:rsidTr="00B23D5B"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40A60FD6" w14:textId="77777777" w:rsidR="00C32B22" w:rsidRDefault="00C32B22" w:rsidP="00B23D5B">
            <w:pPr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3DBA48B4" w14:textId="77777777" w:rsidR="00C32B22" w:rsidRDefault="00C32B22" w:rsidP="00B23D5B">
            <w:pPr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2E83F191" w14:textId="77777777" w:rsidR="00C32B22" w:rsidRDefault="00C32B22" w:rsidP="00B23D5B">
            <w:pPr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16D708CB" w14:textId="77777777" w:rsidR="00C32B22" w:rsidRDefault="00C32B22" w:rsidP="00B23D5B">
            <w:pPr>
              <w:jc w:val="center"/>
            </w:pPr>
          </w:p>
        </w:tc>
      </w:tr>
      <w:tr w:rsidR="00C32B22" w14:paraId="3DACE722" w14:textId="77777777" w:rsidTr="00B23D5B">
        <w:tc>
          <w:tcPr>
            <w:tcW w:w="1705" w:type="dxa"/>
            <w:tcBorders>
              <w:top w:val="nil"/>
              <w:bottom w:val="single" w:sz="4" w:space="0" w:color="auto"/>
            </w:tcBorders>
            <w:vAlign w:val="center"/>
          </w:tcPr>
          <w:p w14:paraId="0733D199" w14:textId="77777777" w:rsidR="00C32B22" w:rsidRDefault="00C32B22" w:rsidP="00B23D5B">
            <w:pPr>
              <w:jc w:val="center"/>
            </w:pPr>
            <w:r>
              <w:t xml:space="preserve">Emtricitabine </w:t>
            </w:r>
          </w:p>
          <w:p w14:paraId="69FCA043" w14:textId="77777777" w:rsidR="00C32B22" w:rsidRDefault="00C32B22" w:rsidP="00B23D5B">
            <w:pPr>
              <w:jc w:val="center"/>
            </w:pPr>
            <w:r>
              <w:t>(-cobicistat)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14:paraId="1B9D27B3" w14:textId="77777777" w:rsidR="00C32B22" w:rsidRDefault="00C32B22" w:rsidP="00B23D5B">
            <w:pPr>
              <w:jc w:val="center"/>
            </w:pPr>
            <w:r>
              <w:t>872</w:t>
            </w:r>
          </w:p>
          <w:p w14:paraId="7708AD14" w14:textId="77777777" w:rsidR="00C32B22" w:rsidRDefault="00C32B22" w:rsidP="00B23D5B">
            <w:pPr>
              <w:jc w:val="center"/>
            </w:pPr>
            <w:r>
              <w:t>(642 – 1184)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14:paraId="22E4DB2B" w14:textId="77777777" w:rsidR="00C32B22" w:rsidRDefault="00C32B22" w:rsidP="00B23D5B">
            <w:pPr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14:paraId="40B8C0AF" w14:textId="77777777" w:rsidR="00C32B22" w:rsidRDefault="00C32B22" w:rsidP="00B23D5B">
            <w:pPr>
              <w:jc w:val="center"/>
            </w:pPr>
            <w:r>
              <w:t>16,018</w:t>
            </w:r>
          </w:p>
          <w:p w14:paraId="0AC4DF08" w14:textId="77777777" w:rsidR="00C32B22" w:rsidRDefault="00C32B22" w:rsidP="00B23D5B">
            <w:pPr>
              <w:jc w:val="center"/>
            </w:pPr>
            <w:r>
              <w:t>(1131)</w:t>
            </w:r>
          </w:p>
        </w:tc>
      </w:tr>
    </w:tbl>
    <w:p w14:paraId="2D2BEA28" w14:textId="77777777" w:rsidR="00C32B22" w:rsidRDefault="00C32B22" w:rsidP="00C32B22">
      <w:proofErr w:type="spellStart"/>
      <w:r w:rsidRPr="00143081">
        <w:rPr>
          <w:vertAlign w:val="superscript"/>
        </w:rPr>
        <w:t>a</w:t>
      </w:r>
      <w:r>
        <w:t>Values</w:t>
      </w:r>
      <w:proofErr w:type="spellEnd"/>
      <w:r>
        <w:t xml:space="preserve"> presented as geometric mean (95% confidence interval)</w:t>
      </w:r>
    </w:p>
    <w:p w14:paraId="08C2BC1A" w14:textId="77777777" w:rsidR="00C32B22" w:rsidRDefault="00C32B22" w:rsidP="00C32B22">
      <w:proofErr w:type="spellStart"/>
      <w:r w:rsidRPr="00143081">
        <w:rPr>
          <w:vertAlign w:val="superscript"/>
        </w:rPr>
        <w:t>b</w:t>
      </w:r>
      <w:r>
        <w:t>Values</w:t>
      </w:r>
      <w:proofErr w:type="spellEnd"/>
      <w:r>
        <w:t xml:space="preserve"> presented as calculated AUC</w:t>
      </w:r>
      <w:r w:rsidRPr="00143081">
        <w:rPr>
          <w:vertAlign w:val="subscript"/>
        </w:rPr>
        <w:t xml:space="preserve">0-120h </w:t>
      </w:r>
      <w:r>
        <w:t>(standard error)</w:t>
      </w:r>
    </w:p>
    <w:p w14:paraId="628D4BD6" w14:textId="77777777" w:rsidR="00C32B22" w:rsidRDefault="00C32B22">
      <w:pPr>
        <w:rPr>
          <w:b/>
          <w:bCs/>
        </w:rPr>
      </w:pPr>
      <w:r>
        <w:rPr>
          <w:b/>
          <w:bCs/>
        </w:rPr>
        <w:br w:type="page"/>
      </w:r>
    </w:p>
    <w:p w14:paraId="3D84E8C2" w14:textId="77777777" w:rsidR="00C32B22" w:rsidRDefault="00C32B22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1358ED29" wp14:editId="2A732F39">
            <wp:extent cx="5943600" cy="3038475"/>
            <wp:effectExtent l="0" t="0" r="0" b="9525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2699"/>
                    <a:stretch/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226C1" w14:textId="77777777" w:rsidR="00C32B22" w:rsidRDefault="00C32B22" w:rsidP="00C32B2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S</w:t>
      </w:r>
      <w:r w:rsidRPr="00A304CA">
        <w:rPr>
          <w:rFonts w:ascii="Arial" w:hAnsi="Arial" w:cs="Arial"/>
          <w:b/>
          <w:bCs/>
        </w:rPr>
        <w:t>2.</w:t>
      </w:r>
      <w:r w:rsidRPr="00A304CA">
        <w:rPr>
          <w:rFonts w:ascii="Arial" w:hAnsi="Arial" w:cs="Arial"/>
        </w:rPr>
        <w:t xml:space="preserve"> Mean emtricitabine (FTC) concentrations in rectal specimens collected from MSM following 2 oral doses of integrase strand transfer inhibitor-containing regimens given 24 hours apart. Geometric mean concentrations and 95% </w:t>
      </w:r>
      <w:r>
        <w:rPr>
          <w:rFonts w:ascii="Arial" w:hAnsi="Arial" w:cs="Arial"/>
        </w:rPr>
        <w:t>CI</w:t>
      </w:r>
      <w:r w:rsidRPr="00A304CA">
        <w:rPr>
          <w:rFonts w:ascii="Arial" w:hAnsi="Arial" w:cs="Arial"/>
        </w:rPr>
        <w:t xml:space="preserve"> for rectal tissue (A) and rectal secretion (B) are presented from 2 to 120 hours following the first dose for study participants receiving </w:t>
      </w:r>
      <w:proofErr w:type="spellStart"/>
      <w:r w:rsidRPr="00A304CA">
        <w:rPr>
          <w:rFonts w:ascii="Arial" w:hAnsi="Arial" w:cs="Arial"/>
        </w:rPr>
        <w:t>unboosted</w:t>
      </w:r>
      <w:proofErr w:type="spellEnd"/>
      <w:r w:rsidRPr="00A304CA">
        <w:rPr>
          <w:rFonts w:ascii="Arial" w:hAnsi="Arial" w:cs="Arial"/>
        </w:rPr>
        <w:t xml:space="preserve"> FTC or FTC boosted with cobicistat. The dotted line indicates the lower limit of quantification (LLOQ) for FTC measurements in tissue (1 ng/sample) and rectal swabs (1 ng/swab).</w:t>
      </w:r>
    </w:p>
    <w:p w14:paraId="1AD0EE2F" w14:textId="0B8662B1" w:rsidR="00C32B22" w:rsidRDefault="00C32B22">
      <w:pPr>
        <w:rPr>
          <w:b/>
          <w:bCs/>
        </w:rPr>
      </w:pPr>
      <w:r>
        <w:rPr>
          <w:b/>
          <w:bCs/>
        </w:rPr>
        <w:br w:type="page"/>
      </w:r>
    </w:p>
    <w:p w14:paraId="0A2BDB62" w14:textId="78742589" w:rsidR="00C32B22" w:rsidRPr="00143081" w:rsidRDefault="00C32B22" w:rsidP="00C32B22">
      <w:pPr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143081">
        <w:rPr>
          <w:b/>
          <w:bCs/>
        </w:rPr>
        <w:t xml:space="preserve">Table </w:t>
      </w:r>
      <w:r>
        <w:rPr>
          <w:b/>
          <w:bCs/>
        </w:rPr>
        <w:t>2</w:t>
      </w:r>
      <w:r w:rsidRPr="00143081">
        <w:rPr>
          <w:b/>
          <w:bCs/>
        </w:rPr>
        <w:t xml:space="preserve">: Pharmacokinetic parameters of </w:t>
      </w:r>
      <w:r>
        <w:rPr>
          <w:b/>
          <w:bCs/>
        </w:rPr>
        <w:t>emtricitabine</w:t>
      </w:r>
      <w:r w:rsidRPr="00143081">
        <w:rPr>
          <w:b/>
          <w:bCs/>
        </w:rPr>
        <w:t xml:space="preserve"> in </w:t>
      </w:r>
      <w:r>
        <w:rPr>
          <w:b/>
          <w:bCs/>
        </w:rPr>
        <w:t>rectal tissue</w:t>
      </w:r>
    </w:p>
    <w:p w14:paraId="4F8BF6DF" w14:textId="77777777" w:rsidR="00C32B22" w:rsidRDefault="00C32B22" w:rsidP="00C32B22"/>
    <w:tbl>
      <w:tblPr>
        <w:tblStyle w:val="TableGrid"/>
        <w:tblW w:w="95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002"/>
        <w:gridCol w:w="1778"/>
        <w:gridCol w:w="1980"/>
        <w:gridCol w:w="2250"/>
      </w:tblGrid>
      <w:tr w:rsidR="00C32B22" w:rsidRPr="00A66672" w14:paraId="73ED527F" w14:textId="77777777" w:rsidTr="00B23D5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B2A9" w14:textId="77777777" w:rsidR="00C32B22" w:rsidRPr="00A66672" w:rsidRDefault="00C32B22" w:rsidP="00B23D5B">
            <w:pPr>
              <w:jc w:val="center"/>
              <w:rPr>
                <w:b/>
                <w:bCs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4DB95" w14:textId="77777777" w:rsidR="00C32B22" w:rsidRPr="00A66672" w:rsidRDefault="00C32B22" w:rsidP="00B23D5B">
            <w:pPr>
              <w:jc w:val="center"/>
              <w:rPr>
                <w:b/>
                <w:bCs/>
              </w:rPr>
            </w:pPr>
            <w:proofErr w:type="spellStart"/>
            <w:r w:rsidRPr="00A66672">
              <w:rPr>
                <w:b/>
                <w:bCs/>
              </w:rPr>
              <w:t>C</w:t>
            </w:r>
            <w:r w:rsidRPr="00A66672">
              <w:rPr>
                <w:b/>
                <w:bCs/>
                <w:vertAlign w:val="subscript"/>
              </w:rPr>
              <w:t>max</w:t>
            </w:r>
            <w:proofErr w:type="spellEnd"/>
          </w:p>
          <w:p w14:paraId="0298A2F9" w14:textId="77777777" w:rsidR="00C32B22" w:rsidRPr="00A66672" w:rsidRDefault="00C32B22" w:rsidP="00B23D5B">
            <w:pPr>
              <w:jc w:val="center"/>
              <w:rPr>
                <w:b/>
                <w:bCs/>
              </w:rPr>
            </w:pPr>
            <w:r w:rsidRPr="00A66672">
              <w:rPr>
                <w:b/>
                <w:bCs/>
              </w:rPr>
              <w:t>(ng/</w:t>
            </w:r>
            <w:proofErr w:type="gramStart"/>
            <w:r>
              <w:rPr>
                <w:b/>
                <w:bCs/>
              </w:rPr>
              <w:t>mg</w:t>
            </w:r>
            <w:r w:rsidRPr="00A66672">
              <w:rPr>
                <w:b/>
                <w:bCs/>
              </w:rPr>
              <w:t>)</w:t>
            </w:r>
            <w:r w:rsidRPr="00A66672">
              <w:rPr>
                <w:b/>
                <w:bCs/>
                <w:vertAlign w:val="superscript"/>
              </w:rPr>
              <w:t>a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0D4A5" w14:textId="77777777" w:rsidR="00C32B22" w:rsidRPr="00A66672" w:rsidRDefault="00C32B22" w:rsidP="00B23D5B">
            <w:pPr>
              <w:jc w:val="center"/>
              <w:rPr>
                <w:b/>
                <w:bCs/>
              </w:rPr>
            </w:pPr>
            <w:proofErr w:type="spellStart"/>
            <w:r w:rsidRPr="00A66672">
              <w:rPr>
                <w:b/>
                <w:bCs/>
              </w:rPr>
              <w:t>T</w:t>
            </w:r>
            <w:r w:rsidRPr="00A66672">
              <w:rPr>
                <w:b/>
                <w:bCs/>
                <w:vertAlign w:val="subscript"/>
              </w:rPr>
              <w:t>max</w:t>
            </w:r>
            <w:proofErr w:type="spellEnd"/>
          </w:p>
          <w:p w14:paraId="7EDA7B88" w14:textId="77777777" w:rsidR="00C32B22" w:rsidRPr="00A66672" w:rsidRDefault="00C32B22" w:rsidP="00B23D5B">
            <w:pPr>
              <w:jc w:val="center"/>
              <w:rPr>
                <w:b/>
                <w:bCs/>
              </w:rPr>
            </w:pPr>
            <w:r w:rsidRPr="00A66672">
              <w:rPr>
                <w:b/>
                <w:bCs/>
              </w:rPr>
              <w:t>(h)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20D17" w14:textId="77777777" w:rsidR="00C32B22" w:rsidRPr="00A66672" w:rsidRDefault="00C32B22" w:rsidP="00B23D5B">
            <w:pPr>
              <w:jc w:val="center"/>
              <w:rPr>
                <w:b/>
                <w:bCs/>
              </w:rPr>
            </w:pPr>
            <w:r w:rsidRPr="00A66672">
              <w:rPr>
                <w:b/>
                <w:bCs/>
              </w:rPr>
              <w:t>AUC</w:t>
            </w:r>
            <w:r w:rsidRPr="00A66672">
              <w:rPr>
                <w:b/>
                <w:bCs/>
                <w:vertAlign w:val="subscript"/>
              </w:rPr>
              <w:t>0-120h</w:t>
            </w:r>
            <w:r w:rsidRPr="00A66672">
              <w:rPr>
                <w:b/>
                <w:bCs/>
              </w:rPr>
              <w:t xml:space="preserve"> (ng*h/</w:t>
            </w:r>
            <w:proofErr w:type="gramStart"/>
            <w:r>
              <w:rPr>
                <w:b/>
                <w:bCs/>
              </w:rPr>
              <w:t>mg</w:t>
            </w:r>
            <w:r w:rsidRPr="00A66672">
              <w:rPr>
                <w:b/>
                <w:bCs/>
              </w:rPr>
              <w:t>)</w:t>
            </w:r>
            <w:r w:rsidRPr="00A66672">
              <w:rPr>
                <w:b/>
                <w:bCs/>
                <w:vertAlign w:val="superscript"/>
              </w:rPr>
              <w:t>b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CE86D" w14:textId="77777777" w:rsidR="00C32B22" w:rsidRPr="00B5428D" w:rsidRDefault="00C32B22" w:rsidP="00B23D5B">
            <w:pPr>
              <w:jc w:val="center"/>
              <w:rPr>
                <w:b/>
                <w:bCs/>
              </w:rPr>
            </w:pPr>
            <w:r w:rsidRPr="00A66672">
              <w:rPr>
                <w:b/>
                <w:bCs/>
              </w:rPr>
              <w:t>AUC</w:t>
            </w:r>
            <w:r w:rsidRPr="00A66672">
              <w:rPr>
                <w:b/>
                <w:bCs/>
                <w:vertAlign w:val="subscript"/>
              </w:rPr>
              <w:t>0-120h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Tissue:Plasma</w:t>
            </w:r>
            <w:proofErr w:type="spellEnd"/>
            <w:proofErr w:type="gramEnd"/>
            <w:r>
              <w:rPr>
                <w:b/>
                <w:bCs/>
              </w:rPr>
              <w:t xml:space="preserve"> Ratio</w:t>
            </w:r>
          </w:p>
        </w:tc>
      </w:tr>
      <w:tr w:rsidR="00C32B22" w14:paraId="21ADDA98" w14:textId="77777777" w:rsidTr="00B23D5B"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282B51D" w14:textId="77777777" w:rsidR="00C32B22" w:rsidRDefault="00C32B22" w:rsidP="00B23D5B">
            <w:pPr>
              <w:jc w:val="center"/>
            </w:pPr>
            <w:r>
              <w:t>Emtricitabine (+cobicistat)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1B6B17CB" w14:textId="77777777" w:rsidR="00C32B22" w:rsidRDefault="00C32B22" w:rsidP="00B23D5B">
            <w:pPr>
              <w:jc w:val="center"/>
            </w:pPr>
            <w:r>
              <w:t>4.41</w:t>
            </w:r>
          </w:p>
          <w:p w14:paraId="767C7CC4" w14:textId="77777777" w:rsidR="00C32B22" w:rsidRDefault="00C32B22" w:rsidP="00B23D5B">
            <w:pPr>
              <w:jc w:val="center"/>
            </w:pPr>
            <w:r>
              <w:t>(1.32 – 14.69)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14:paraId="20CB69FC" w14:textId="77777777" w:rsidR="00C32B22" w:rsidRDefault="00C32B22" w:rsidP="00B23D5B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6ADA8E9" w14:textId="77777777" w:rsidR="00C32B22" w:rsidRDefault="00C32B22" w:rsidP="00B23D5B">
            <w:pPr>
              <w:jc w:val="center"/>
            </w:pPr>
            <w:r>
              <w:t>275.37</w:t>
            </w:r>
          </w:p>
          <w:p w14:paraId="3F35CD9C" w14:textId="77777777" w:rsidR="00C32B22" w:rsidRDefault="00C32B22" w:rsidP="00B23D5B">
            <w:pPr>
              <w:jc w:val="center"/>
            </w:pPr>
            <w:r>
              <w:t>(107.08)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E1DA0C8" w14:textId="77777777" w:rsidR="00C32B22" w:rsidRDefault="00C32B22" w:rsidP="00B23D5B">
            <w:pPr>
              <w:jc w:val="center"/>
            </w:pPr>
            <w:r>
              <w:t>6.4</w:t>
            </w:r>
          </w:p>
        </w:tc>
      </w:tr>
      <w:tr w:rsidR="00C32B22" w14:paraId="1BF67561" w14:textId="77777777" w:rsidTr="00B23D5B">
        <w:tc>
          <w:tcPr>
            <w:tcW w:w="1530" w:type="dxa"/>
            <w:vAlign w:val="center"/>
          </w:tcPr>
          <w:p w14:paraId="25A7CD11" w14:textId="77777777" w:rsidR="00C32B22" w:rsidRDefault="00C32B22" w:rsidP="00B23D5B">
            <w:pPr>
              <w:jc w:val="center"/>
            </w:pPr>
          </w:p>
        </w:tc>
        <w:tc>
          <w:tcPr>
            <w:tcW w:w="2002" w:type="dxa"/>
            <w:vAlign w:val="center"/>
          </w:tcPr>
          <w:p w14:paraId="3172C278" w14:textId="77777777" w:rsidR="00C32B22" w:rsidRDefault="00C32B22" w:rsidP="00B23D5B">
            <w:pPr>
              <w:jc w:val="center"/>
            </w:pPr>
          </w:p>
        </w:tc>
        <w:tc>
          <w:tcPr>
            <w:tcW w:w="1778" w:type="dxa"/>
            <w:vAlign w:val="center"/>
          </w:tcPr>
          <w:p w14:paraId="1A9B3F67" w14:textId="77777777" w:rsidR="00C32B22" w:rsidRDefault="00C32B22" w:rsidP="00B23D5B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0DC02AC" w14:textId="77777777" w:rsidR="00C32B22" w:rsidRDefault="00C32B22" w:rsidP="00B23D5B">
            <w:pPr>
              <w:jc w:val="center"/>
            </w:pPr>
          </w:p>
        </w:tc>
        <w:tc>
          <w:tcPr>
            <w:tcW w:w="2250" w:type="dxa"/>
            <w:vAlign w:val="center"/>
          </w:tcPr>
          <w:p w14:paraId="235F596D" w14:textId="77777777" w:rsidR="00C32B22" w:rsidRDefault="00C32B22" w:rsidP="00B23D5B">
            <w:pPr>
              <w:jc w:val="center"/>
            </w:pPr>
          </w:p>
        </w:tc>
      </w:tr>
      <w:tr w:rsidR="00C32B22" w14:paraId="015BF3F6" w14:textId="77777777" w:rsidTr="00B23D5B">
        <w:tc>
          <w:tcPr>
            <w:tcW w:w="1530" w:type="dxa"/>
            <w:vAlign w:val="center"/>
          </w:tcPr>
          <w:p w14:paraId="5901C85A" w14:textId="77777777" w:rsidR="00C32B22" w:rsidRDefault="00C32B22" w:rsidP="00B23D5B">
            <w:pPr>
              <w:jc w:val="center"/>
            </w:pPr>
            <w:r>
              <w:t>Emtricitabine</w:t>
            </w:r>
          </w:p>
          <w:p w14:paraId="347014CA" w14:textId="77777777" w:rsidR="00C32B22" w:rsidRDefault="00C32B22" w:rsidP="00B23D5B">
            <w:pPr>
              <w:jc w:val="center"/>
            </w:pPr>
            <w:r>
              <w:t>(-cobicistat)</w:t>
            </w:r>
          </w:p>
        </w:tc>
        <w:tc>
          <w:tcPr>
            <w:tcW w:w="2002" w:type="dxa"/>
            <w:vAlign w:val="center"/>
          </w:tcPr>
          <w:p w14:paraId="4ADA5908" w14:textId="77777777" w:rsidR="00C32B22" w:rsidRDefault="00C32B22" w:rsidP="00B23D5B">
            <w:pPr>
              <w:jc w:val="center"/>
            </w:pPr>
            <w:r>
              <w:t>0.71</w:t>
            </w:r>
          </w:p>
          <w:p w14:paraId="359664F8" w14:textId="77777777" w:rsidR="00C32B22" w:rsidRDefault="00C32B22" w:rsidP="00B23D5B">
            <w:pPr>
              <w:jc w:val="center"/>
            </w:pPr>
            <w:r>
              <w:t>(0.42 – 1.22)</w:t>
            </w:r>
          </w:p>
        </w:tc>
        <w:tc>
          <w:tcPr>
            <w:tcW w:w="1778" w:type="dxa"/>
            <w:vAlign w:val="center"/>
          </w:tcPr>
          <w:p w14:paraId="65AC487F" w14:textId="77777777" w:rsidR="00C32B22" w:rsidRDefault="00C32B22" w:rsidP="00B23D5B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14:paraId="1D661824" w14:textId="77777777" w:rsidR="00C32B22" w:rsidRDefault="00C32B22" w:rsidP="00B23D5B">
            <w:pPr>
              <w:jc w:val="center"/>
            </w:pPr>
            <w:r>
              <w:t>61.32</w:t>
            </w:r>
          </w:p>
          <w:p w14:paraId="70B8D50C" w14:textId="77777777" w:rsidR="00C32B22" w:rsidRDefault="00C32B22" w:rsidP="00B23D5B">
            <w:pPr>
              <w:jc w:val="center"/>
            </w:pPr>
            <w:r>
              <w:t>(29.89)</w:t>
            </w:r>
          </w:p>
        </w:tc>
        <w:tc>
          <w:tcPr>
            <w:tcW w:w="2250" w:type="dxa"/>
            <w:vAlign w:val="center"/>
          </w:tcPr>
          <w:p w14:paraId="7DD2217F" w14:textId="77777777" w:rsidR="00C32B22" w:rsidRDefault="00C32B22" w:rsidP="00B23D5B">
            <w:pPr>
              <w:jc w:val="center"/>
            </w:pPr>
            <w:r>
              <w:t>3.8</w:t>
            </w:r>
          </w:p>
        </w:tc>
      </w:tr>
    </w:tbl>
    <w:p w14:paraId="3FAACA5B" w14:textId="77777777" w:rsidR="00C32B22" w:rsidRDefault="00C32B22" w:rsidP="00C32B22">
      <w:proofErr w:type="spellStart"/>
      <w:r w:rsidRPr="00143081">
        <w:rPr>
          <w:vertAlign w:val="superscript"/>
        </w:rPr>
        <w:t>a</w:t>
      </w:r>
      <w:r>
        <w:t>Values</w:t>
      </w:r>
      <w:proofErr w:type="spellEnd"/>
      <w:r>
        <w:t xml:space="preserve"> presented as geometric mean (95% confidence interval)</w:t>
      </w:r>
    </w:p>
    <w:p w14:paraId="1621E26C" w14:textId="77777777" w:rsidR="00C32B22" w:rsidRPr="00B5428D" w:rsidRDefault="00C32B22" w:rsidP="00C32B22">
      <w:proofErr w:type="spellStart"/>
      <w:r w:rsidRPr="00143081">
        <w:rPr>
          <w:vertAlign w:val="superscript"/>
        </w:rPr>
        <w:t>b</w:t>
      </w:r>
      <w:r>
        <w:t>Values</w:t>
      </w:r>
      <w:proofErr w:type="spellEnd"/>
      <w:r>
        <w:t xml:space="preserve"> presented as calculated AUC</w:t>
      </w:r>
      <w:r w:rsidRPr="00143081">
        <w:rPr>
          <w:vertAlign w:val="subscript"/>
        </w:rPr>
        <w:t xml:space="preserve">0-120h </w:t>
      </w:r>
      <w:r>
        <w:t>(standard error)</w:t>
      </w:r>
    </w:p>
    <w:p w14:paraId="4978C6B5" w14:textId="2CF8149D" w:rsidR="00C32B22" w:rsidRDefault="00C32B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7A979A" w14:textId="77777777" w:rsidR="00C32B22" w:rsidRPr="002974C7" w:rsidRDefault="00C32B22" w:rsidP="00C32B22">
      <w:pPr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2974C7">
        <w:rPr>
          <w:b/>
          <w:bCs/>
        </w:rPr>
        <w:t xml:space="preserve">Table </w:t>
      </w:r>
      <w:r>
        <w:rPr>
          <w:b/>
          <w:bCs/>
        </w:rPr>
        <w:t>3</w:t>
      </w:r>
      <w:r w:rsidRPr="002974C7">
        <w:rPr>
          <w:b/>
          <w:bCs/>
        </w:rPr>
        <w:t xml:space="preserve">: </w:t>
      </w:r>
      <w:r>
        <w:rPr>
          <w:b/>
          <w:bCs/>
        </w:rPr>
        <w:t>Antiretroviral Drug Detection</w:t>
      </w:r>
    </w:p>
    <w:p w14:paraId="4C16E99A" w14:textId="77777777" w:rsidR="00C32B22" w:rsidRDefault="00C32B22" w:rsidP="00C32B22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1680"/>
        <w:gridCol w:w="1680"/>
      </w:tblGrid>
      <w:tr w:rsidR="00C32B22" w14:paraId="19D3E59F" w14:textId="77777777" w:rsidTr="00B23D5B"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CA020" w14:textId="77777777" w:rsidR="00C32B22" w:rsidRPr="00115786" w:rsidRDefault="00C32B22" w:rsidP="00B23D5B">
            <w:pPr>
              <w:jc w:val="center"/>
              <w:rPr>
                <w:b/>
                <w:bCs/>
              </w:rPr>
            </w:pPr>
            <w:r w:rsidRPr="00115786">
              <w:rPr>
                <w:b/>
                <w:bCs/>
              </w:rPr>
              <w:t>Specimen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7A3AC" w14:textId="77777777" w:rsidR="00C32B22" w:rsidRPr="00A97DB2" w:rsidRDefault="00C32B22" w:rsidP="00B23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FTC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BFED23B" w14:textId="77777777" w:rsidR="00C32B22" w:rsidRPr="00A97DB2" w:rsidRDefault="00C32B22" w:rsidP="00B23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TFV</w:t>
            </w:r>
          </w:p>
        </w:tc>
      </w:tr>
      <w:tr w:rsidR="00C32B22" w14:paraId="20AA7B49" w14:textId="77777777" w:rsidTr="00B23D5B"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711CC379" w14:textId="77777777" w:rsidR="00C32B22" w:rsidRPr="00115786" w:rsidRDefault="00C32B22" w:rsidP="00B23D5B">
            <w:pPr>
              <w:jc w:val="center"/>
              <w:rPr>
                <w:b/>
                <w:bCs/>
              </w:rPr>
            </w:pPr>
            <w:r w:rsidRPr="00115786">
              <w:rPr>
                <w:b/>
                <w:bCs/>
              </w:rPr>
              <w:t>Urethral Swab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7783FA6E" w14:textId="77777777" w:rsidR="00C32B22" w:rsidRDefault="00C32B22" w:rsidP="00B23D5B">
            <w:pPr>
              <w:jc w:val="center"/>
            </w:pPr>
            <w:r>
              <w:t>97/134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1D2B495F" w14:textId="77777777" w:rsidR="00C32B22" w:rsidRDefault="00C32B22" w:rsidP="00B23D5B">
            <w:pPr>
              <w:jc w:val="center"/>
            </w:pPr>
            <w:r>
              <w:t>21/134</w:t>
            </w:r>
          </w:p>
        </w:tc>
      </w:tr>
      <w:tr w:rsidR="00C32B22" w14:paraId="6376473E" w14:textId="77777777" w:rsidTr="00B23D5B">
        <w:tc>
          <w:tcPr>
            <w:tcW w:w="1680" w:type="dxa"/>
            <w:vAlign w:val="center"/>
          </w:tcPr>
          <w:p w14:paraId="474854B8" w14:textId="77777777" w:rsidR="00C32B22" w:rsidRPr="00115786" w:rsidRDefault="00C32B22" w:rsidP="00B23D5B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14:paraId="3CE6EF56" w14:textId="77777777" w:rsidR="00C32B22" w:rsidRDefault="00C32B22" w:rsidP="00B23D5B">
            <w:pPr>
              <w:jc w:val="center"/>
            </w:pPr>
            <w:r>
              <w:t>(72%)</w:t>
            </w:r>
          </w:p>
        </w:tc>
        <w:tc>
          <w:tcPr>
            <w:tcW w:w="1680" w:type="dxa"/>
          </w:tcPr>
          <w:p w14:paraId="02787D94" w14:textId="77777777" w:rsidR="00C32B22" w:rsidRDefault="00C32B22" w:rsidP="00B23D5B">
            <w:pPr>
              <w:jc w:val="center"/>
            </w:pPr>
            <w:r>
              <w:t>(16%)</w:t>
            </w:r>
          </w:p>
        </w:tc>
      </w:tr>
      <w:tr w:rsidR="00C32B22" w14:paraId="57D532FD" w14:textId="77777777" w:rsidTr="00B23D5B">
        <w:tc>
          <w:tcPr>
            <w:tcW w:w="1680" w:type="dxa"/>
            <w:vAlign w:val="center"/>
          </w:tcPr>
          <w:p w14:paraId="4B98035F" w14:textId="77777777" w:rsidR="00C32B22" w:rsidRPr="00115786" w:rsidRDefault="00C32B22" w:rsidP="00B23D5B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14:paraId="21C628EF" w14:textId="77777777" w:rsidR="00C32B22" w:rsidRDefault="00C32B22" w:rsidP="00B23D5B">
            <w:pPr>
              <w:jc w:val="center"/>
            </w:pPr>
          </w:p>
        </w:tc>
        <w:tc>
          <w:tcPr>
            <w:tcW w:w="1680" w:type="dxa"/>
          </w:tcPr>
          <w:p w14:paraId="4A1D0EFF" w14:textId="77777777" w:rsidR="00C32B22" w:rsidRDefault="00C32B22" w:rsidP="00B23D5B">
            <w:pPr>
              <w:jc w:val="center"/>
            </w:pPr>
          </w:p>
        </w:tc>
      </w:tr>
      <w:tr w:rsidR="00C32B22" w14:paraId="67004CEB" w14:textId="77777777" w:rsidTr="00B23D5B">
        <w:tc>
          <w:tcPr>
            <w:tcW w:w="1680" w:type="dxa"/>
            <w:vAlign w:val="center"/>
          </w:tcPr>
          <w:p w14:paraId="2911F265" w14:textId="77777777" w:rsidR="00C32B22" w:rsidRPr="00115786" w:rsidRDefault="00C32B22" w:rsidP="00B23D5B">
            <w:pPr>
              <w:jc w:val="center"/>
              <w:rPr>
                <w:b/>
                <w:bCs/>
              </w:rPr>
            </w:pPr>
            <w:r w:rsidRPr="00115786">
              <w:rPr>
                <w:b/>
                <w:bCs/>
              </w:rPr>
              <w:t>Glans Swab</w:t>
            </w:r>
          </w:p>
        </w:tc>
        <w:tc>
          <w:tcPr>
            <w:tcW w:w="1680" w:type="dxa"/>
            <w:vAlign w:val="center"/>
          </w:tcPr>
          <w:p w14:paraId="308CE868" w14:textId="77777777" w:rsidR="00C32B22" w:rsidRDefault="00C32B22" w:rsidP="00B23D5B">
            <w:pPr>
              <w:jc w:val="center"/>
            </w:pPr>
            <w:r>
              <w:t>96/144</w:t>
            </w:r>
          </w:p>
        </w:tc>
        <w:tc>
          <w:tcPr>
            <w:tcW w:w="1680" w:type="dxa"/>
          </w:tcPr>
          <w:p w14:paraId="28BC9DD9" w14:textId="77777777" w:rsidR="00C32B22" w:rsidRDefault="00C32B22" w:rsidP="00B23D5B">
            <w:pPr>
              <w:jc w:val="center"/>
            </w:pPr>
            <w:r>
              <w:t>22/144</w:t>
            </w:r>
          </w:p>
        </w:tc>
      </w:tr>
      <w:tr w:rsidR="00C32B22" w14:paraId="0E92CF77" w14:textId="77777777" w:rsidTr="00B23D5B">
        <w:tc>
          <w:tcPr>
            <w:tcW w:w="1680" w:type="dxa"/>
            <w:vAlign w:val="center"/>
          </w:tcPr>
          <w:p w14:paraId="1193D154" w14:textId="77777777" w:rsidR="00C32B22" w:rsidRPr="00115786" w:rsidRDefault="00C32B22" w:rsidP="00B23D5B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14:paraId="6ED243F4" w14:textId="77777777" w:rsidR="00C32B22" w:rsidRDefault="00C32B22" w:rsidP="00B23D5B">
            <w:pPr>
              <w:jc w:val="center"/>
            </w:pPr>
            <w:r>
              <w:t>(67%)</w:t>
            </w:r>
          </w:p>
        </w:tc>
        <w:tc>
          <w:tcPr>
            <w:tcW w:w="1680" w:type="dxa"/>
          </w:tcPr>
          <w:p w14:paraId="1385C993" w14:textId="77777777" w:rsidR="00C32B22" w:rsidRDefault="00C32B22" w:rsidP="00B23D5B">
            <w:pPr>
              <w:jc w:val="center"/>
            </w:pPr>
            <w:r>
              <w:t>(15%)</w:t>
            </w:r>
          </w:p>
        </w:tc>
      </w:tr>
      <w:tr w:rsidR="00C32B22" w14:paraId="78A57923" w14:textId="77777777" w:rsidTr="00B23D5B">
        <w:tc>
          <w:tcPr>
            <w:tcW w:w="1680" w:type="dxa"/>
            <w:vAlign w:val="center"/>
          </w:tcPr>
          <w:p w14:paraId="312DD183" w14:textId="77777777" w:rsidR="00C32B22" w:rsidRPr="00115786" w:rsidRDefault="00C32B22" w:rsidP="00B23D5B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14:paraId="45CB5ACB" w14:textId="77777777" w:rsidR="00C32B22" w:rsidRDefault="00C32B22" w:rsidP="00B23D5B">
            <w:pPr>
              <w:jc w:val="center"/>
            </w:pPr>
          </w:p>
        </w:tc>
        <w:tc>
          <w:tcPr>
            <w:tcW w:w="1680" w:type="dxa"/>
          </w:tcPr>
          <w:p w14:paraId="2566ED2C" w14:textId="77777777" w:rsidR="00C32B22" w:rsidRDefault="00C32B22" w:rsidP="00B23D5B">
            <w:pPr>
              <w:jc w:val="center"/>
            </w:pPr>
          </w:p>
        </w:tc>
      </w:tr>
      <w:tr w:rsidR="00C32B22" w14:paraId="067EB288" w14:textId="77777777" w:rsidTr="00B23D5B">
        <w:tc>
          <w:tcPr>
            <w:tcW w:w="1680" w:type="dxa"/>
            <w:vAlign w:val="center"/>
          </w:tcPr>
          <w:p w14:paraId="7F2530D7" w14:textId="77777777" w:rsidR="00C32B22" w:rsidRPr="00115786" w:rsidRDefault="00C32B22" w:rsidP="00B23D5B">
            <w:pPr>
              <w:jc w:val="center"/>
              <w:rPr>
                <w:b/>
                <w:bCs/>
              </w:rPr>
            </w:pPr>
            <w:r w:rsidRPr="00115786">
              <w:rPr>
                <w:b/>
                <w:bCs/>
              </w:rPr>
              <w:t>Urine</w:t>
            </w:r>
          </w:p>
        </w:tc>
        <w:tc>
          <w:tcPr>
            <w:tcW w:w="1680" w:type="dxa"/>
            <w:vAlign w:val="center"/>
          </w:tcPr>
          <w:p w14:paraId="50CFB57F" w14:textId="77777777" w:rsidR="00C32B22" w:rsidRDefault="00C32B22" w:rsidP="00B23D5B">
            <w:pPr>
              <w:jc w:val="center"/>
            </w:pPr>
            <w:r>
              <w:t>138/138</w:t>
            </w:r>
          </w:p>
        </w:tc>
        <w:tc>
          <w:tcPr>
            <w:tcW w:w="1680" w:type="dxa"/>
          </w:tcPr>
          <w:p w14:paraId="4B7299AF" w14:textId="77777777" w:rsidR="00C32B22" w:rsidRDefault="00C32B22" w:rsidP="00B23D5B">
            <w:pPr>
              <w:jc w:val="center"/>
            </w:pPr>
            <w:r>
              <w:t>135/138</w:t>
            </w:r>
          </w:p>
        </w:tc>
      </w:tr>
      <w:tr w:rsidR="00C32B22" w14:paraId="1490060E" w14:textId="77777777" w:rsidTr="00B23D5B">
        <w:tc>
          <w:tcPr>
            <w:tcW w:w="1680" w:type="dxa"/>
            <w:vAlign w:val="center"/>
          </w:tcPr>
          <w:p w14:paraId="4593CAB8" w14:textId="77777777" w:rsidR="00C32B22" w:rsidRPr="00115786" w:rsidRDefault="00C32B22" w:rsidP="00B23D5B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14:paraId="51D4E157" w14:textId="77777777" w:rsidR="00C32B22" w:rsidRDefault="00C32B22" w:rsidP="00B23D5B">
            <w:pPr>
              <w:jc w:val="center"/>
            </w:pPr>
            <w:r>
              <w:t>(100%)</w:t>
            </w:r>
          </w:p>
        </w:tc>
        <w:tc>
          <w:tcPr>
            <w:tcW w:w="1680" w:type="dxa"/>
          </w:tcPr>
          <w:p w14:paraId="6ED5A10B" w14:textId="77777777" w:rsidR="00C32B22" w:rsidRDefault="00C32B22" w:rsidP="00B23D5B">
            <w:pPr>
              <w:jc w:val="center"/>
            </w:pPr>
            <w:r>
              <w:t>(98%)</w:t>
            </w:r>
          </w:p>
        </w:tc>
      </w:tr>
    </w:tbl>
    <w:p w14:paraId="7444FFA7" w14:textId="77777777" w:rsidR="00C32B22" w:rsidRDefault="00C32B22" w:rsidP="00C32B22"/>
    <w:sectPr w:rsidR="00C32B22" w:rsidSect="00C32B2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BA18" w14:textId="77777777" w:rsidR="00C32B22" w:rsidRDefault="00C32B22" w:rsidP="00C32B22">
      <w:r>
        <w:separator/>
      </w:r>
    </w:p>
  </w:endnote>
  <w:endnote w:type="continuationSeparator" w:id="0">
    <w:p w14:paraId="0BC1A3AE" w14:textId="77777777" w:rsidR="00C32B22" w:rsidRDefault="00C32B22" w:rsidP="00C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1065" w14:textId="77777777" w:rsidR="00C32B22" w:rsidRDefault="00C32B22" w:rsidP="00C32B22">
      <w:r>
        <w:separator/>
      </w:r>
    </w:p>
  </w:footnote>
  <w:footnote w:type="continuationSeparator" w:id="0">
    <w:p w14:paraId="2318C663" w14:textId="77777777" w:rsidR="00C32B22" w:rsidRDefault="00C32B22" w:rsidP="00C3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22"/>
    <w:rsid w:val="001A1129"/>
    <w:rsid w:val="00C32B2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3A01F"/>
  <w15:chartTrackingRefBased/>
  <w15:docId w15:val="{9B7AD686-22D8-423C-9B6B-100556BA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3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Haaland, Richard E. (CDC/DDID/NCHHSTP/DHP)</dc:creator>
  <cp:keywords/>
  <dc:description/>
  <cp:lastModifiedBy>Haaland, Richard E. (CDC/DDID/NCHHSTP/DHP)</cp:lastModifiedBy>
  <cp:revision>2</cp:revision>
  <dcterms:created xsi:type="dcterms:W3CDTF">2023-04-19T19:12:00Z</dcterms:created>
  <dcterms:modified xsi:type="dcterms:W3CDTF">2023-04-19T19:12:00Z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2022-10-28T19:48:12Z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f7de3892-d580-4a51-b4e6-a6f8c2288557</vt:lpwstr>
  </property>
  <property fmtid="{D5CDD505-2E9C-101B-9397-08002B2CF9AE}" pid="8" name="MSIP_Label_7b94a7b8-f06c-4dfe-bdcc-9b548fd58c31_ContentBits">
    <vt:lpwstr>0</vt:lpwstr>
  </property>
</Properties>
</file>