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483" w:rsidP="00765483" w:rsidRDefault="00765483" w14:paraId="1498A2ED" w14:textId="77777777">
      <w:pPr>
        <w:jc w:val="center"/>
        <w:rPr>
          <w:b/>
          <w:bCs/>
        </w:rPr>
      </w:pPr>
      <w:r>
        <w:rPr>
          <w:b/>
          <w:bCs/>
        </w:rPr>
        <w:t>Supplementary Methods</w:t>
      </w:r>
    </w:p>
    <w:p w:rsidR="00765483" w:rsidP="00765483" w:rsidRDefault="00765483" w14:paraId="3EAF20C9" w14:textId="77777777">
      <w:pPr>
        <w:jc w:val="center"/>
      </w:pPr>
    </w:p>
    <w:p w:rsidR="00765483" w:rsidP="00765483" w:rsidRDefault="00765483" w14:paraId="5F898BD2" w14:textId="77777777">
      <w:pPr>
        <w:rPr>
          <w:b/>
          <w:bCs/>
        </w:rPr>
      </w:pPr>
      <w:r>
        <w:rPr>
          <w:b/>
          <w:bCs/>
        </w:rPr>
        <w:t>Case Transmission Determination Definitions:</w:t>
      </w:r>
    </w:p>
    <w:p w:rsidRPr="00510511" w:rsidR="00765483" w:rsidP="00765483" w:rsidRDefault="00765483" w14:paraId="3AC5D819" w14:textId="77777777">
      <w:pPr>
        <w:rPr>
          <w:b/>
          <w:bCs/>
        </w:rPr>
      </w:pPr>
    </w:p>
    <w:p w:rsidR="00765483" w:rsidP="00765483" w:rsidRDefault="00765483" w14:paraId="530004A2" w14:textId="77777777">
      <w:r>
        <w:t xml:space="preserve">A </w:t>
      </w:r>
      <w:r w:rsidRPr="00347864">
        <w:rPr>
          <w:b/>
          <w:bCs/>
          <w:u w:val="single"/>
        </w:rPr>
        <w:t>probable school-associated infection</w:t>
      </w:r>
      <w:r>
        <w:t xml:space="preserve"> is a confirmed COVID-19 case where the case attended school or school-associated activity in person at any point in the 14 days prior to symptom onset (for symptomatic cases) or positive laboratory test (for asymptomatic cases) ON THE SAME DAY as the school index case and met the CDC definition of a close contact.</w:t>
      </w:r>
    </w:p>
    <w:p w:rsidR="00765483" w:rsidP="00765483" w:rsidRDefault="00765483" w14:paraId="42BE949E" w14:textId="77777777"/>
    <w:p w:rsidR="00765483" w:rsidP="00765483" w:rsidRDefault="00765483" w14:paraId="24583C1B" w14:textId="77777777">
      <w:r>
        <w:t xml:space="preserve">The case had no known community or household contact with a confirmed case of COVID-19 including the school index case in the 14 days prior to symptom onset (for symptomatic cases) or positive laboratory test (for asymptomatic cases). </w:t>
      </w:r>
    </w:p>
    <w:p w:rsidR="00765483" w:rsidP="328D6C22" w:rsidRDefault="00765483" w14:paraId="5A1F9D60" w14:textId="0A0BDC9D">
      <w:pPr>
        <w:pStyle w:val="Normal"/>
        <w:rPr>
          <w:rFonts w:ascii="Times New Roman" w:hAnsi="Times New Roman" w:eastAsia="Calibri" w:cs=""/>
          <w:sz w:val="24"/>
          <w:szCs w:val="24"/>
        </w:rPr>
      </w:pPr>
    </w:p>
    <w:p w:rsidR="00765483" w:rsidP="00765483" w:rsidRDefault="00765483" w14:paraId="09E55202" w14:textId="77777777">
      <w:r>
        <w:t xml:space="preserve">A </w:t>
      </w:r>
      <w:r w:rsidRPr="00347864">
        <w:rPr>
          <w:b/>
          <w:bCs/>
          <w:u w:val="single"/>
        </w:rPr>
        <w:t>possible school-associated infection</w:t>
      </w:r>
      <w:r>
        <w:t xml:space="preserve"> is a confirmed COVID-19 case where the case attended school or school-associated activity in person at any point in the 14 days prior to symptom onset (for symptomatic cases) or positive laboratory test (for asymptomatic cases) ON THE SAME DAY as the school index case and met the CDC definition of a close contact.</w:t>
      </w:r>
    </w:p>
    <w:p w:rsidR="00765483" w:rsidP="00765483" w:rsidRDefault="00765483" w14:paraId="3D87B9F1" w14:textId="77777777"/>
    <w:p w:rsidR="00765483" w:rsidP="00765483" w:rsidRDefault="00765483" w14:paraId="1AF53AA1" w14:textId="77777777">
      <w:r>
        <w:t>The case had no known household contact with a confirmed case of COVID-19 and the case may have non-school related contact with school index case or other confirmed cases [non-school related contact does not include household contact].</w:t>
      </w:r>
    </w:p>
    <w:p w:rsidR="00765483" w:rsidP="00765483" w:rsidRDefault="00765483" w14:paraId="4CD6F16D" w14:textId="77777777"/>
    <w:p w:rsidR="00765483" w:rsidP="00765483" w:rsidRDefault="00765483" w14:paraId="6CF8D29D" w14:textId="77777777">
      <w:r>
        <w:t xml:space="preserve">An </w:t>
      </w:r>
      <w:r w:rsidRPr="00347864">
        <w:rPr>
          <w:b/>
          <w:bCs/>
          <w:u w:val="single"/>
        </w:rPr>
        <w:t>unlikely school-associated infection/likely community transmission</w:t>
      </w:r>
      <w:r>
        <w:t xml:space="preserve"> is a confirmed COVID-19 case where the case attended school or school-associated activity in person at any point in the 14 days prior to symptom onset (for symptomatic cases) or positive laboratory test (for asymptomatic cases) ON THE SAME DAY as the school index case and met the CDC definition of a close contact. </w:t>
      </w:r>
    </w:p>
    <w:p w:rsidR="00765483" w:rsidP="00765483" w:rsidRDefault="00765483" w14:paraId="20B4C015" w14:textId="77777777"/>
    <w:p w:rsidR="00765483" w:rsidP="00765483" w:rsidRDefault="00765483" w14:paraId="5139A099" w14:textId="77777777">
      <w:r>
        <w:t>The case had known household contact with a confirmed case of COVID-19.</w:t>
      </w:r>
    </w:p>
    <w:p w:rsidR="00765483" w:rsidP="328D6C22" w:rsidRDefault="00765483" w14:paraId="0F6AA9A6" w14:textId="42ABB7DA">
      <w:pPr>
        <w:pStyle w:val="Normal"/>
        <w:rPr>
          <w:rFonts w:ascii="Times New Roman" w:hAnsi="Times New Roman" w:eastAsia="Calibri" w:cs=""/>
          <w:sz w:val="24"/>
          <w:szCs w:val="24"/>
        </w:rPr>
      </w:pPr>
    </w:p>
    <w:p w:rsidR="00765483" w:rsidP="00765483" w:rsidRDefault="00765483" w14:paraId="09FAFB7B" w14:textId="77777777">
      <w:r w:rsidRPr="00347864">
        <w:rPr>
          <w:b/>
          <w:bCs/>
          <w:u w:val="single"/>
        </w:rPr>
        <w:t>Undetermined</w:t>
      </w:r>
      <w:r>
        <w:t xml:space="preserve"> is a confirmed COVID-19 case where it is not possible to determine if the case had school-associated transmission as defined above.</w:t>
      </w:r>
    </w:p>
    <w:p w:rsidR="00765483" w:rsidP="00765483" w:rsidRDefault="00765483" w14:paraId="7C8E5DAB" w14:textId="77777777">
      <w:pPr>
        <w:spacing w:after="160"/>
        <w:rPr>
          <w:b/>
          <w:bCs/>
        </w:rPr>
      </w:pPr>
      <w:r>
        <w:rPr>
          <w:b/>
          <w:bCs/>
        </w:rPr>
        <w:br w:type="page"/>
      </w:r>
    </w:p>
    <w:p w:rsidR="00765483" w:rsidP="00765483" w:rsidRDefault="00765483" w14:paraId="7CAC6DF7" w14:textId="77777777">
      <w:r w:rsidRPr="00C23E0F">
        <w:rPr>
          <w:b/>
          <w:bCs/>
        </w:rPr>
        <w:lastRenderedPageBreak/>
        <w:t>Supplementary Table</w:t>
      </w:r>
      <w:r>
        <w:t>: Case determination for school-based transmission of secondary and tertiary cases participating in Test to Stay (TTS) during an evaluation of SARS-CoV-2 transmission in four school districts implementing TTS, Fall 2021</w:t>
      </w:r>
    </w:p>
    <w:p w:rsidR="00765483" w:rsidP="00765483" w:rsidRDefault="00765483" w14:paraId="7E039EE1" w14:textId="77777777"/>
    <w:tbl>
      <w:tblPr>
        <w:tblStyle w:val="TableGrid"/>
        <w:tblW w:w="0" w:type="auto"/>
        <w:tblLook w:val="04A0" w:firstRow="1" w:lastRow="0" w:firstColumn="1" w:lastColumn="0" w:noHBand="0" w:noVBand="1"/>
      </w:tblPr>
      <w:tblGrid>
        <w:gridCol w:w="1800"/>
        <w:gridCol w:w="922"/>
        <w:gridCol w:w="923"/>
        <w:gridCol w:w="922"/>
        <w:gridCol w:w="923"/>
        <w:gridCol w:w="922"/>
        <w:gridCol w:w="923"/>
        <w:gridCol w:w="922"/>
        <w:gridCol w:w="923"/>
      </w:tblGrid>
      <w:tr w:rsidR="00765483" w:rsidTr="0035138B" w14:paraId="10B71061" w14:textId="77777777">
        <w:tc>
          <w:tcPr>
            <w:tcW w:w="1800" w:type="dxa"/>
            <w:vMerge w:val="restart"/>
            <w:tcBorders>
              <w:left w:val="nil"/>
              <w:right w:val="nil"/>
            </w:tcBorders>
          </w:tcPr>
          <w:p w:rsidRPr="00D4249F" w:rsidR="00765483" w:rsidP="0035138B" w:rsidRDefault="00765483" w14:paraId="6BF30B35" w14:textId="77777777">
            <w:pPr>
              <w:rPr>
                <w:b/>
                <w:bCs/>
                <w:vertAlign w:val="superscript"/>
              </w:rPr>
            </w:pPr>
            <w:r>
              <w:rPr>
                <w:b/>
                <w:bCs/>
              </w:rPr>
              <w:t xml:space="preserve">Case </w:t>
            </w:r>
            <w:proofErr w:type="spellStart"/>
            <w:r>
              <w:rPr>
                <w:b/>
                <w:bCs/>
              </w:rPr>
              <w:t>determination</w:t>
            </w:r>
            <w:r>
              <w:rPr>
                <w:b/>
                <w:bCs/>
                <w:vertAlign w:val="superscript"/>
              </w:rPr>
              <w:t>a</w:t>
            </w:r>
            <w:proofErr w:type="spellEnd"/>
          </w:p>
        </w:tc>
        <w:tc>
          <w:tcPr>
            <w:tcW w:w="3690" w:type="dxa"/>
            <w:gridSpan w:val="4"/>
            <w:tcBorders>
              <w:left w:val="nil"/>
              <w:bottom w:val="nil"/>
            </w:tcBorders>
          </w:tcPr>
          <w:p w:rsidRPr="00D64A30" w:rsidR="00765483" w:rsidP="0035138B" w:rsidRDefault="00765483" w14:paraId="6601D8A1" w14:textId="77777777">
            <w:pPr>
              <w:jc w:val="center"/>
              <w:rPr>
                <w:b/>
                <w:bCs/>
              </w:rPr>
            </w:pPr>
            <w:r w:rsidRPr="00D64A30">
              <w:rPr>
                <w:b/>
                <w:bCs/>
              </w:rPr>
              <w:t>Secondary Cases</w:t>
            </w:r>
          </w:p>
        </w:tc>
        <w:tc>
          <w:tcPr>
            <w:tcW w:w="3690" w:type="dxa"/>
            <w:gridSpan w:val="4"/>
            <w:tcBorders>
              <w:bottom w:val="nil"/>
              <w:right w:val="nil"/>
            </w:tcBorders>
          </w:tcPr>
          <w:p w:rsidRPr="00D64A30" w:rsidR="00765483" w:rsidP="0035138B" w:rsidRDefault="00765483" w14:paraId="6FE07360" w14:textId="77777777">
            <w:pPr>
              <w:jc w:val="center"/>
              <w:rPr>
                <w:b/>
                <w:bCs/>
              </w:rPr>
            </w:pPr>
            <w:r w:rsidRPr="00D64A30">
              <w:rPr>
                <w:b/>
                <w:bCs/>
              </w:rPr>
              <w:t>Tertiary Cases</w:t>
            </w:r>
          </w:p>
        </w:tc>
      </w:tr>
      <w:tr w:rsidR="00765483" w:rsidTr="0035138B" w14:paraId="56C847EF" w14:textId="77777777">
        <w:tc>
          <w:tcPr>
            <w:tcW w:w="1800" w:type="dxa"/>
            <w:vMerge/>
            <w:tcBorders>
              <w:left w:val="nil"/>
              <w:right w:val="nil"/>
            </w:tcBorders>
          </w:tcPr>
          <w:p w:rsidR="00765483" w:rsidP="0035138B" w:rsidRDefault="00765483" w14:paraId="59FC1F4C" w14:textId="77777777"/>
        </w:tc>
        <w:tc>
          <w:tcPr>
            <w:tcW w:w="922" w:type="dxa"/>
            <w:tcBorders>
              <w:top w:val="nil"/>
              <w:left w:val="nil"/>
              <w:bottom w:val="single" w:color="auto" w:sz="4" w:space="0"/>
              <w:right w:val="nil"/>
            </w:tcBorders>
          </w:tcPr>
          <w:p w:rsidR="00765483" w:rsidP="0035138B" w:rsidRDefault="00765483" w14:paraId="38497A15" w14:textId="77777777">
            <w:pPr>
              <w:jc w:val="center"/>
            </w:pPr>
            <w:r>
              <w:t>GA</w:t>
            </w:r>
          </w:p>
        </w:tc>
        <w:tc>
          <w:tcPr>
            <w:tcW w:w="923" w:type="dxa"/>
            <w:tcBorders>
              <w:top w:val="nil"/>
              <w:left w:val="nil"/>
              <w:bottom w:val="single" w:color="auto" w:sz="4" w:space="0"/>
              <w:right w:val="nil"/>
            </w:tcBorders>
          </w:tcPr>
          <w:p w:rsidR="00765483" w:rsidP="0035138B" w:rsidRDefault="00765483" w14:paraId="75DD3870" w14:textId="77777777">
            <w:pPr>
              <w:jc w:val="center"/>
            </w:pPr>
            <w:r>
              <w:t>IL</w:t>
            </w:r>
          </w:p>
        </w:tc>
        <w:tc>
          <w:tcPr>
            <w:tcW w:w="922" w:type="dxa"/>
            <w:tcBorders>
              <w:top w:val="nil"/>
              <w:left w:val="nil"/>
              <w:bottom w:val="single" w:color="auto" w:sz="4" w:space="0"/>
              <w:right w:val="nil"/>
            </w:tcBorders>
          </w:tcPr>
          <w:p w:rsidR="00765483" w:rsidP="0035138B" w:rsidRDefault="00765483" w14:paraId="42CB2576" w14:textId="77777777">
            <w:pPr>
              <w:jc w:val="center"/>
            </w:pPr>
            <w:r>
              <w:t>KY</w:t>
            </w:r>
          </w:p>
        </w:tc>
        <w:tc>
          <w:tcPr>
            <w:tcW w:w="923" w:type="dxa"/>
            <w:tcBorders>
              <w:top w:val="nil"/>
              <w:left w:val="nil"/>
              <w:bottom w:val="single" w:color="auto" w:sz="4" w:space="0"/>
            </w:tcBorders>
          </w:tcPr>
          <w:p w:rsidR="00765483" w:rsidP="0035138B" w:rsidRDefault="00765483" w14:paraId="0668F49D" w14:textId="77777777">
            <w:pPr>
              <w:jc w:val="center"/>
            </w:pPr>
            <w:r>
              <w:t>NM</w:t>
            </w:r>
          </w:p>
        </w:tc>
        <w:tc>
          <w:tcPr>
            <w:tcW w:w="922" w:type="dxa"/>
            <w:tcBorders>
              <w:top w:val="nil"/>
              <w:bottom w:val="single" w:color="auto" w:sz="4" w:space="0"/>
              <w:right w:val="nil"/>
            </w:tcBorders>
          </w:tcPr>
          <w:p w:rsidR="00765483" w:rsidP="0035138B" w:rsidRDefault="00765483" w14:paraId="037CEF39" w14:textId="77777777">
            <w:pPr>
              <w:jc w:val="center"/>
            </w:pPr>
            <w:r>
              <w:t>GA</w:t>
            </w:r>
          </w:p>
        </w:tc>
        <w:tc>
          <w:tcPr>
            <w:tcW w:w="923" w:type="dxa"/>
            <w:tcBorders>
              <w:top w:val="nil"/>
              <w:left w:val="nil"/>
              <w:bottom w:val="single" w:color="auto" w:sz="4" w:space="0"/>
              <w:right w:val="nil"/>
            </w:tcBorders>
          </w:tcPr>
          <w:p w:rsidR="00765483" w:rsidP="0035138B" w:rsidRDefault="00765483" w14:paraId="6AF21C6B" w14:textId="77777777">
            <w:pPr>
              <w:jc w:val="center"/>
            </w:pPr>
            <w:r>
              <w:t>IL</w:t>
            </w:r>
          </w:p>
        </w:tc>
        <w:tc>
          <w:tcPr>
            <w:tcW w:w="922" w:type="dxa"/>
            <w:tcBorders>
              <w:top w:val="nil"/>
              <w:left w:val="nil"/>
              <w:bottom w:val="single" w:color="auto" w:sz="4" w:space="0"/>
              <w:right w:val="nil"/>
            </w:tcBorders>
          </w:tcPr>
          <w:p w:rsidR="00765483" w:rsidP="0035138B" w:rsidRDefault="00765483" w14:paraId="65393658" w14:textId="77777777">
            <w:pPr>
              <w:jc w:val="center"/>
            </w:pPr>
            <w:r>
              <w:t>KY</w:t>
            </w:r>
          </w:p>
        </w:tc>
        <w:tc>
          <w:tcPr>
            <w:tcW w:w="923" w:type="dxa"/>
            <w:tcBorders>
              <w:top w:val="nil"/>
              <w:left w:val="nil"/>
              <w:bottom w:val="single" w:color="auto" w:sz="4" w:space="0"/>
              <w:right w:val="nil"/>
            </w:tcBorders>
          </w:tcPr>
          <w:p w:rsidR="00765483" w:rsidP="0035138B" w:rsidRDefault="00765483" w14:paraId="5EE6C960" w14:textId="77777777">
            <w:pPr>
              <w:jc w:val="center"/>
            </w:pPr>
            <w:r>
              <w:t>NM</w:t>
            </w:r>
          </w:p>
        </w:tc>
      </w:tr>
      <w:tr w:rsidR="00765483" w:rsidTr="0035138B" w14:paraId="1D15A6C7" w14:textId="77777777">
        <w:tc>
          <w:tcPr>
            <w:tcW w:w="1800" w:type="dxa"/>
            <w:tcBorders>
              <w:left w:val="nil"/>
              <w:bottom w:val="nil"/>
              <w:right w:val="nil"/>
            </w:tcBorders>
          </w:tcPr>
          <w:p w:rsidR="00765483" w:rsidP="0035138B" w:rsidRDefault="00765483" w14:paraId="5C7C706B" w14:textId="77777777">
            <w:r>
              <w:t>Probable</w:t>
            </w:r>
          </w:p>
        </w:tc>
        <w:tc>
          <w:tcPr>
            <w:tcW w:w="922" w:type="dxa"/>
            <w:tcBorders>
              <w:left w:val="nil"/>
              <w:bottom w:val="nil"/>
              <w:right w:val="nil"/>
            </w:tcBorders>
          </w:tcPr>
          <w:p w:rsidR="00765483" w:rsidP="0035138B" w:rsidRDefault="00765483" w14:paraId="2CF1957C" w14:textId="77777777">
            <w:pPr>
              <w:spacing w:line="259" w:lineRule="auto"/>
              <w:jc w:val="center"/>
            </w:pPr>
            <w:r>
              <w:t>7</w:t>
            </w:r>
          </w:p>
        </w:tc>
        <w:tc>
          <w:tcPr>
            <w:tcW w:w="923" w:type="dxa"/>
            <w:tcBorders>
              <w:left w:val="nil"/>
              <w:bottom w:val="nil"/>
              <w:right w:val="nil"/>
            </w:tcBorders>
          </w:tcPr>
          <w:p w:rsidR="00765483" w:rsidP="0035138B" w:rsidRDefault="00765483" w14:paraId="4B007D01" w14:textId="77777777">
            <w:pPr>
              <w:jc w:val="center"/>
            </w:pPr>
            <w:r>
              <w:t>8</w:t>
            </w:r>
          </w:p>
        </w:tc>
        <w:tc>
          <w:tcPr>
            <w:tcW w:w="922" w:type="dxa"/>
            <w:tcBorders>
              <w:left w:val="nil"/>
              <w:bottom w:val="nil"/>
              <w:right w:val="nil"/>
            </w:tcBorders>
          </w:tcPr>
          <w:p w:rsidR="00765483" w:rsidP="0035138B" w:rsidRDefault="00765483" w14:paraId="6CC869B9" w14:textId="77777777">
            <w:pPr>
              <w:jc w:val="center"/>
            </w:pPr>
            <w:r>
              <w:t>10</w:t>
            </w:r>
          </w:p>
        </w:tc>
        <w:tc>
          <w:tcPr>
            <w:tcW w:w="923" w:type="dxa"/>
            <w:tcBorders>
              <w:left w:val="nil"/>
              <w:bottom w:val="nil"/>
            </w:tcBorders>
          </w:tcPr>
          <w:p w:rsidR="00765483" w:rsidP="0035138B" w:rsidRDefault="00765483" w14:paraId="5F8CE0A8" w14:textId="77777777">
            <w:pPr>
              <w:jc w:val="center"/>
            </w:pPr>
            <w:r>
              <w:t>13</w:t>
            </w:r>
          </w:p>
        </w:tc>
        <w:tc>
          <w:tcPr>
            <w:tcW w:w="922" w:type="dxa"/>
            <w:tcBorders>
              <w:bottom w:val="nil"/>
              <w:right w:val="nil"/>
            </w:tcBorders>
          </w:tcPr>
          <w:p w:rsidR="00765483" w:rsidP="0035138B" w:rsidRDefault="00765483" w14:paraId="3A937003" w14:textId="77777777">
            <w:pPr>
              <w:jc w:val="center"/>
            </w:pPr>
            <w:r>
              <w:t>0</w:t>
            </w:r>
          </w:p>
        </w:tc>
        <w:tc>
          <w:tcPr>
            <w:tcW w:w="923" w:type="dxa"/>
            <w:tcBorders>
              <w:left w:val="nil"/>
              <w:bottom w:val="nil"/>
              <w:right w:val="nil"/>
            </w:tcBorders>
          </w:tcPr>
          <w:p w:rsidR="00765483" w:rsidP="0035138B" w:rsidRDefault="00765483" w14:paraId="453CFAE8" w14:textId="77777777">
            <w:pPr>
              <w:jc w:val="center"/>
            </w:pPr>
            <w:r>
              <w:t>0</w:t>
            </w:r>
          </w:p>
        </w:tc>
        <w:tc>
          <w:tcPr>
            <w:tcW w:w="922" w:type="dxa"/>
            <w:tcBorders>
              <w:left w:val="nil"/>
              <w:bottom w:val="nil"/>
              <w:right w:val="nil"/>
            </w:tcBorders>
          </w:tcPr>
          <w:p w:rsidR="00765483" w:rsidP="0035138B" w:rsidRDefault="00765483" w14:paraId="4F726BA0" w14:textId="77777777">
            <w:pPr>
              <w:jc w:val="center"/>
            </w:pPr>
            <w:r>
              <w:t>0</w:t>
            </w:r>
          </w:p>
        </w:tc>
        <w:tc>
          <w:tcPr>
            <w:tcW w:w="923" w:type="dxa"/>
            <w:tcBorders>
              <w:left w:val="nil"/>
              <w:bottom w:val="nil"/>
              <w:right w:val="nil"/>
            </w:tcBorders>
          </w:tcPr>
          <w:p w:rsidR="00765483" w:rsidP="0035138B" w:rsidRDefault="00765483" w14:paraId="7397AEB1" w14:textId="77777777">
            <w:pPr>
              <w:jc w:val="center"/>
            </w:pPr>
            <w:r>
              <w:t>6</w:t>
            </w:r>
          </w:p>
        </w:tc>
      </w:tr>
      <w:tr w:rsidR="00765483" w:rsidTr="0035138B" w14:paraId="0F400A95" w14:textId="77777777">
        <w:tc>
          <w:tcPr>
            <w:tcW w:w="1800" w:type="dxa"/>
            <w:tcBorders>
              <w:top w:val="nil"/>
              <w:left w:val="nil"/>
              <w:bottom w:val="nil"/>
              <w:right w:val="nil"/>
            </w:tcBorders>
          </w:tcPr>
          <w:p w:rsidR="00765483" w:rsidP="0035138B" w:rsidRDefault="00765483" w14:paraId="62ABD81D" w14:textId="77777777">
            <w:r>
              <w:t>Possible</w:t>
            </w:r>
          </w:p>
        </w:tc>
        <w:tc>
          <w:tcPr>
            <w:tcW w:w="922" w:type="dxa"/>
            <w:tcBorders>
              <w:top w:val="nil"/>
              <w:left w:val="nil"/>
              <w:bottom w:val="nil"/>
              <w:right w:val="nil"/>
            </w:tcBorders>
          </w:tcPr>
          <w:p w:rsidR="00765483" w:rsidP="0035138B" w:rsidRDefault="00765483" w14:paraId="758EB6BC" w14:textId="77777777">
            <w:pPr>
              <w:jc w:val="center"/>
            </w:pPr>
            <w:r>
              <w:t>0</w:t>
            </w:r>
          </w:p>
        </w:tc>
        <w:tc>
          <w:tcPr>
            <w:tcW w:w="923" w:type="dxa"/>
            <w:tcBorders>
              <w:top w:val="nil"/>
              <w:left w:val="nil"/>
              <w:bottom w:val="nil"/>
              <w:right w:val="nil"/>
            </w:tcBorders>
          </w:tcPr>
          <w:p w:rsidR="00765483" w:rsidP="0035138B" w:rsidRDefault="00765483" w14:paraId="7F054134" w14:textId="77777777">
            <w:pPr>
              <w:jc w:val="center"/>
            </w:pPr>
            <w:r>
              <w:t>1</w:t>
            </w:r>
          </w:p>
        </w:tc>
        <w:tc>
          <w:tcPr>
            <w:tcW w:w="922" w:type="dxa"/>
            <w:tcBorders>
              <w:top w:val="nil"/>
              <w:left w:val="nil"/>
              <w:bottom w:val="nil"/>
              <w:right w:val="nil"/>
            </w:tcBorders>
          </w:tcPr>
          <w:p w:rsidR="00765483" w:rsidP="0035138B" w:rsidRDefault="00765483" w14:paraId="07A37249" w14:textId="77777777">
            <w:pPr>
              <w:jc w:val="center"/>
            </w:pPr>
            <w:r>
              <w:t>0</w:t>
            </w:r>
          </w:p>
        </w:tc>
        <w:tc>
          <w:tcPr>
            <w:tcW w:w="923" w:type="dxa"/>
            <w:tcBorders>
              <w:top w:val="nil"/>
              <w:left w:val="nil"/>
              <w:bottom w:val="nil"/>
            </w:tcBorders>
          </w:tcPr>
          <w:p w:rsidR="00765483" w:rsidP="0035138B" w:rsidRDefault="00765483" w14:paraId="246420E1" w14:textId="77777777">
            <w:pPr>
              <w:jc w:val="center"/>
            </w:pPr>
            <w:r>
              <w:t>1</w:t>
            </w:r>
          </w:p>
        </w:tc>
        <w:tc>
          <w:tcPr>
            <w:tcW w:w="922" w:type="dxa"/>
            <w:tcBorders>
              <w:top w:val="nil"/>
              <w:bottom w:val="nil"/>
              <w:right w:val="nil"/>
            </w:tcBorders>
          </w:tcPr>
          <w:p w:rsidR="00765483" w:rsidP="0035138B" w:rsidRDefault="00765483" w14:paraId="304E20B8" w14:textId="77777777">
            <w:pPr>
              <w:jc w:val="center"/>
            </w:pPr>
            <w:r>
              <w:t>0</w:t>
            </w:r>
          </w:p>
        </w:tc>
        <w:tc>
          <w:tcPr>
            <w:tcW w:w="923" w:type="dxa"/>
            <w:tcBorders>
              <w:top w:val="nil"/>
              <w:left w:val="nil"/>
              <w:bottom w:val="nil"/>
              <w:right w:val="nil"/>
            </w:tcBorders>
          </w:tcPr>
          <w:p w:rsidR="00765483" w:rsidP="0035138B" w:rsidRDefault="00765483" w14:paraId="404A0989" w14:textId="77777777">
            <w:pPr>
              <w:jc w:val="center"/>
            </w:pPr>
            <w:r>
              <w:t>0</w:t>
            </w:r>
          </w:p>
        </w:tc>
        <w:tc>
          <w:tcPr>
            <w:tcW w:w="922" w:type="dxa"/>
            <w:tcBorders>
              <w:top w:val="nil"/>
              <w:left w:val="nil"/>
              <w:bottom w:val="nil"/>
              <w:right w:val="nil"/>
            </w:tcBorders>
          </w:tcPr>
          <w:p w:rsidR="00765483" w:rsidP="0035138B" w:rsidRDefault="00765483" w14:paraId="735CACAD" w14:textId="77777777">
            <w:pPr>
              <w:jc w:val="center"/>
            </w:pPr>
            <w:r>
              <w:t>1</w:t>
            </w:r>
          </w:p>
        </w:tc>
        <w:tc>
          <w:tcPr>
            <w:tcW w:w="923" w:type="dxa"/>
            <w:tcBorders>
              <w:top w:val="nil"/>
              <w:left w:val="nil"/>
              <w:bottom w:val="nil"/>
              <w:right w:val="nil"/>
            </w:tcBorders>
          </w:tcPr>
          <w:p w:rsidR="00765483" w:rsidP="0035138B" w:rsidRDefault="00765483" w14:paraId="455955DE" w14:textId="77777777">
            <w:pPr>
              <w:jc w:val="center"/>
            </w:pPr>
            <w:r>
              <w:t>0</w:t>
            </w:r>
          </w:p>
        </w:tc>
      </w:tr>
      <w:tr w:rsidR="00765483" w:rsidTr="0035138B" w14:paraId="5CB473EC" w14:textId="77777777">
        <w:tc>
          <w:tcPr>
            <w:tcW w:w="1800" w:type="dxa"/>
            <w:tcBorders>
              <w:top w:val="nil"/>
              <w:left w:val="nil"/>
              <w:bottom w:val="nil"/>
              <w:right w:val="nil"/>
            </w:tcBorders>
          </w:tcPr>
          <w:p w:rsidR="00765483" w:rsidP="0035138B" w:rsidRDefault="00765483" w14:paraId="26E29CF2" w14:textId="77777777">
            <w:r>
              <w:t>Unlikely</w:t>
            </w:r>
          </w:p>
        </w:tc>
        <w:tc>
          <w:tcPr>
            <w:tcW w:w="922" w:type="dxa"/>
            <w:tcBorders>
              <w:top w:val="nil"/>
              <w:left w:val="nil"/>
              <w:bottom w:val="nil"/>
              <w:right w:val="nil"/>
            </w:tcBorders>
          </w:tcPr>
          <w:p w:rsidR="00765483" w:rsidP="0035138B" w:rsidRDefault="00765483" w14:paraId="5EABA6D6" w14:textId="77777777">
            <w:pPr>
              <w:jc w:val="center"/>
            </w:pPr>
            <w:r>
              <w:t>0</w:t>
            </w:r>
          </w:p>
        </w:tc>
        <w:tc>
          <w:tcPr>
            <w:tcW w:w="923" w:type="dxa"/>
            <w:tcBorders>
              <w:top w:val="nil"/>
              <w:left w:val="nil"/>
              <w:bottom w:val="nil"/>
              <w:right w:val="nil"/>
            </w:tcBorders>
          </w:tcPr>
          <w:p w:rsidR="00765483" w:rsidP="0035138B" w:rsidRDefault="00765483" w14:paraId="7A2C3F0C" w14:textId="77777777">
            <w:pPr>
              <w:jc w:val="center"/>
            </w:pPr>
            <w:r>
              <w:t>0</w:t>
            </w:r>
          </w:p>
        </w:tc>
        <w:tc>
          <w:tcPr>
            <w:tcW w:w="922" w:type="dxa"/>
            <w:tcBorders>
              <w:top w:val="nil"/>
              <w:left w:val="nil"/>
              <w:bottom w:val="nil"/>
              <w:right w:val="nil"/>
            </w:tcBorders>
          </w:tcPr>
          <w:p w:rsidR="00765483" w:rsidP="0035138B" w:rsidRDefault="00765483" w14:paraId="0E7BB15D" w14:textId="77777777">
            <w:pPr>
              <w:jc w:val="center"/>
            </w:pPr>
            <w:r>
              <w:t>0</w:t>
            </w:r>
          </w:p>
        </w:tc>
        <w:tc>
          <w:tcPr>
            <w:tcW w:w="923" w:type="dxa"/>
            <w:tcBorders>
              <w:top w:val="nil"/>
              <w:left w:val="nil"/>
              <w:bottom w:val="nil"/>
            </w:tcBorders>
          </w:tcPr>
          <w:p w:rsidR="00765483" w:rsidP="0035138B" w:rsidRDefault="00765483" w14:paraId="3A4FF5F5" w14:textId="77777777">
            <w:pPr>
              <w:jc w:val="center"/>
            </w:pPr>
            <w:r>
              <w:t>0</w:t>
            </w:r>
          </w:p>
        </w:tc>
        <w:tc>
          <w:tcPr>
            <w:tcW w:w="922" w:type="dxa"/>
            <w:tcBorders>
              <w:top w:val="nil"/>
              <w:bottom w:val="nil"/>
              <w:right w:val="nil"/>
            </w:tcBorders>
          </w:tcPr>
          <w:p w:rsidR="00765483" w:rsidP="0035138B" w:rsidRDefault="00765483" w14:paraId="289B822F" w14:textId="77777777">
            <w:pPr>
              <w:jc w:val="center"/>
            </w:pPr>
            <w:r>
              <w:t>0</w:t>
            </w:r>
          </w:p>
        </w:tc>
        <w:tc>
          <w:tcPr>
            <w:tcW w:w="923" w:type="dxa"/>
            <w:tcBorders>
              <w:top w:val="nil"/>
              <w:left w:val="nil"/>
              <w:bottom w:val="nil"/>
              <w:right w:val="nil"/>
            </w:tcBorders>
          </w:tcPr>
          <w:p w:rsidR="00765483" w:rsidP="0035138B" w:rsidRDefault="00765483" w14:paraId="70DE182B" w14:textId="77777777">
            <w:pPr>
              <w:jc w:val="center"/>
            </w:pPr>
            <w:r>
              <w:t>6</w:t>
            </w:r>
          </w:p>
        </w:tc>
        <w:tc>
          <w:tcPr>
            <w:tcW w:w="922" w:type="dxa"/>
            <w:tcBorders>
              <w:top w:val="nil"/>
              <w:left w:val="nil"/>
              <w:bottom w:val="nil"/>
              <w:right w:val="nil"/>
            </w:tcBorders>
          </w:tcPr>
          <w:p w:rsidR="00765483" w:rsidP="0035138B" w:rsidRDefault="00765483" w14:paraId="13521452" w14:textId="77777777">
            <w:pPr>
              <w:jc w:val="center"/>
            </w:pPr>
            <w:r>
              <w:t>0</w:t>
            </w:r>
          </w:p>
        </w:tc>
        <w:tc>
          <w:tcPr>
            <w:tcW w:w="923" w:type="dxa"/>
            <w:tcBorders>
              <w:top w:val="nil"/>
              <w:left w:val="nil"/>
              <w:bottom w:val="nil"/>
              <w:right w:val="nil"/>
            </w:tcBorders>
          </w:tcPr>
          <w:p w:rsidR="00765483" w:rsidP="0035138B" w:rsidRDefault="00765483" w14:paraId="4EE25A71" w14:textId="77777777">
            <w:pPr>
              <w:jc w:val="center"/>
            </w:pPr>
            <w:r>
              <w:t>0</w:t>
            </w:r>
          </w:p>
        </w:tc>
      </w:tr>
      <w:tr w:rsidR="00765483" w:rsidTr="0035138B" w14:paraId="2C83CBD8" w14:textId="77777777">
        <w:tc>
          <w:tcPr>
            <w:tcW w:w="1800" w:type="dxa"/>
            <w:tcBorders>
              <w:top w:val="nil"/>
              <w:left w:val="nil"/>
              <w:right w:val="nil"/>
            </w:tcBorders>
          </w:tcPr>
          <w:p w:rsidR="00765483" w:rsidP="0035138B" w:rsidRDefault="00765483" w14:paraId="11CFFA88" w14:textId="77777777">
            <w:r>
              <w:t>Undetermined</w:t>
            </w:r>
          </w:p>
        </w:tc>
        <w:tc>
          <w:tcPr>
            <w:tcW w:w="922" w:type="dxa"/>
            <w:tcBorders>
              <w:top w:val="nil"/>
              <w:left w:val="nil"/>
              <w:right w:val="nil"/>
            </w:tcBorders>
          </w:tcPr>
          <w:p w:rsidR="00765483" w:rsidP="0035138B" w:rsidRDefault="00765483" w14:paraId="72CAE60E" w14:textId="77777777">
            <w:pPr>
              <w:jc w:val="center"/>
            </w:pPr>
            <w:r>
              <w:t>5</w:t>
            </w:r>
          </w:p>
        </w:tc>
        <w:tc>
          <w:tcPr>
            <w:tcW w:w="923" w:type="dxa"/>
            <w:tcBorders>
              <w:top w:val="nil"/>
              <w:left w:val="nil"/>
              <w:right w:val="nil"/>
            </w:tcBorders>
          </w:tcPr>
          <w:p w:rsidR="00765483" w:rsidP="0035138B" w:rsidRDefault="00765483" w14:paraId="6CE89F32" w14:textId="77777777">
            <w:pPr>
              <w:jc w:val="center"/>
            </w:pPr>
            <w:r>
              <w:t>0</w:t>
            </w:r>
          </w:p>
        </w:tc>
        <w:tc>
          <w:tcPr>
            <w:tcW w:w="922" w:type="dxa"/>
            <w:tcBorders>
              <w:top w:val="nil"/>
              <w:left w:val="nil"/>
              <w:right w:val="nil"/>
            </w:tcBorders>
          </w:tcPr>
          <w:p w:rsidR="00765483" w:rsidP="0035138B" w:rsidRDefault="00765483" w14:paraId="33302199" w14:textId="77777777">
            <w:pPr>
              <w:jc w:val="center"/>
            </w:pPr>
            <w:r>
              <w:t>7</w:t>
            </w:r>
          </w:p>
        </w:tc>
        <w:tc>
          <w:tcPr>
            <w:tcW w:w="923" w:type="dxa"/>
            <w:tcBorders>
              <w:top w:val="nil"/>
              <w:left w:val="nil"/>
            </w:tcBorders>
          </w:tcPr>
          <w:p w:rsidR="00765483" w:rsidP="0035138B" w:rsidRDefault="00765483" w14:paraId="5885BBBA" w14:textId="77777777">
            <w:pPr>
              <w:spacing w:line="259" w:lineRule="auto"/>
              <w:jc w:val="center"/>
            </w:pPr>
            <w:r>
              <w:t>16</w:t>
            </w:r>
          </w:p>
        </w:tc>
        <w:tc>
          <w:tcPr>
            <w:tcW w:w="922" w:type="dxa"/>
            <w:tcBorders>
              <w:top w:val="nil"/>
              <w:right w:val="nil"/>
            </w:tcBorders>
          </w:tcPr>
          <w:p w:rsidR="00765483" w:rsidP="0035138B" w:rsidRDefault="00765483" w14:paraId="1D7FC3E9" w14:textId="77777777">
            <w:pPr>
              <w:jc w:val="center"/>
            </w:pPr>
            <w:r>
              <w:t>1</w:t>
            </w:r>
          </w:p>
        </w:tc>
        <w:tc>
          <w:tcPr>
            <w:tcW w:w="923" w:type="dxa"/>
            <w:tcBorders>
              <w:top w:val="nil"/>
              <w:left w:val="nil"/>
              <w:right w:val="nil"/>
            </w:tcBorders>
          </w:tcPr>
          <w:p w:rsidR="00765483" w:rsidP="0035138B" w:rsidRDefault="00765483" w14:paraId="498B865B" w14:textId="77777777">
            <w:pPr>
              <w:jc w:val="center"/>
            </w:pPr>
            <w:r>
              <w:t>0</w:t>
            </w:r>
          </w:p>
        </w:tc>
        <w:tc>
          <w:tcPr>
            <w:tcW w:w="922" w:type="dxa"/>
            <w:tcBorders>
              <w:top w:val="nil"/>
              <w:left w:val="nil"/>
              <w:right w:val="nil"/>
            </w:tcBorders>
          </w:tcPr>
          <w:p w:rsidR="00765483" w:rsidP="0035138B" w:rsidRDefault="00765483" w14:paraId="08AE1A31" w14:textId="77777777">
            <w:pPr>
              <w:jc w:val="center"/>
            </w:pPr>
            <w:r>
              <w:t>0</w:t>
            </w:r>
          </w:p>
        </w:tc>
        <w:tc>
          <w:tcPr>
            <w:tcW w:w="923" w:type="dxa"/>
            <w:tcBorders>
              <w:top w:val="nil"/>
              <w:left w:val="nil"/>
              <w:right w:val="nil"/>
            </w:tcBorders>
          </w:tcPr>
          <w:p w:rsidR="00765483" w:rsidP="0035138B" w:rsidRDefault="00765483" w14:paraId="1A2F8812" w14:textId="77777777">
            <w:pPr>
              <w:jc w:val="center"/>
            </w:pPr>
            <w:r>
              <w:t>7</w:t>
            </w:r>
          </w:p>
        </w:tc>
      </w:tr>
    </w:tbl>
    <w:p w:rsidRPr="002A1DB6" w:rsidR="00765483" w:rsidP="00765483" w:rsidRDefault="00765483" w14:paraId="572FE4E0" w14:textId="77777777">
      <w:proofErr w:type="spellStart"/>
      <w:r>
        <w:rPr>
          <w:vertAlign w:val="superscript"/>
        </w:rPr>
        <w:t>a</w:t>
      </w:r>
      <w:proofErr w:type="spellEnd"/>
      <w:r>
        <w:t xml:space="preserve"> </w:t>
      </w:r>
      <w:r>
        <w:rPr>
          <w:rStyle w:val="normaltextrun"/>
          <w:color w:val="000000"/>
          <w:shd w:val="clear" w:color="auto" w:fill="FFFFFF"/>
        </w:rPr>
        <w:t>Whether transmission was probable school-associated, possible-school associated, unlikely school-associated,</w:t>
      </w:r>
      <w:r>
        <w:rPr>
          <w:rStyle w:val="normaltextrun"/>
          <w:color w:val="000000"/>
          <w:shd w:val="clear" w:color="auto" w:fill="FFFFFF"/>
          <w:vertAlign w:val="superscript"/>
        </w:rPr>
        <w:t>1</w:t>
      </w:r>
      <w:r>
        <w:rPr>
          <w:rStyle w:val="normaltextrun"/>
          <w:color w:val="000000"/>
          <w:shd w:val="clear" w:color="auto" w:fill="FFFFFF"/>
        </w:rPr>
        <w:t xml:space="preserve"> or undetermined</w:t>
      </w:r>
    </w:p>
    <w:p w:rsidR="00765483" w:rsidP="00765483" w:rsidRDefault="00765483" w14:paraId="636C432F" w14:textId="77777777">
      <w:pPr>
        <w:rPr>
          <w:b/>
          <w:bCs/>
        </w:rPr>
      </w:pPr>
    </w:p>
    <w:p w:rsidRPr="00FE210D" w:rsidR="00765483" w:rsidP="00765483" w:rsidRDefault="00765483" w14:paraId="4B5A4BCC" w14:textId="77777777">
      <w:pPr>
        <w:rPr>
          <w:b/>
          <w:bCs/>
        </w:rPr>
      </w:pPr>
      <w:r w:rsidRPr="00FE210D">
        <w:rPr>
          <w:b/>
          <w:bCs/>
        </w:rPr>
        <w:t>Reference</w:t>
      </w:r>
    </w:p>
    <w:p w:rsidRPr="00A042E4" w:rsidR="00765483" w:rsidP="00765483" w:rsidRDefault="00765483" w14:paraId="621AB643" w14:textId="77777777">
      <w:pPr>
        <w:pStyle w:val="ListParagraph"/>
        <w:numPr>
          <w:ilvl w:val="0"/>
          <w:numId w:val="1"/>
        </w:numPr>
        <w:spacing w:after="160"/>
      </w:pPr>
      <w:r w:rsidRPr="00A042E4">
        <w:t xml:space="preserve">Dawson P, Worrell MC, Malone S, et al. Pilot investigation of SARS-CoV-2 secondary transmission in kindergarten through grade 12 schools implementing mitigation strategies—St. Louis County and city of Springfield, Missouri, December 2020. MMWR </w:t>
      </w:r>
      <w:proofErr w:type="spellStart"/>
      <w:r w:rsidRPr="00A042E4">
        <w:t>Morb</w:t>
      </w:r>
      <w:proofErr w:type="spellEnd"/>
      <w:r w:rsidRPr="00A042E4">
        <w:t xml:space="preserve"> Mortal </w:t>
      </w:r>
      <w:proofErr w:type="spellStart"/>
      <w:r w:rsidRPr="00A042E4">
        <w:t>Wkly</w:t>
      </w:r>
      <w:proofErr w:type="spellEnd"/>
      <w:r w:rsidRPr="00A042E4">
        <w:t xml:space="preserve"> Rep. 2021:70(12):449-455. DOI: http://dx.doi.org/10.15585/mmwr.mm7012e4. </w:t>
      </w:r>
    </w:p>
    <w:p w:rsidR="00765483" w:rsidRDefault="00765483" w14:paraId="6194A1BD" w14:textId="77777777"/>
    <w:sectPr w:rsidR="00765483">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5483" w:rsidP="00765483" w:rsidRDefault="00765483" w14:paraId="447BADBE" w14:textId="77777777">
      <w:pPr>
        <w:spacing w:line="240" w:lineRule="auto"/>
      </w:pPr>
      <w:r>
        <w:separator/>
      </w:r>
    </w:p>
  </w:endnote>
  <w:endnote w:type="continuationSeparator" w:id="0">
    <w:p w:rsidR="00765483" w:rsidP="00765483" w:rsidRDefault="00765483" w14:paraId="482A2283"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5483" w:rsidP="00765483" w:rsidRDefault="00765483" w14:paraId="69CAD5B3" w14:textId="77777777">
      <w:pPr>
        <w:spacing w:line="240" w:lineRule="auto"/>
      </w:pPr>
      <w:r>
        <w:separator/>
      </w:r>
    </w:p>
  </w:footnote>
  <w:footnote w:type="continuationSeparator" w:id="0">
    <w:p w:rsidR="00765483" w:rsidP="00765483" w:rsidRDefault="00765483" w14:paraId="7C8182C7"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0254A"/>
    <w:multiLevelType w:val="hybridMultilevel"/>
    <w:tmpl w:val="75107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trackRevisions w:val="tru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483"/>
    <w:rsid w:val="00141B60"/>
    <w:rsid w:val="002C32A3"/>
    <w:rsid w:val="00765483"/>
    <w:rsid w:val="328D6C22"/>
    <w:rsid w:val="51E09D4D"/>
    <w:rsid w:val="6DB71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BBD49"/>
  <w15:chartTrackingRefBased/>
  <w15:docId w15:val="{2A692320-56FC-4C36-9531-8C662544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65483"/>
    <w:pPr>
      <w:spacing w:after="0"/>
    </w:pPr>
    <w:rPr>
      <w:rFonts w:ascii="Times New Roman" w:hAnsi="Times New Roman"/>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00765483"/>
  </w:style>
  <w:style w:type="paragraph" w:styleId="ListParagraph">
    <w:name w:val="List Paragraph"/>
    <w:basedOn w:val="Normal"/>
    <w:uiPriority w:val="34"/>
    <w:qFormat/>
    <w:rsid w:val="00765483"/>
    <w:pPr>
      <w:ind w:left="720"/>
      <w:contextualSpacing/>
    </w:pPr>
  </w:style>
  <w:style w:type="table" w:styleId="TableGrid">
    <w:name w:val="Table Grid"/>
    <w:basedOn w:val="TableNormal"/>
    <w:uiPriority w:val="39"/>
    <w:rsid w:val="0076548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 Type="http://schemas.microsoft.com/office/2011/relationships/people" Target="people.xml" Id="R8507eb0a303d41d3" /><Relationship Type="http://schemas.microsoft.com/office/2011/relationships/commentsExtended" Target="commentsExtended.xml" Id="R0b28d871023e4620" /><Relationship Type="http://schemas.microsoft.com/office/2016/09/relationships/commentsIds" Target="commentsIds.xml" Id="R0574a2c74fbd424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AEF5C07ADB73498301CC970D1D48E6" ma:contentTypeVersion="14" ma:contentTypeDescription="Create a new document." ma:contentTypeScope="" ma:versionID="4e9079fcad9af3dfbb4ac91b8a7fc86b">
  <xsd:schema xmlns:xsd="http://www.w3.org/2001/XMLSchema" xmlns:xs="http://www.w3.org/2001/XMLSchema" xmlns:p="http://schemas.microsoft.com/office/2006/metadata/properties" xmlns:ns2="49eab35a-5131-497c-951c-5e307e1a4d16" xmlns:ns3="95fd7547-aedc-4bed-86ba-343b1a9afdb9" targetNamespace="http://schemas.microsoft.com/office/2006/metadata/properties" ma:root="true" ma:fieldsID="e87bb605a4173dace34bc2ac95161903" ns2:_="" ns3:_="">
    <xsd:import namespace="49eab35a-5131-497c-951c-5e307e1a4d16"/>
    <xsd:import namespace="95fd7547-aedc-4bed-86ba-343b1a9afd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ab35a-5131-497c-951c-5e307e1a4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fd7547-aedc-4bed-86ba-343b1a9afd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f7d93b5-ae71-4c79-897f-f62c3bd8cc59}" ma:internalName="TaxCatchAll" ma:showField="CatchAllData" ma:web="95fd7547-aedc-4bed-86ba-343b1a9afd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eab35a-5131-497c-951c-5e307e1a4d16">
      <Terms xmlns="http://schemas.microsoft.com/office/infopath/2007/PartnerControls"/>
    </lcf76f155ced4ddcb4097134ff3c332f>
    <TaxCatchAll xmlns="95fd7547-aedc-4bed-86ba-343b1a9afdb9" xsi:nil="true"/>
  </documentManagement>
</p:properties>
</file>

<file path=customXml/itemProps1.xml><?xml version="1.0" encoding="utf-8"?>
<ds:datastoreItem xmlns:ds="http://schemas.openxmlformats.org/officeDocument/2006/customXml" ds:itemID="{29D42B9D-772C-4047-AF76-3A793A5A3078}"/>
</file>

<file path=customXml/itemProps2.xml><?xml version="1.0" encoding="utf-8"?>
<ds:datastoreItem xmlns:ds="http://schemas.openxmlformats.org/officeDocument/2006/customXml" ds:itemID="{3244A7CB-BD31-40AE-8E47-F0A86E445200}"/>
</file>

<file path=customXml/itemProps3.xml><?xml version="1.0" encoding="utf-8"?>
<ds:datastoreItem xmlns:ds="http://schemas.openxmlformats.org/officeDocument/2006/customXml" ds:itemID="{7213FE10-9635-485C-A0EC-DC431EF15D2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Ford, Laura (CDC/DDID/NCEZID/DFWED)</dc:creator>
  <cp:keywords/>
  <dc:description/>
  <cp:lastModifiedBy>Lammie, Samantha (CDC/DDPHSIS/CGH/DGHP)</cp:lastModifiedBy>
  <cp:revision>5</cp:revision>
  <dcterms:created xsi:type="dcterms:W3CDTF">2022-03-23T17:05:00Z</dcterms:created>
  <dcterms:modified xsi:type="dcterms:W3CDTF">2022-05-09T03:07:12Z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2022-03-23T17:07:31Z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076d2238-6754-49ca-8ae6-b759dae923ce</vt:lpwstr>
  </property>
  <property fmtid="{D5CDD505-2E9C-101B-9397-08002B2CF9AE}" pid="8" name="MSIP_Label_7b94a7b8-f06c-4dfe-bdcc-9b548fd58c31_ContentBits">
    <vt:lpwstr>0</vt:lpwstr>
  </property>
  <property fmtid="{D5CDD505-2E9C-101B-9397-08002B2CF9AE}" pid="9" name="ContentTypeId">
    <vt:lpwstr>0x010100F9AEF5C07ADB73498301CC970D1D48E6</vt:lpwstr>
  </property>
  <property fmtid="{D5CDD505-2E9C-101B-9397-08002B2CF9AE}" pid="10" name="MediaServiceImageTags">
    <vt:lpwstr/>
  </property>
</Properties>
</file>