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4B22" w14:textId="5F38B41E" w:rsidR="001718E7" w:rsidRPr="003C413E" w:rsidRDefault="00FC58F9" w:rsidP="006B6290">
      <w:pPr>
        <w:jc w:val="center"/>
        <w:rPr>
          <w:rFonts w:ascii="Times New Roman" w:hAnsi="Times New Roman" w:cs="Times New Roman"/>
          <w:b/>
          <w:bCs/>
          <w:sz w:val="28"/>
          <w:szCs w:val="28"/>
        </w:rPr>
      </w:pPr>
      <w:r w:rsidRPr="003C413E">
        <w:rPr>
          <w:rFonts w:ascii="Times New Roman" w:hAnsi="Times New Roman" w:cs="Times New Roman"/>
          <w:b/>
          <w:bCs/>
          <w:sz w:val="28"/>
          <w:szCs w:val="28"/>
        </w:rPr>
        <w:t>Estimated Incidence and Prevalence of</w:t>
      </w:r>
      <w:r w:rsidR="000E545D" w:rsidRPr="003C413E">
        <w:rPr>
          <w:rFonts w:ascii="Times New Roman" w:hAnsi="Times New Roman" w:cs="Times New Roman"/>
          <w:b/>
          <w:bCs/>
          <w:sz w:val="28"/>
          <w:szCs w:val="28"/>
        </w:rPr>
        <w:t xml:space="preserve"> Gonorrhea in the </w:t>
      </w:r>
      <w:r w:rsidR="001849D1" w:rsidRPr="003C413E">
        <w:rPr>
          <w:rFonts w:ascii="Times New Roman" w:hAnsi="Times New Roman" w:cs="Times New Roman"/>
          <w:b/>
          <w:bCs/>
          <w:sz w:val="28"/>
          <w:szCs w:val="28"/>
        </w:rPr>
        <w:br/>
      </w:r>
      <w:r w:rsidR="000E545D" w:rsidRPr="003C413E">
        <w:rPr>
          <w:rFonts w:ascii="Times New Roman" w:hAnsi="Times New Roman" w:cs="Times New Roman"/>
          <w:b/>
          <w:bCs/>
          <w:sz w:val="28"/>
          <w:szCs w:val="28"/>
        </w:rPr>
        <w:t>United States, 200</w:t>
      </w:r>
      <w:r w:rsidR="00307AC1" w:rsidRPr="003C413E">
        <w:rPr>
          <w:rFonts w:ascii="Times New Roman" w:hAnsi="Times New Roman" w:cs="Times New Roman"/>
          <w:b/>
          <w:bCs/>
          <w:sz w:val="28"/>
          <w:szCs w:val="28"/>
        </w:rPr>
        <w:t>6</w:t>
      </w:r>
      <w:r w:rsidR="000E545D" w:rsidRPr="003C413E">
        <w:rPr>
          <w:rFonts w:ascii="Times New Roman" w:hAnsi="Times New Roman" w:cs="Times New Roman"/>
          <w:b/>
          <w:bCs/>
          <w:sz w:val="28"/>
          <w:szCs w:val="28"/>
        </w:rPr>
        <w:t>-201</w:t>
      </w:r>
      <w:r w:rsidR="00BE54F3" w:rsidRPr="003C413E">
        <w:rPr>
          <w:rFonts w:ascii="Times New Roman" w:hAnsi="Times New Roman" w:cs="Times New Roman"/>
          <w:b/>
          <w:bCs/>
          <w:sz w:val="28"/>
          <w:szCs w:val="28"/>
        </w:rPr>
        <w:t>9</w:t>
      </w:r>
    </w:p>
    <w:p w14:paraId="0E97ABDF" w14:textId="09E97987" w:rsidR="0059613F" w:rsidRPr="003C413E" w:rsidRDefault="00162285" w:rsidP="001849D1">
      <w:pPr>
        <w:jc w:val="center"/>
        <w:rPr>
          <w:rFonts w:ascii="Times New Roman" w:hAnsi="Times New Roman" w:cs="Times New Roman"/>
          <w:b/>
          <w:bCs/>
          <w:sz w:val="28"/>
          <w:szCs w:val="28"/>
        </w:rPr>
      </w:pPr>
      <w:r w:rsidRPr="003C413E">
        <w:rPr>
          <w:rFonts w:ascii="Times New Roman" w:hAnsi="Times New Roman" w:cs="Times New Roman"/>
          <w:b/>
          <w:bCs/>
          <w:sz w:val="28"/>
          <w:szCs w:val="28"/>
        </w:rPr>
        <w:t>Modeling and Data Supplement</w:t>
      </w:r>
    </w:p>
    <w:p w14:paraId="7B740046" w14:textId="762EDE2E" w:rsidR="003739B6" w:rsidRPr="003C413E" w:rsidRDefault="0059613F" w:rsidP="00AA09DA">
      <w:pPr>
        <w:jc w:val="center"/>
        <w:rPr>
          <w:rFonts w:ascii="Times New Roman" w:hAnsi="Times New Roman" w:cs="Times New Roman"/>
        </w:rPr>
      </w:pPr>
      <w:r w:rsidRPr="003C413E">
        <w:rPr>
          <w:rFonts w:ascii="Times New Roman" w:hAnsi="Times New Roman" w:cs="Times New Roman"/>
        </w:rPr>
        <w:t>Pollock, Emily D; Clay, Patrick</w:t>
      </w:r>
      <w:r w:rsidR="00810FCA" w:rsidRPr="003C413E">
        <w:rPr>
          <w:rFonts w:ascii="Times New Roman" w:hAnsi="Times New Roman" w:cs="Times New Roman"/>
        </w:rPr>
        <w:t xml:space="preserve"> A</w:t>
      </w:r>
      <w:r w:rsidRPr="003C413E">
        <w:rPr>
          <w:rFonts w:ascii="Times New Roman" w:hAnsi="Times New Roman" w:cs="Times New Roman"/>
        </w:rPr>
        <w:t>; Kreisel, Kristen</w:t>
      </w:r>
      <w:r w:rsidR="007A66E7" w:rsidRPr="003C413E">
        <w:rPr>
          <w:rFonts w:ascii="Times New Roman" w:hAnsi="Times New Roman" w:cs="Times New Roman"/>
        </w:rPr>
        <w:t xml:space="preserve"> M</w:t>
      </w:r>
      <w:r w:rsidR="004548A7" w:rsidRPr="003C413E">
        <w:rPr>
          <w:rFonts w:ascii="Times New Roman" w:hAnsi="Times New Roman" w:cs="Times New Roman"/>
        </w:rPr>
        <w:t xml:space="preserve">; </w:t>
      </w:r>
      <w:r w:rsidRPr="003C413E">
        <w:rPr>
          <w:rFonts w:ascii="Times New Roman" w:hAnsi="Times New Roman" w:cs="Times New Roman"/>
        </w:rPr>
        <w:t>Spicknall, Ian H</w:t>
      </w:r>
    </w:p>
    <w:p w14:paraId="33A360D9" w14:textId="77777777" w:rsidR="008F75F5" w:rsidRPr="003C413E" w:rsidRDefault="008F75F5" w:rsidP="00AA09DA">
      <w:pPr>
        <w:jc w:val="center"/>
        <w:rPr>
          <w:rFonts w:ascii="Times New Roman" w:hAnsi="Times New Roman" w:cs="Times New Roman"/>
          <w:b/>
          <w:bCs/>
        </w:rPr>
      </w:pPr>
    </w:p>
    <w:sdt>
      <w:sdtPr>
        <w:rPr>
          <w:rFonts w:ascii="Times New Roman" w:eastAsiaTheme="minorHAnsi" w:hAnsi="Times New Roman" w:cs="Times New Roman"/>
          <w:color w:val="auto"/>
          <w:sz w:val="22"/>
          <w:szCs w:val="22"/>
        </w:rPr>
        <w:id w:val="77027916"/>
        <w:docPartObj>
          <w:docPartGallery w:val="Table of Contents"/>
          <w:docPartUnique/>
        </w:docPartObj>
      </w:sdtPr>
      <w:sdtEndPr>
        <w:rPr>
          <w:b/>
          <w:bCs/>
          <w:noProof/>
        </w:rPr>
      </w:sdtEndPr>
      <w:sdtContent>
        <w:p w14:paraId="65CFCF6E" w14:textId="56C9443D" w:rsidR="00BF139B" w:rsidRPr="003C413E" w:rsidRDefault="00BF139B">
          <w:pPr>
            <w:pStyle w:val="TOCHeading"/>
            <w:rPr>
              <w:rFonts w:ascii="Times New Roman" w:hAnsi="Times New Roman" w:cs="Times New Roman"/>
            </w:rPr>
          </w:pPr>
          <w:r w:rsidRPr="003C413E">
            <w:rPr>
              <w:rFonts w:ascii="Times New Roman" w:hAnsi="Times New Roman" w:cs="Times New Roman"/>
            </w:rPr>
            <w:t>Contents</w:t>
          </w:r>
        </w:p>
        <w:p w14:paraId="4EE4F205" w14:textId="1F84ADC2" w:rsidR="003C413E" w:rsidRPr="003C413E" w:rsidRDefault="00BF139B">
          <w:pPr>
            <w:pStyle w:val="TOC1"/>
            <w:tabs>
              <w:tab w:val="right" w:leader="dot" w:pos="9350"/>
            </w:tabs>
            <w:rPr>
              <w:rFonts w:ascii="Times New Roman" w:eastAsiaTheme="minorEastAsia" w:hAnsi="Times New Roman" w:cs="Times New Roman"/>
              <w:noProof/>
            </w:rPr>
          </w:pPr>
          <w:r w:rsidRPr="003C413E">
            <w:rPr>
              <w:rFonts w:ascii="Times New Roman" w:hAnsi="Times New Roman" w:cs="Times New Roman"/>
            </w:rPr>
            <w:fldChar w:fldCharType="begin"/>
          </w:r>
          <w:r w:rsidRPr="003C413E">
            <w:rPr>
              <w:rFonts w:ascii="Times New Roman" w:hAnsi="Times New Roman" w:cs="Times New Roman"/>
            </w:rPr>
            <w:instrText xml:space="preserve"> TOC \o "1-3" \h \z \u </w:instrText>
          </w:r>
          <w:r w:rsidRPr="003C413E">
            <w:rPr>
              <w:rFonts w:ascii="Times New Roman" w:hAnsi="Times New Roman" w:cs="Times New Roman"/>
            </w:rPr>
            <w:fldChar w:fldCharType="separate"/>
          </w:r>
          <w:hyperlink w:anchor="_Toc113956957" w:history="1">
            <w:r w:rsidR="003C413E" w:rsidRPr="003C413E">
              <w:rPr>
                <w:rStyle w:val="Hyperlink"/>
                <w:rFonts w:ascii="Times New Roman" w:hAnsi="Times New Roman" w:cs="Times New Roman"/>
                <w:noProof/>
              </w:rPr>
              <w:t>Supplementary Tables</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_Toc113956957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3</w:t>
            </w:r>
            <w:r w:rsidR="003C413E" w:rsidRPr="003C413E">
              <w:rPr>
                <w:rFonts w:ascii="Times New Roman" w:hAnsi="Times New Roman" w:cs="Times New Roman"/>
                <w:noProof/>
                <w:webHidden/>
              </w:rPr>
              <w:fldChar w:fldCharType="end"/>
            </w:r>
          </w:hyperlink>
        </w:p>
        <w:p w14:paraId="402583E1" w14:textId="7BEE664C" w:rsidR="003C413E" w:rsidRPr="003C413E" w:rsidRDefault="004535F4">
          <w:pPr>
            <w:pStyle w:val="TOC2"/>
            <w:tabs>
              <w:tab w:val="right" w:leader="dot" w:pos="9350"/>
            </w:tabs>
            <w:rPr>
              <w:rFonts w:ascii="Times New Roman" w:eastAsiaTheme="minorEastAsia" w:hAnsi="Times New Roman" w:cs="Times New Roman"/>
              <w:noProof/>
            </w:rPr>
          </w:pPr>
          <w:hyperlink w:anchor="_Toc113956958" w:history="1">
            <w:r w:rsidR="003C413E" w:rsidRPr="003C413E">
              <w:rPr>
                <w:rStyle w:val="Hyperlink"/>
                <w:rFonts w:ascii="Times New Roman" w:hAnsi="Times New Roman" w:cs="Times New Roman"/>
                <w:b/>
                <w:bCs/>
                <w:noProof/>
              </w:rPr>
              <w:t>Table S1: Number of Incident Gonococcal Infections, Among 15-39-Year-Olds, United States, 2006-2019</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_Toc113956958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3</w:t>
            </w:r>
            <w:r w:rsidR="003C413E" w:rsidRPr="003C413E">
              <w:rPr>
                <w:rFonts w:ascii="Times New Roman" w:hAnsi="Times New Roman" w:cs="Times New Roman"/>
                <w:noProof/>
                <w:webHidden/>
              </w:rPr>
              <w:fldChar w:fldCharType="end"/>
            </w:r>
          </w:hyperlink>
        </w:p>
        <w:p w14:paraId="7A413550" w14:textId="73396A26" w:rsidR="003C413E" w:rsidRPr="003C413E" w:rsidRDefault="004535F4">
          <w:pPr>
            <w:pStyle w:val="TOC2"/>
            <w:tabs>
              <w:tab w:val="right" w:leader="dot" w:pos="9350"/>
            </w:tabs>
            <w:rPr>
              <w:rFonts w:ascii="Times New Roman" w:eastAsiaTheme="minorEastAsia" w:hAnsi="Times New Roman" w:cs="Times New Roman"/>
              <w:noProof/>
            </w:rPr>
          </w:pPr>
          <w:hyperlink w:anchor="_Toc113956959" w:history="1">
            <w:r w:rsidR="003C413E" w:rsidRPr="003C413E">
              <w:rPr>
                <w:rStyle w:val="Hyperlink"/>
                <w:rFonts w:ascii="Times New Roman" w:hAnsi="Times New Roman" w:cs="Times New Roman"/>
                <w:b/>
                <w:bCs/>
                <w:noProof/>
              </w:rPr>
              <w:t>Table S2: Number of Prevalent Gonococcal Infections, Among 15-39-Year-Olds, United States, 2006-2019</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_Toc113956959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4</w:t>
            </w:r>
            <w:r w:rsidR="003C413E" w:rsidRPr="003C413E">
              <w:rPr>
                <w:rFonts w:ascii="Times New Roman" w:hAnsi="Times New Roman" w:cs="Times New Roman"/>
                <w:noProof/>
                <w:webHidden/>
              </w:rPr>
              <w:fldChar w:fldCharType="end"/>
            </w:r>
          </w:hyperlink>
        </w:p>
        <w:p w14:paraId="32A73174" w14:textId="15E321E6" w:rsidR="003C413E" w:rsidRPr="003C413E" w:rsidRDefault="004535F4">
          <w:pPr>
            <w:pStyle w:val="TOC1"/>
            <w:tabs>
              <w:tab w:val="right" w:leader="dot" w:pos="9350"/>
            </w:tabs>
            <w:rPr>
              <w:rFonts w:ascii="Times New Roman" w:eastAsiaTheme="minorEastAsia" w:hAnsi="Times New Roman" w:cs="Times New Roman"/>
              <w:noProof/>
            </w:rPr>
          </w:pPr>
          <w:hyperlink w:anchor="_Toc113956960" w:history="1">
            <w:r w:rsidR="003C413E" w:rsidRPr="003C413E">
              <w:rPr>
                <w:rStyle w:val="Hyperlink"/>
                <w:rFonts w:ascii="Times New Roman" w:hAnsi="Times New Roman" w:cs="Times New Roman"/>
                <w:noProof/>
              </w:rPr>
              <w:t>Sensitivity Analyses</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_Toc113956960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5</w:t>
            </w:r>
            <w:r w:rsidR="003C413E" w:rsidRPr="003C413E">
              <w:rPr>
                <w:rFonts w:ascii="Times New Roman" w:hAnsi="Times New Roman" w:cs="Times New Roman"/>
                <w:noProof/>
                <w:webHidden/>
              </w:rPr>
              <w:fldChar w:fldCharType="end"/>
            </w:r>
          </w:hyperlink>
        </w:p>
        <w:p w14:paraId="5320FE7D" w14:textId="777D059B" w:rsidR="003C413E" w:rsidRPr="003C413E" w:rsidRDefault="004535F4">
          <w:pPr>
            <w:pStyle w:val="TOC2"/>
            <w:tabs>
              <w:tab w:val="right" w:leader="dot" w:pos="9350"/>
            </w:tabs>
            <w:rPr>
              <w:rFonts w:ascii="Times New Roman" w:eastAsiaTheme="minorEastAsia" w:hAnsi="Times New Roman" w:cs="Times New Roman"/>
              <w:noProof/>
            </w:rPr>
          </w:pPr>
          <w:hyperlink w:anchor="_Toc113956961" w:history="1">
            <w:r w:rsidR="003C413E" w:rsidRPr="003C413E">
              <w:rPr>
                <w:rStyle w:val="Hyperlink"/>
                <w:rFonts w:ascii="Times New Roman" w:hAnsi="Times New Roman" w:cs="Times New Roman"/>
                <w:b/>
                <w:bCs/>
                <w:noProof/>
              </w:rPr>
              <w:t>Figure S1: Varying vs. Static Screening Rate (σ)</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_Toc113956961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5</w:t>
            </w:r>
            <w:r w:rsidR="003C413E" w:rsidRPr="003C413E">
              <w:rPr>
                <w:rFonts w:ascii="Times New Roman" w:hAnsi="Times New Roman" w:cs="Times New Roman"/>
                <w:noProof/>
                <w:webHidden/>
              </w:rPr>
              <w:fldChar w:fldCharType="end"/>
            </w:r>
          </w:hyperlink>
        </w:p>
        <w:p w14:paraId="33CFE8F6" w14:textId="4DAC5F21" w:rsidR="003C413E" w:rsidRPr="003C413E" w:rsidRDefault="004535F4">
          <w:pPr>
            <w:pStyle w:val="TOC2"/>
            <w:tabs>
              <w:tab w:val="right" w:leader="dot" w:pos="9350"/>
            </w:tabs>
            <w:rPr>
              <w:rFonts w:ascii="Times New Roman" w:eastAsiaTheme="minorEastAsia" w:hAnsi="Times New Roman" w:cs="Times New Roman"/>
              <w:noProof/>
            </w:rPr>
          </w:pPr>
          <w:hyperlink w:anchor="_Toc113956962" w:history="1">
            <w:r w:rsidR="003C413E" w:rsidRPr="003C413E">
              <w:rPr>
                <w:rStyle w:val="Hyperlink"/>
                <w:rFonts w:ascii="Times New Roman" w:hAnsi="Times New Roman" w:cs="Times New Roman"/>
                <w:b/>
                <w:bCs/>
                <w:noProof/>
              </w:rPr>
              <w:t>Figure S2: Varying vs. Static Case Reporting Rate (ρ)</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_Toc113956962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6</w:t>
            </w:r>
            <w:r w:rsidR="003C413E" w:rsidRPr="003C413E">
              <w:rPr>
                <w:rFonts w:ascii="Times New Roman" w:hAnsi="Times New Roman" w:cs="Times New Roman"/>
                <w:noProof/>
                <w:webHidden/>
              </w:rPr>
              <w:fldChar w:fldCharType="end"/>
            </w:r>
          </w:hyperlink>
        </w:p>
        <w:p w14:paraId="4A290041" w14:textId="689CA8BF" w:rsidR="003C413E" w:rsidRPr="003C413E" w:rsidRDefault="004535F4">
          <w:pPr>
            <w:pStyle w:val="TOC1"/>
            <w:tabs>
              <w:tab w:val="right" w:leader="dot" w:pos="9350"/>
            </w:tabs>
            <w:rPr>
              <w:rFonts w:ascii="Times New Roman" w:eastAsiaTheme="minorEastAsia" w:hAnsi="Times New Roman" w:cs="Times New Roman"/>
              <w:noProof/>
            </w:rPr>
          </w:pPr>
          <w:hyperlink w:anchor="_Toc113956963" w:history="1">
            <w:r w:rsidR="003C413E" w:rsidRPr="003C413E">
              <w:rPr>
                <w:rStyle w:val="Hyperlink"/>
                <w:rFonts w:ascii="Times New Roman" w:hAnsi="Times New Roman" w:cs="Times New Roman"/>
                <w:noProof/>
              </w:rPr>
              <w:t>Modeling Framework</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_Toc113956963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7</w:t>
            </w:r>
            <w:r w:rsidR="003C413E" w:rsidRPr="003C413E">
              <w:rPr>
                <w:rFonts w:ascii="Times New Roman" w:hAnsi="Times New Roman" w:cs="Times New Roman"/>
                <w:noProof/>
                <w:webHidden/>
              </w:rPr>
              <w:fldChar w:fldCharType="end"/>
            </w:r>
          </w:hyperlink>
        </w:p>
        <w:p w14:paraId="21FBA41E" w14:textId="25F0476E" w:rsidR="003C413E" w:rsidRPr="003C413E" w:rsidRDefault="004535F4">
          <w:pPr>
            <w:pStyle w:val="TOC2"/>
            <w:tabs>
              <w:tab w:val="right" w:leader="dot" w:pos="9350"/>
            </w:tabs>
            <w:rPr>
              <w:rFonts w:ascii="Times New Roman" w:eastAsiaTheme="minorEastAsia" w:hAnsi="Times New Roman" w:cs="Times New Roman"/>
              <w:noProof/>
            </w:rPr>
          </w:pPr>
          <w:hyperlink w:anchor="_Toc113956964" w:history="1">
            <w:r w:rsidR="003C413E" w:rsidRPr="003C413E">
              <w:rPr>
                <w:rStyle w:val="Hyperlink"/>
                <w:rFonts w:ascii="Times New Roman" w:hAnsi="Times New Roman" w:cs="Times New Roman"/>
                <w:noProof/>
              </w:rPr>
              <w:t>Overview</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_Toc113956964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7</w:t>
            </w:r>
            <w:r w:rsidR="003C413E" w:rsidRPr="003C413E">
              <w:rPr>
                <w:rFonts w:ascii="Times New Roman" w:hAnsi="Times New Roman" w:cs="Times New Roman"/>
                <w:noProof/>
                <w:webHidden/>
              </w:rPr>
              <w:fldChar w:fldCharType="end"/>
            </w:r>
          </w:hyperlink>
        </w:p>
        <w:p w14:paraId="4DD3D8F5" w14:textId="731B607B" w:rsidR="003C413E" w:rsidRPr="003C413E" w:rsidRDefault="004535F4">
          <w:pPr>
            <w:pStyle w:val="TOC2"/>
            <w:tabs>
              <w:tab w:val="right" w:leader="dot" w:pos="9350"/>
            </w:tabs>
            <w:rPr>
              <w:rFonts w:ascii="Times New Roman" w:eastAsiaTheme="minorEastAsia" w:hAnsi="Times New Roman" w:cs="Times New Roman"/>
              <w:noProof/>
            </w:rPr>
          </w:pPr>
          <w:hyperlink w:anchor="_Toc113956965" w:history="1">
            <w:r w:rsidR="003C413E" w:rsidRPr="003C413E">
              <w:rPr>
                <w:rStyle w:val="Hyperlink"/>
                <w:rFonts w:ascii="Times New Roman" w:hAnsi="Times New Roman" w:cs="Times New Roman"/>
                <w:noProof/>
              </w:rPr>
              <w:t>GC Natural history</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_Toc113956965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7</w:t>
            </w:r>
            <w:r w:rsidR="003C413E" w:rsidRPr="003C413E">
              <w:rPr>
                <w:rFonts w:ascii="Times New Roman" w:hAnsi="Times New Roman" w:cs="Times New Roman"/>
                <w:noProof/>
                <w:webHidden/>
              </w:rPr>
              <w:fldChar w:fldCharType="end"/>
            </w:r>
          </w:hyperlink>
        </w:p>
        <w:p w14:paraId="53370279" w14:textId="48DF49FD" w:rsidR="003C413E" w:rsidRPr="003C413E" w:rsidRDefault="004535F4">
          <w:pPr>
            <w:pStyle w:val="TOC2"/>
            <w:tabs>
              <w:tab w:val="right" w:leader="dot" w:pos="9350"/>
            </w:tabs>
            <w:rPr>
              <w:rFonts w:ascii="Times New Roman" w:eastAsiaTheme="minorEastAsia" w:hAnsi="Times New Roman" w:cs="Times New Roman"/>
              <w:noProof/>
            </w:rPr>
          </w:pPr>
          <w:hyperlink w:anchor="_Toc113956966" w:history="1">
            <w:r w:rsidR="003C413E" w:rsidRPr="003C413E">
              <w:rPr>
                <w:rStyle w:val="Hyperlink"/>
                <w:rFonts w:ascii="Times New Roman" w:hAnsi="Times New Roman" w:cs="Times New Roman"/>
                <w:noProof/>
              </w:rPr>
              <w:t>Infection</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_Toc113956966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7</w:t>
            </w:r>
            <w:r w:rsidR="003C413E" w:rsidRPr="003C413E">
              <w:rPr>
                <w:rFonts w:ascii="Times New Roman" w:hAnsi="Times New Roman" w:cs="Times New Roman"/>
                <w:noProof/>
                <w:webHidden/>
              </w:rPr>
              <w:fldChar w:fldCharType="end"/>
            </w:r>
          </w:hyperlink>
        </w:p>
        <w:p w14:paraId="0066C323" w14:textId="7134FFE8" w:rsidR="003C413E" w:rsidRPr="003C413E" w:rsidRDefault="004535F4">
          <w:pPr>
            <w:pStyle w:val="TOC2"/>
            <w:tabs>
              <w:tab w:val="right" w:leader="dot" w:pos="9350"/>
            </w:tabs>
            <w:rPr>
              <w:rFonts w:ascii="Times New Roman" w:eastAsiaTheme="minorEastAsia" w:hAnsi="Times New Roman" w:cs="Times New Roman"/>
              <w:noProof/>
            </w:rPr>
          </w:pPr>
          <w:hyperlink w:anchor="_Toc113956967" w:history="1">
            <w:r w:rsidR="003C413E" w:rsidRPr="003C413E">
              <w:rPr>
                <w:rStyle w:val="Hyperlink"/>
                <w:rFonts w:ascii="Times New Roman" w:hAnsi="Times New Roman" w:cs="Times New Roman"/>
                <w:noProof/>
              </w:rPr>
              <w:t>Recovery as a result of natural clearance</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_Toc113956967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7</w:t>
            </w:r>
            <w:r w:rsidR="003C413E" w:rsidRPr="003C413E">
              <w:rPr>
                <w:rFonts w:ascii="Times New Roman" w:hAnsi="Times New Roman" w:cs="Times New Roman"/>
                <w:noProof/>
                <w:webHidden/>
              </w:rPr>
              <w:fldChar w:fldCharType="end"/>
            </w:r>
          </w:hyperlink>
        </w:p>
        <w:p w14:paraId="0158CDC4" w14:textId="6ECC476E" w:rsidR="003C413E" w:rsidRPr="003C413E" w:rsidRDefault="004535F4">
          <w:pPr>
            <w:pStyle w:val="TOC2"/>
            <w:tabs>
              <w:tab w:val="right" w:leader="dot" w:pos="9350"/>
            </w:tabs>
            <w:rPr>
              <w:rFonts w:ascii="Times New Roman" w:eastAsiaTheme="minorEastAsia" w:hAnsi="Times New Roman" w:cs="Times New Roman"/>
              <w:noProof/>
            </w:rPr>
          </w:pPr>
          <w:hyperlink w:anchor="_Toc113956968" w:history="1">
            <w:r w:rsidR="003C413E" w:rsidRPr="003C413E">
              <w:rPr>
                <w:rStyle w:val="Hyperlink"/>
                <w:rFonts w:ascii="Times New Roman" w:hAnsi="Times New Roman" w:cs="Times New Roman"/>
                <w:noProof/>
              </w:rPr>
              <w:t>Recovery as a result of symptomatic treatment seeking</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_Toc113956968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7</w:t>
            </w:r>
            <w:r w:rsidR="003C413E" w:rsidRPr="003C413E">
              <w:rPr>
                <w:rFonts w:ascii="Times New Roman" w:hAnsi="Times New Roman" w:cs="Times New Roman"/>
                <w:noProof/>
                <w:webHidden/>
              </w:rPr>
              <w:fldChar w:fldCharType="end"/>
            </w:r>
          </w:hyperlink>
        </w:p>
        <w:p w14:paraId="46DA8696" w14:textId="3A6D2B89" w:rsidR="003C413E" w:rsidRPr="003C413E" w:rsidRDefault="004535F4">
          <w:pPr>
            <w:pStyle w:val="TOC2"/>
            <w:tabs>
              <w:tab w:val="right" w:leader="dot" w:pos="9350"/>
            </w:tabs>
            <w:rPr>
              <w:rFonts w:ascii="Times New Roman" w:eastAsiaTheme="minorEastAsia" w:hAnsi="Times New Roman" w:cs="Times New Roman"/>
              <w:noProof/>
            </w:rPr>
          </w:pPr>
          <w:hyperlink w:anchor="_Toc113956969" w:history="1">
            <w:r w:rsidR="003C413E" w:rsidRPr="003C413E">
              <w:rPr>
                <w:rStyle w:val="Hyperlink"/>
                <w:rFonts w:ascii="Times New Roman" w:hAnsi="Times New Roman" w:cs="Times New Roman"/>
                <w:noProof/>
              </w:rPr>
              <w:t>Recovery due to background screening</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_Toc113956969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8</w:t>
            </w:r>
            <w:r w:rsidR="003C413E" w:rsidRPr="003C413E">
              <w:rPr>
                <w:rFonts w:ascii="Times New Roman" w:hAnsi="Times New Roman" w:cs="Times New Roman"/>
                <w:noProof/>
                <w:webHidden/>
              </w:rPr>
              <w:fldChar w:fldCharType="end"/>
            </w:r>
          </w:hyperlink>
        </w:p>
        <w:p w14:paraId="4869FB0D" w14:textId="75C5DF5C" w:rsidR="003C413E" w:rsidRPr="003C413E" w:rsidRDefault="004535F4">
          <w:pPr>
            <w:pStyle w:val="TOC2"/>
            <w:tabs>
              <w:tab w:val="right" w:leader="dot" w:pos="9350"/>
            </w:tabs>
            <w:rPr>
              <w:rFonts w:ascii="Times New Roman" w:eastAsiaTheme="minorEastAsia" w:hAnsi="Times New Roman" w:cs="Times New Roman"/>
              <w:noProof/>
            </w:rPr>
          </w:pPr>
          <w:hyperlink w:anchor="_Toc113956970" w:history="1">
            <w:r w:rsidR="003C413E" w:rsidRPr="003C413E">
              <w:rPr>
                <w:rStyle w:val="Hyperlink"/>
                <w:rFonts w:ascii="Times New Roman" w:hAnsi="Times New Roman" w:cs="Times New Roman"/>
                <w:noProof/>
              </w:rPr>
              <w:t>GC natural history equations</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_Toc113956970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8</w:t>
            </w:r>
            <w:r w:rsidR="003C413E" w:rsidRPr="003C413E">
              <w:rPr>
                <w:rFonts w:ascii="Times New Roman" w:hAnsi="Times New Roman" w:cs="Times New Roman"/>
                <w:noProof/>
                <w:webHidden/>
              </w:rPr>
              <w:fldChar w:fldCharType="end"/>
            </w:r>
          </w:hyperlink>
        </w:p>
        <w:p w14:paraId="24D0F69E" w14:textId="5F696575" w:rsidR="003C413E" w:rsidRPr="003C413E" w:rsidRDefault="004535F4">
          <w:pPr>
            <w:pStyle w:val="TOC2"/>
            <w:tabs>
              <w:tab w:val="right" w:leader="dot" w:pos="9350"/>
            </w:tabs>
            <w:rPr>
              <w:rFonts w:ascii="Times New Roman" w:eastAsiaTheme="minorEastAsia" w:hAnsi="Times New Roman" w:cs="Times New Roman"/>
              <w:noProof/>
            </w:rPr>
          </w:pPr>
          <w:hyperlink w:anchor="_Toc113956971" w:history="1">
            <w:r w:rsidR="003C413E" w:rsidRPr="003C413E">
              <w:rPr>
                <w:rStyle w:val="Hyperlink"/>
                <w:rFonts w:ascii="Times New Roman" w:hAnsi="Times New Roman" w:cs="Times New Roman"/>
                <w:noProof/>
              </w:rPr>
              <w:t>Point prevalence equation</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_Toc113956971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8</w:t>
            </w:r>
            <w:r w:rsidR="003C413E" w:rsidRPr="003C413E">
              <w:rPr>
                <w:rFonts w:ascii="Times New Roman" w:hAnsi="Times New Roman" w:cs="Times New Roman"/>
                <w:noProof/>
                <w:webHidden/>
              </w:rPr>
              <w:fldChar w:fldCharType="end"/>
            </w:r>
          </w:hyperlink>
        </w:p>
        <w:p w14:paraId="7F91DD84" w14:textId="67A15E61" w:rsidR="003C413E" w:rsidRPr="003C413E" w:rsidRDefault="004535F4">
          <w:pPr>
            <w:pStyle w:val="TOC2"/>
            <w:tabs>
              <w:tab w:val="right" w:leader="dot" w:pos="9350"/>
            </w:tabs>
            <w:rPr>
              <w:rFonts w:ascii="Times New Roman" w:eastAsiaTheme="minorEastAsia" w:hAnsi="Times New Roman" w:cs="Times New Roman"/>
              <w:noProof/>
            </w:rPr>
          </w:pPr>
          <w:hyperlink w:anchor="_Toc113956972" w:history="1">
            <w:r w:rsidR="003C413E" w:rsidRPr="003C413E">
              <w:rPr>
                <w:rStyle w:val="Hyperlink"/>
                <w:rFonts w:ascii="Times New Roman" w:hAnsi="Times New Roman" w:cs="Times New Roman"/>
                <w:noProof/>
              </w:rPr>
              <w:t>Population size equation</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_Toc113956972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9</w:t>
            </w:r>
            <w:r w:rsidR="003C413E" w:rsidRPr="003C413E">
              <w:rPr>
                <w:rFonts w:ascii="Times New Roman" w:hAnsi="Times New Roman" w:cs="Times New Roman"/>
                <w:noProof/>
                <w:webHidden/>
              </w:rPr>
              <w:fldChar w:fldCharType="end"/>
            </w:r>
          </w:hyperlink>
        </w:p>
        <w:p w14:paraId="19EC1428" w14:textId="1C5191CB" w:rsidR="003C413E" w:rsidRPr="003C413E" w:rsidRDefault="004535F4">
          <w:pPr>
            <w:pStyle w:val="TOC2"/>
            <w:tabs>
              <w:tab w:val="right" w:leader="dot" w:pos="9350"/>
            </w:tabs>
            <w:rPr>
              <w:rFonts w:ascii="Times New Roman" w:eastAsiaTheme="minorEastAsia" w:hAnsi="Times New Roman" w:cs="Times New Roman"/>
              <w:noProof/>
            </w:rPr>
          </w:pPr>
          <w:hyperlink w:anchor="_Toc113956973" w:history="1">
            <w:r w:rsidR="003C413E" w:rsidRPr="003C413E">
              <w:rPr>
                <w:rStyle w:val="Hyperlink"/>
                <w:rFonts w:ascii="Times New Roman" w:hAnsi="Times New Roman" w:cs="Times New Roman"/>
                <w:noProof/>
              </w:rPr>
              <w:t>Case reporting equation</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_Toc113956973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9</w:t>
            </w:r>
            <w:r w:rsidR="003C413E" w:rsidRPr="003C413E">
              <w:rPr>
                <w:rFonts w:ascii="Times New Roman" w:hAnsi="Times New Roman" w:cs="Times New Roman"/>
                <w:noProof/>
                <w:webHidden/>
              </w:rPr>
              <w:fldChar w:fldCharType="end"/>
            </w:r>
          </w:hyperlink>
        </w:p>
        <w:p w14:paraId="10CDF81C" w14:textId="46C7955C" w:rsidR="003C413E" w:rsidRPr="003C413E" w:rsidRDefault="004535F4">
          <w:pPr>
            <w:pStyle w:val="TOC2"/>
            <w:tabs>
              <w:tab w:val="right" w:leader="dot" w:pos="9350"/>
            </w:tabs>
            <w:rPr>
              <w:rFonts w:ascii="Times New Roman" w:eastAsiaTheme="minorEastAsia" w:hAnsi="Times New Roman" w:cs="Times New Roman"/>
              <w:noProof/>
            </w:rPr>
          </w:pPr>
          <w:hyperlink w:anchor="_Toc113956974" w:history="1">
            <w:r w:rsidR="003C413E" w:rsidRPr="003C413E">
              <w:rPr>
                <w:rStyle w:val="Hyperlink"/>
                <w:rFonts w:ascii="Times New Roman" w:hAnsi="Times New Roman" w:cs="Times New Roman"/>
                <w:noProof/>
              </w:rPr>
              <w:t>Description of state space and parameters</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_Toc113956974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9</w:t>
            </w:r>
            <w:r w:rsidR="003C413E" w:rsidRPr="003C413E">
              <w:rPr>
                <w:rFonts w:ascii="Times New Roman" w:hAnsi="Times New Roman" w:cs="Times New Roman"/>
                <w:noProof/>
                <w:webHidden/>
              </w:rPr>
              <w:fldChar w:fldCharType="end"/>
            </w:r>
          </w:hyperlink>
        </w:p>
        <w:p w14:paraId="48B3F8C7" w14:textId="5CEAE9BC" w:rsidR="003C413E" w:rsidRPr="003C413E" w:rsidRDefault="004535F4">
          <w:pPr>
            <w:pStyle w:val="TOC1"/>
            <w:tabs>
              <w:tab w:val="right" w:leader="dot" w:pos="9350"/>
            </w:tabs>
            <w:rPr>
              <w:rFonts w:ascii="Times New Roman" w:eastAsiaTheme="minorEastAsia" w:hAnsi="Times New Roman" w:cs="Times New Roman"/>
              <w:noProof/>
            </w:rPr>
          </w:pPr>
          <w:hyperlink w:anchor="_Toc113956975" w:history="1">
            <w:r w:rsidR="003C413E" w:rsidRPr="003C413E">
              <w:rPr>
                <w:rStyle w:val="Hyperlink"/>
                <w:rFonts w:ascii="Times New Roman" w:hAnsi="Times New Roman" w:cs="Times New Roman"/>
                <w:noProof/>
              </w:rPr>
              <w:t>GC equation solving</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_Toc113956975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10</w:t>
            </w:r>
            <w:r w:rsidR="003C413E" w:rsidRPr="003C413E">
              <w:rPr>
                <w:rFonts w:ascii="Times New Roman" w:hAnsi="Times New Roman" w:cs="Times New Roman"/>
                <w:noProof/>
                <w:webHidden/>
              </w:rPr>
              <w:fldChar w:fldCharType="end"/>
            </w:r>
          </w:hyperlink>
        </w:p>
        <w:p w14:paraId="3B5BC362" w14:textId="09FACF63" w:rsidR="003C413E" w:rsidRPr="003C413E" w:rsidRDefault="004535F4">
          <w:pPr>
            <w:pStyle w:val="TOC1"/>
            <w:tabs>
              <w:tab w:val="right" w:leader="dot" w:pos="9350"/>
            </w:tabs>
            <w:rPr>
              <w:rFonts w:ascii="Times New Roman" w:eastAsiaTheme="minorEastAsia" w:hAnsi="Times New Roman" w:cs="Times New Roman"/>
              <w:noProof/>
            </w:rPr>
          </w:pPr>
          <w:hyperlink w:anchor="_Toc113956976" w:history="1">
            <w:r w:rsidR="003C413E" w:rsidRPr="003C413E">
              <w:rPr>
                <w:rStyle w:val="Hyperlink"/>
                <w:rFonts w:ascii="Times New Roman" w:hAnsi="Times New Roman" w:cs="Times New Roman"/>
                <w:noProof/>
              </w:rPr>
              <w:t>Data Inputs</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_Toc113956976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13</w:t>
            </w:r>
            <w:r w:rsidR="003C413E" w:rsidRPr="003C413E">
              <w:rPr>
                <w:rFonts w:ascii="Times New Roman" w:hAnsi="Times New Roman" w:cs="Times New Roman"/>
                <w:noProof/>
                <w:webHidden/>
              </w:rPr>
              <w:fldChar w:fldCharType="end"/>
            </w:r>
          </w:hyperlink>
        </w:p>
        <w:p w14:paraId="4A635F51" w14:textId="16E9C346" w:rsidR="003C413E" w:rsidRPr="003C413E" w:rsidRDefault="004535F4">
          <w:pPr>
            <w:pStyle w:val="TOC2"/>
            <w:tabs>
              <w:tab w:val="right" w:leader="dot" w:pos="9350"/>
            </w:tabs>
            <w:rPr>
              <w:rFonts w:ascii="Times New Roman" w:eastAsiaTheme="minorEastAsia" w:hAnsi="Times New Roman" w:cs="Times New Roman"/>
              <w:noProof/>
            </w:rPr>
          </w:pPr>
          <w:hyperlink w:anchor="_Toc113956977" w:history="1">
            <w:r w:rsidR="003C413E" w:rsidRPr="003C413E">
              <w:rPr>
                <w:rStyle w:val="Hyperlink"/>
                <w:rFonts w:ascii="Times New Roman" w:hAnsi="Times New Roman" w:cs="Times New Roman"/>
                <w:b/>
                <w:bCs/>
                <w:noProof/>
              </w:rPr>
              <w:t>Table S3: Input Parameters Overview</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_Toc113956977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13</w:t>
            </w:r>
            <w:r w:rsidR="003C413E" w:rsidRPr="003C413E">
              <w:rPr>
                <w:rFonts w:ascii="Times New Roman" w:hAnsi="Times New Roman" w:cs="Times New Roman"/>
                <w:noProof/>
                <w:webHidden/>
              </w:rPr>
              <w:fldChar w:fldCharType="end"/>
            </w:r>
          </w:hyperlink>
        </w:p>
        <w:p w14:paraId="614C82A9" w14:textId="214F0C6A" w:rsidR="003C413E" w:rsidRPr="003C413E" w:rsidRDefault="004535F4">
          <w:pPr>
            <w:pStyle w:val="TOC2"/>
            <w:tabs>
              <w:tab w:val="right" w:leader="dot" w:pos="9350"/>
            </w:tabs>
            <w:rPr>
              <w:rFonts w:ascii="Times New Roman" w:eastAsiaTheme="minorEastAsia" w:hAnsi="Times New Roman" w:cs="Times New Roman"/>
              <w:noProof/>
            </w:rPr>
          </w:pPr>
          <w:hyperlink w:anchor="_Toc113956978" w:history="1">
            <w:r w:rsidR="003C413E" w:rsidRPr="003C413E">
              <w:rPr>
                <w:rStyle w:val="Hyperlink"/>
                <w:rFonts w:ascii="Times New Roman" w:hAnsi="Times New Roman" w:cs="Times New Roman"/>
                <w:noProof/>
              </w:rPr>
              <w:t>Population Size (N)</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_Toc113956978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14</w:t>
            </w:r>
            <w:r w:rsidR="003C413E" w:rsidRPr="003C413E">
              <w:rPr>
                <w:rFonts w:ascii="Times New Roman" w:hAnsi="Times New Roman" w:cs="Times New Roman"/>
                <w:noProof/>
                <w:webHidden/>
              </w:rPr>
              <w:fldChar w:fldCharType="end"/>
            </w:r>
          </w:hyperlink>
        </w:p>
        <w:p w14:paraId="4F3D7E3C" w14:textId="77CCE8AF" w:rsidR="003C413E" w:rsidRPr="003C413E" w:rsidRDefault="004535F4">
          <w:pPr>
            <w:pStyle w:val="TOC3"/>
            <w:rPr>
              <w:rFonts w:ascii="Times New Roman" w:eastAsiaTheme="minorEastAsia" w:hAnsi="Times New Roman" w:cs="Times New Roman"/>
              <w:b w:val="0"/>
              <w:bCs w:val="0"/>
            </w:rPr>
          </w:pPr>
          <w:hyperlink w:anchor="_Toc113956979" w:history="1">
            <w:r w:rsidR="003C413E" w:rsidRPr="003C413E">
              <w:rPr>
                <w:rStyle w:val="Hyperlink"/>
                <w:rFonts w:ascii="Times New Roman" w:hAnsi="Times New Roman" w:cs="Times New Roman"/>
              </w:rPr>
              <w:t>Table S4 : Population Sizes from ACS, 2006-2019</w:t>
            </w:r>
            <w:r w:rsidR="003C413E" w:rsidRPr="003C413E">
              <w:rPr>
                <w:rFonts w:ascii="Times New Roman" w:hAnsi="Times New Roman" w:cs="Times New Roman"/>
                <w:webHidden/>
              </w:rPr>
              <w:tab/>
            </w:r>
            <w:r w:rsidR="003C413E" w:rsidRPr="003C413E">
              <w:rPr>
                <w:rFonts w:ascii="Times New Roman" w:hAnsi="Times New Roman" w:cs="Times New Roman"/>
                <w:webHidden/>
              </w:rPr>
              <w:fldChar w:fldCharType="begin"/>
            </w:r>
            <w:r w:rsidR="003C413E" w:rsidRPr="003C413E">
              <w:rPr>
                <w:rFonts w:ascii="Times New Roman" w:hAnsi="Times New Roman" w:cs="Times New Roman"/>
                <w:webHidden/>
              </w:rPr>
              <w:instrText xml:space="preserve"> PAGEREF _Toc113956979 \h </w:instrText>
            </w:r>
            <w:r w:rsidR="003C413E" w:rsidRPr="003C413E">
              <w:rPr>
                <w:rFonts w:ascii="Times New Roman" w:hAnsi="Times New Roman" w:cs="Times New Roman"/>
                <w:webHidden/>
              </w:rPr>
            </w:r>
            <w:r w:rsidR="003C413E" w:rsidRPr="003C413E">
              <w:rPr>
                <w:rFonts w:ascii="Times New Roman" w:hAnsi="Times New Roman" w:cs="Times New Roman"/>
                <w:webHidden/>
              </w:rPr>
              <w:fldChar w:fldCharType="separate"/>
            </w:r>
            <w:r w:rsidR="003C413E" w:rsidRPr="003C413E">
              <w:rPr>
                <w:rFonts w:ascii="Times New Roman" w:hAnsi="Times New Roman" w:cs="Times New Roman"/>
                <w:webHidden/>
              </w:rPr>
              <w:t>14</w:t>
            </w:r>
            <w:r w:rsidR="003C413E" w:rsidRPr="003C413E">
              <w:rPr>
                <w:rFonts w:ascii="Times New Roman" w:hAnsi="Times New Roman" w:cs="Times New Roman"/>
                <w:webHidden/>
              </w:rPr>
              <w:fldChar w:fldCharType="end"/>
            </w:r>
          </w:hyperlink>
        </w:p>
        <w:p w14:paraId="0520B2C5" w14:textId="014BB3A5" w:rsidR="003C413E" w:rsidRPr="003C413E" w:rsidRDefault="004535F4">
          <w:pPr>
            <w:pStyle w:val="TOC2"/>
            <w:tabs>
              <w:tab w:val="right" w:leader="dot" w:pos="9350"/>
            </w:tabs>
            <w:rPr>
              <w:rFonts w:ascii="Times New Roman" w:eastAsiaTheme="minorEastAsia" w:hAnsi="Times New Roman" w:cs="Times New Roman"/>
              <w:noProof/>
            </w:rPr>
          </w:pPr>
          <w:hyperlink w:anchor="_Toc113956980" w:history="1">
            <w:r w:rsidR="003C413E" w:rsidRPr="003C413E">
              <w:rPr>
                <w:rStyle w:val="Hyperlink"/>
                <w:rFonts w:ascii="Times New Roman" w:hAnsi="Times New Roman" w:cs="Times New Roman"/>
                <w:noProof/>
              </w:rPr>
              <w:t>Number of Case Reports (κ)</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_Toc113956980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15</w:t>
            </w:r>
            <w:r w:rsidR="003C413E" w:rsidRPr="003C413E">
              <w:rPr>
                <w:rFonts w:ascii="Times New Roman" w:hAnsi="Times New Roman" w:cs="Times New Roman"/>
                <w:noProof/>
                <w:webHidden/>
              </w:rPr>
              <w:fldChar w:fldCharType="end"/>
            </w:r>
          </w:hyperlink>
        </w:p>
        <w:p w14:paraId="5276E36A" w14:textId="3F80A0EC" w:rsidR="003C413E" w:rsidRPr="003C413E" w:rsidRDefault="004535F4">
          <w:pPr>
            <w:pStyle w:val="TOC3"/>
            <w:rPr>
              <w:rFonts w:ascii="Times New Roman" w:eastAsiaTheme="minorEastAsia" w:hAnsi="Times New Roman" w:cs="Times New Roman"/>
              <w:b w:val="0"/>
              <w:bCs w:val="0"/>
            </w:rPr>
          </w:pPr>
          <w:hyperlink w:anchor="_Toc113956981" w:history="1">
            <w:r w:rsidR="003C413E" w:rsidRPr="003C413E">
              <w:rPr>
                <w:rStyle w:val="Hyperlink"/>
                <w:rFonts w:ascii="Times New Roman" w:hAnsi="Times New Roman" w:cs="Times New Roman"/>
              </w:rPr>
              <w:t>Table S5: Case Reports, 2006-2019</w:t>
            </w:r>
            <w:r w:rsidR="003C413E" w:rsidRPr="003C413E">
              <w:rPr>
                <w:rFonts w:ascii="Times New Roman" w:hAnsi="Times New Roman" w:cs="Times New Roman"/>
                <w:webHidden/>
              </w:rPr>
              <w:tab/>
            </w:r>
            <w:r w:rsidR="003C413E" w:rsidRPr="003C413E">
              <w:rPr>
                <w:rFonts w:ascii="Times New Roman" w:hAnsi="Times New Roman" w:cs="Times New Roman"/>
                <w:webHidden/>
              </w:rPr>
              <w:fldChar w:fldCharType="begin"/>
            </w:r>
            <w:r w:rsidR="003C413E" w:rsidRPr="003C413E">
              <w:rPr>
                <w:rFonts w:ascii="Times New Roman" w:hAnsi="Times New Roman" w:cs="Times New Roman"/>
                <w:webHidden/>
              </w:rPr>
              <w:instrText xml:space="preserve"> PAGEREF _Toc113956981 \h </w:instrText>
            </w:r>
            <w:r w:rsidR="003C413E" w:rsidRPr="003C413E">
              <w:rPr>
                <w:rFonts w:ascii="Times New Roman" w:hAnsi="Times New Roman" w:cs="Times New Roman"/>
                <w:webHidden/>
              </w:rPr>
            </w:r>
            <w:r w:rsidR="003C413E" w:rsidRPr="003C413E">
              <w:rPr>
                <w:rFonts w:ascii="Times New Roman" w:hAnsi="Times New Roman" w:cs="Times New Roman"/>
                <w:webHidden/>
              </w:rPr>
              <w:fldChar w:fldCharType="separate"/>
            </w:r>
            <w:r w:rsidR="003C413E" w:rsidRPr="003C413E">
              <w:rPr>
                <w:rFonts w:ascii="Times New Roman" w:hAnsi="Times New Roman" w:cs="Times New Roman"/>
                <w:webHidden/>
              </w:rPr>
              <w:t>15</w:t>
            </w:r>
            <w:r w:rsidR="003C413E" w:rsidRPr="003C413E">
              <w:rPr>
                <w:rFonts w:ascii="Times New Roman" w:hAnsi="Times New Roman" w:cs="Times New Roman"/>
                <w:webHidden/>
              </w:rPr>
              <w:fldChar w:fldCharType="end"/>
            </w:r>
          </w:hyperlink>
        </w:p>
        <w:p w14:paraId="35FF4E06" w14:textId="0DD1E821" w:rsidR="003C413E" w:rsidRPr="003C413E" w:rsidRDefault="004535F4">
          <w:pPr>
            <w:pStyle w:val="TOC2"/>
            <w:tabs>
              <w:tab w:val="right" w:leader="dot" w:pos="9350"/>
            </w:tabs>
            <w:rPr>
              <w:rFonts w:ascii="Times New Roman" w:eastAsiaTheme="minorEastAsia" w:hAnsi="Times New Roman" w:cs="Times New Roman"/>
              <w:noProof/>
            </w:rPr>
          </w:pPr>
          <w:hyperlink w:anchor="_Toc113956982" w:history="1">
            <w:r w:rsidR="003C413E" w:rsidRPr="003C413E">
              <w:rPr>
                <w:rStyle w:val="Hyperlink"/>
                <w:rFonts w:ascii="Times New Roman" w:hAnsi="Times New Roman" w:cs="Times New Roman"/>
                <w:noProof/>
              </w:rPr>
              <w:t>Case Reporting Fraction (ρ)</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_Toc113956982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16</w:t>
            </w:r>
            <w:r w:rsidR="003C413E" w:rsidRPr="003C413E">
              <w:rPr>
                <w:rFonts w:ascii="Times New Roman" w:hAnsi="Times New Roman" w:cs="Times New Roman"/>
                <w:noProof/>
                <w:webHidden/>
              </w:rPr>
              <w:fldChar w:fldCharType="end"/>
            </w:r>
          </w:hyperlink>
        </w:p>
        <w:p w14:paraId="1E6100F7" w14:textId="334B01EA" w:rsidR="003C413E" w:rsidRPr="003C413E" w:rsidRDefault="004535F4">
          <w:pPr>
            <w:pStyle w:val="TOC3"/>
            <w:rPr>
              <w:rFonts w:ascii="Times New Roman" w:eastAsiaTheme="minorEastAsia" w:hAnsi="Times New Roman" w:cs="Times New Roman"/>
              <w:b w:val="0"/>
              <w:bCs w:val="0"/>
            </w:rPr>
          </w:pPr>
          <w:hyperlink w:anchor="_Toc113956983" w:history="1">
            <w:r w:rsidR="003C413E" w:rsidRPr="003C413E">
              <w:rPr>
                <w:rStyle w:val="Hyperlink"/>
                <w:rFonts w:ascii="Times New Roman" w:hAnsi="Times New Roman" w:cs="Times New Roman"/>
              </w:rPr>
              <w:t>Table S6: Case Reporting Rate to CDC</w:t>
            </w:r>
            <w:r w:rsidR="003C413E" w:rsidRPr="003C413E">
              <w:rPr>
                <w:rFonts w:ascii="Times New Roman" w:hAnsi="Times New Roman" w:cs="Times New Roman"/>
                <w:webHidden/>
              </w:rPr>
              <w:tab/>
            </w:r>
            <w:r w:rsidR="003C413E" w:rsidRPr="003C413E">
              <w:rPr>
                <w:rFonts w:ascii="Times New Roman" w:hAnsi="Times New Roman" w:cs="Times New Roman"/>
                <w:webHidden/>
              </w:rPr>
              <w:fldChar w:fldCharType="begin"/>
            </w:r>
            <w:r w:rsidR="003C413E" w:rsidRPr="003C413E">
              <w:rPr>
                <w:rFonts w:ascii="Times New Roman" w:hAnsi="Times New Roman" w:cs="Times New Roman"/>
                <w:webHidden/>
              </w:rPr>
              <w:instrText xml:space="preserve"> PAGEREF _Toc113956983 \h </w:instrText>
            </w:r>
            <w:r w:rsidR="003C413E" w:rsidRPr="003C413E">
              <w:rPr>
                <w:rFonts w:ascii="Times New Roman" w:hAnsi="Times New Roman" w:cs="Times New Roman"/>
                <w:webHidden/>
              </w:rPr>
            </w:r>
            <w:r w:rsidR="003C413E" w:rsidRPr="003C413E">
              <w:rPr>
                <w:rFonts w:ascii="Times New Roman" w:hAnsi="Times New Roman" w:cs="Times New Roman"/>
                <w:webHidden/>
              </w:rPr>
              <w:fldChar w:fldCharType="separate"/>
            </w:r>
            <w:r w:rsidR="003C413E" w:rsidRPr="003C413E">
              <w:rPr>
                <w:rFonts w:ascii="Times New Roman" w:hAnsi="Times New Roman" w:cs="Times New Roman"/>
                <w:webHidden/>
              </w:rPr>
              <w:t>16</w:t>
            </w:r>
            <w:r w:rsidR="003C413E" w:rsidRPr="003C413E">
              <w:rPr>
                <w:rFonts w:ascii="Times New Roman" w:hAnsi="Times New Roman" w:cs="Times New Roman"/>
                <w:webHidden/>
              </w:rPr>
              <w:fldChar w:fldCharType="end"/>
            </w:r>
          </w:hyperlink>
        </w:p>
        <w:p w14:paraId="0A6ED3D5" w14:textId="3E460098" w:rsidR="003C413E" w:rsidRPr="003C413E" w:rsidRDefault="004535F4">
          <w:pPr>
            <w:pStyle w:val="TOC2"/>
            <w:tabs>
              <w:tab w:val="right" w:leader="dot" w:pos="9350"/>
            </w:tabs>
            <w:rPr>
              <w:rFonts w:ascii="Times New Roman" w:eastAsiaTheme="minorEastAsia" w:hAnsi="Times New Roman" w:cs="Times New Roman"/>
              <w:noProof/>
            </w:rPr>
          </w:pPr>
          <w:hyperlink w:anchor="_Toc113956984" w:history="1">
            <w:r w:rsidR="003C413E" w:rsidRPr="003C413E">
              <w:rPr>
                <w:rStyle w:val="Hyperlink"/>
                <w:rFonts w:ascii="Times New Roman" w:hAnsi="Times New Roman" w:cs="Times New Roman"/>
                <w:noProof/>
              </w:rPr>
              <w:t>Proportion of Cases that are Asymptomatic (β)</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_Toc113956984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17</w:t>
            </w:r>
            <w:r w:rsidR="003C413E" w:rsidRPr="003C413E">
              <w:rPr>
                <w:rFonts w:ascii="Times New Roman" w:hAnsi="Times New Roman" w:cs="Times New Roman"/>
                <w:noProof/>
                <w:webHidden/>
              </w:rPr>
              <w:fldChar w:fldCharType="end"/>
            </w:r>
          </w:hyperlink>
        </w:p>
        <w:p w14:paraId="58C14C86" w14:textId="162FFD55" w:rsidR="003C413E" w:rsidRPr="003C413E" w:rsidRDefault="004535F4">
          <w:pPr>
            <w:pStyle w:val="TOC2"/>
            <w:tabs>
              <w:tab w:val="right" w:leader="dot" w:pos="9350"/>
            </w:tabs>
            <w:rPr>
              <w:rFonts w:ascii="Times New Roman" w:eastAsiaTheme="minorEastAsia" w:hAnsi="Times New Roman" w:cs="Times New Roman"/>
              <w:noProof/>
            </w:rPr>
          </w:pPr>
          <w:hyperlink w:anchor="_Toc113956985" w:history="1">
            <w:r w:rsidR="003C413E" w:rsidRPr="003C413E">
              <w:rPr>
                <w:rStyle w:val="Hyperlink"/>
                <w:rFonts w:ascii="Times New Roman" w:hAnsi="Times New Roman" w:cs="Times New Roman"/>
                <w:noProof/>
              </w:rPr>
              <w:t>Annual Background Screening Rate (σ)</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_Toc113956985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17</w:t>
            </w:r>
            <w:r w:rsidR="003C413E" w:rsidRPr="003C413E">
              <w:rPr>
                <w:rFonts w:ascii="Times New Roman" w:hAnsi="Times New Roman" w:cs="Times New Roman"/>
                <w:noProof/>
                <w:webHidden/>
              </w:rPr>
              <w:fldChar w:fldCharType="end"/>
            </w:r>
          </w:hyperlink>
        </w:p>
        <w:p w14:paraId="0AA188B9" w14:textId="29CCC2A6" w:rsidR="003C413E" w:rsidRPr="003C413E" w:rsidRDefault="004535F4">
          <w:pPr>
            <w:pStyle w:val="TOC3"/>
            <w:rPr>
              <w:rFonts w:ascii="Times New Roman" w:eastAsiaTheme="minorEastAsia" w:hAnsi="Times New Roman" w:cs="Times New Roman"/>
              <w:b w:val="0"/>
              <w:bCs w:val="0"/>
            </w:rPr>
          </w:pPr>
          <w:hyperlink w:anchor="_Toc113956986" w:history="1">
            <w:r w:rsidR="003C413E" w:rsidRPr="003C413E">
              <w:rPr>
                <w:rStyle w:val="Hyperlink"/>
                <w:rFonts w:ascii="Times New Roman" w:hAnsi="Times New Roman" w:cs="Times New Roman"/>
              </w:rPr>
              <w:t>Table S7 : Proportion who Screened for STIs</w:t>
            </w:r>
            <w:r w:rsidR="003C413E" w:rsidRPr="003C413E">
              <w:rPr>
                <w:rFonts w:ascii="Times New Roman" w:hAnsi="Times New Roman" w:cs="Times New Roman"/>
                <w:webHidden/>
              </w:rPr>
              <w:tab/>
            </w:r>
            <w:r w:rsidR="003C413E" w:rsidRPr="003C413E">
              <w:rPr>
                <w:rFonts w:ascii="Times New Roman" w:hAnsi="Times New Roman" w:cs="Times New Roman"/>
                <w:webHidden/>
              </w:rPr>
              <w:fldChar w:fldCharType="begin"/>
            </w:r>
            <w:r w:rsidR="003C413E" w:rsidRPr="003C413E">
              <w:rPr>
                <w:rFonts w:ascii="Times New Roman" w:hAnsi="Times New Roman" w:cs="Times New Roman"/>
                <w:webHidden/>
              </w:rPr>
              <w:instrText xml:space="preserve"> PAGEREF _Toc113956986 \h </w:instrText>
            </w:r>
            <w:r w:rsidR="003C413E" w:rsidRPr="003C413E">
              <w:rPr>
                <w:rFonts w:ascii="Times New Roman" w:hAnsi="Times New Roman" w:cs="Times New Roman"/>
                <w:webHidden/>
              </w:rPr>
            </w:r>
            <w:r w:rsidR="003C413E" w:rsidRPr="003C413E">
              <w:rPr>
                <w:rFonts w:ascii="Times New Roman" w:hAnsi="Times New Roman" w:cs="Times New Roman"/>
                <w:webHidden/>
              </w:rPr>
              <w:fldChar w:fldCharType="separate"/>
            </w:r>
            <w:r w:rsidR="003C413E" w:rsidRPr="003C413E">
              <w:rPr>
                <w:rFonts w:ascii="Times New Roman" w:hAnsi="Times New Roman" w:cs="Times New Roman"/>
                <w:webHidden/>
              </w:rPr>
              <w:t>18</w:t>
            </w:r>
            <w:r w:rsidR="003C413E" w:rsidRPr="003C413E">
              <w:rPr>
                <w:rFonts w:ascii="Times New Roman" w:hAnsi="Times New Roman" w:cs="Times New Roman"/>
                <w:webHidden/>
              </w:rPr>
              <w:fldChar w:fldCharType="end"/>
            </w:r>
          </w:hyperlink>
        </w:p>
        <w:p w14:paraId="7206E517" w14:textId="01A7D859" w:rsidR="003C413E" w:rsidRPr="003C413E" w:rsidRDefault="004535F4">
          <w:pPr>
            <w:pStyle w:val="TOC2"/>
            <w:tabs>
              <w:tab w:val="right" w:leader="dot" w:pos="9350"/>
            </w:tabs>
            <w:rPr>
              <w:rFonts w:ascii="Times New Roman" w:eastAsiaTheme="minorEastAsia" w:hAnsi="Times New Roman" w:cs="Times New Roman"/>
              <w:noProof/>
            </w:rPr>
          </w:pPr>
          <w:hyperlink w:anchor="_Toc113956987" w:history="1">
            <w:r w:rsidR="003C413E" w:rsidRPr="003C413E">
              <w:rPr>
                <w:rStyle w:val="Hyperlink"/>
                <w:rFonts w:ascii="Times New Roman" w:hAnsi="Times New Roman" w:cs="Times New Roman"/>
                <w:noProof/>
              </w:rPr>
              <w:t>Rate of Natural Clearance (ψ)</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_Toc113956987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18</w:t>
            </w:r>
            <w:r w:rsidR="003C413E" w:rsidRPr="003C413E">
              <w:rPr>
                <w:rFonts w:ascii="Times New Roman" w:hAnsi="Times New Roman" w:cs="Times New Roman"/>
                <w:noProof/>
                <w:webHidden/>
              </w:rPr>
              <w:fldChar w:fldCharType="end"/>
            </w:r>
          </w:hyperlink>
        </w:p>
        <w:p w14:paraId="0D8F92ED" w14:textId="565F03A9" w:rsidR="003C413E" w:rsidRPr="003C413E" w:rsidRDefault="004535F4">
          <w:pPr>
            <w:pStyle w:val="TOC3"/>
            <w:rPr>
              <w:rFonts w:ascii="Times New Roman" w:eastAsiaTheme="minorEastAsia" w:hAnsi="Times New Roman" w:cs="Times New Roman"/>
              <w:b w:val="0"/>
              <w:bCs w:val="0"/>
            </w:rPr>
          </w:pPr>
          <w:hyperlink w:anchor="_Toc113956988" w:history="1">
            <w:r w:rsidR="003C413E" w:rsidRPr="003C413E">
              <w:rPr>
                <w:rStyle w:val="Hyperlink"/>
                <w:rFonts w:ascii="Times New Roman" w:hAnsi="Times New Roman" w:cs="Times New Roman"/>
              </w:rPr>
              <w:t>Table S8. Rate of and days to natural clearance of untreated Neisseria gonorrhoeae, by sex.</w:t>
            </w:r>
            <w:r w:rsidR="003C413E" w:rsidRPr="003C413E">
              <w:rPr>
                <w:rFonts w:ascii="Times New Roman" w:hAnsi="Times New Roman" w:cs="Times New Roman"/>
                <w:webHidden/>
              </w:rPr>
              <w:tab/>
            </w:r>
            <w:r w:rsidR="003C413E" w:rsidRPr="003C413E">
              <w:rPr>
                <w:rFonts w:ascii="Times New Roman" w:hAnsi="Times New Roman" w:cs="Times New Roman"/>
                <w:webHidden/>
              </w:rPr>
              <w:fldChar w:fldCharType="begin"/>
            </w:r>
            <w:r w:rsidR="003C413E" w:rsidRPr="003C413E">
              <w:rPr>
                <w:rFonts w:ascii="Times New Roman" w:hAnsi="Times New Roman" w:cs="Times New Roman"/>
                <w:webHidden/>
              </w:rPr>
              <w:instrText xml:space="preserve"> PAGEREF _Toc113956988 \h </w:instrText>
            </w:r>
            <w:r w:rsidR="003C413E" w:rsidRPr="003C413E">
              <w:rPr>
                <w:rFonts w:ascii="Times New Roman" w:hAnsi="Times New Roman" w:cs="Times New Roman"/>
                <w:webHidden/>
              </w:rPr>
            </w:r>
            <w:r w:rsidR="003C413E" w:rsidRPr="003C413E">
              <w:rPr>
                <w:rFonts w:ascii="Times New Roman" w:hAnsi="Times New Roman" w:cs="Times New Roman"/>
                <w:webHidden/>
              </w:rPr>
              <w:fldChar w:fldCharType="separate"/>
            </w:r>
            <w:r w:rsidR="003C413E" w:rsidRPr="003C413E">
              <w:rPr>
                <w:rFonts w:ascii="Times New Roman" w:hAnsi="Times New Roman" w:cs="Times New Roman"/>
                <w:webHidden/>
              </w:rPr>
              <w:t>19</w:t>
            </w:r>
            <w:r w:rsidR="003C413E" w:rsidRPr="003C413E">
              <w:rPr>
                <w:rFonts w:ascii="Times New Roman" w:hAnsi="Times New Roman" w:cs="Times New Roman"/>
                <w:webHidden/>
              </w:rPr>
              <w:fldChar w:fldCharType="end"/>
            </w:r>
          </w:hyperlink>
        </w:p>
        <w:p w14:paraId="58045368" w14:textId="4438E224" w:rsidR="003C413E" w:rsidRPr="003C413E" w:rsidRDefault="004535F4">
          <w:pPr>
            <w:pStyle w:val="TOC2"/>
            <w:tabs>
              <w:tab w:val="right" w:leader="dot" w:pos="9350"/>
            </w:tabs>
            <w:rPr>
              <w:rFonts w:ascii="Times New Roman" w:eastAsiaTheme="minorEastAsia" w:hAnsi="Times New Roman" w:cs="Times New Roman"/>
              <w:noProof/>
            </w:rPr>
          </w:pPr>
          <w:hyperlink w:anchor="_Toc113956989" w:history="1">
            <w:r w:rsidR="003C413E" w:rsidRPr="003C413E">
              <w:rPr>
                <w:rStyle w:val="Hyperlink"/>
                <w:rFonts w:ascii="Times New Roman" w:hAnsi="Times New Roman" w:cs="Times New Roman"/>
                <w:noProof/>
              </w:rPr>
              <w:t>Rate of Symptomatic Treatment Seeking (τ)</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_Toc113956989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19</w:t>
            </w:r>
            <w:r w:rsidR="003C413E" w:rsidRPr="003C413E">
              <w:rPr>
                <w:rFonts w:ascii="Times New Roman" w:hAnsi="Times New Roman" w:cs="Times New Roman"/>
                <w:noProof/>
                <w:webHidden/>
              </w:rPr>
              <w:fldChar w:fldCharType="end"/>
            </w:r>
          </w:hyperlink>
        </w:p>
        <w:p w14:paraId="3900974C" w14:textId="32B305E0" w:rsidR="003C413E" w:rsidRPr="003C413E" w:rsidRDefault="004535F4">
          <w:pPr>
            <w:pStyle w:val="TOC3"/>
            <w:rPr>
              <w:rFonts w:ascii="Times New Roman" w:eastAsiaTheme="minorEastAsia" w:hAnsi="Times New Roman" w:cs="Times New Roman"/>
              <w:b w:val="0"/>
              <w:bCs w:val="0"/>
            </w:rPr>
          </w:pPr>
          <w:hyperlink w:anchor="_Toc113956990" w:history="1">
            <w:r w:rsidR="003C413E" w:rsidRPr="003C413E">
              <w:rPr>
                <w:rStyle w:val="Hyperlink"/>
                <w:rFonts w:ascii="Times New Roman" w:hAnsi="Times New Roman" w:cs="Times New Roman"/>
              </w:rPr>
              <w:t>Table S9. Rate of and days to symptomatic treatment seeking for infections due to Neisseria gonorrhoeae,</w:t>
            </w:r>
            <w:r w:rsidR="003C413E" w:rsidRPr="003C413E">
              <w:rPr>
                <w:rFonts w:ascii="Times New Roman" w:hAnsi="Times New Roman" w:cs="Times New Roman"/>
                <w:webHidden/>
              </w:rPr>
              <w:tab/>
            </w:r>
            <w:r w:rsidR="003C413E" w:rsidRPr="003C413E">
              <w:rPr>
                <w:rFonts w:ascii="Times New Roman" w:hAnsi="Times New Roman" w:cs="Times New Roman"/>
                <w:webHidden/>
              </w:rPr>
              <w:fldChar w:fldCharType="begin"/>
            </w:r>
            <w:r w:rsidR="003C413E" w:rsidRPr="003C413E">
              <w:rPr>
                <w:rFonts w:ascii="Times New Roman" w:hAnsi="Times New Roman" w:cs="Times New Roman"/>
                <w:webHidden/>
              </w:rPr>
              <w:instrText xml:space="preserve"> PAGEREF _Toc113956990 \h </w:instrText>
            </w:r>
            <w:r w:rsidR="003C413E" w:rsidRPr="003C413E">
              <w:rPr>
                <w:rFonts w:ascii="Times New Roman" w:hAnsi="Times New Roman" w:cs="Times New Roman"/>
                <w:webHidden/>
              </w:rPr>
            </w:r>
            <w:r w:rsidR="003C413E" w:rsidRPr="003C413E">
              <w:rPr>
                <w:rFonts w:ascii="Times New Roman" w:hAnsi="Times New Roman" w:cs="Times New Roman"/>
                <w:webHidden/>
              </w:rPr>
              <w:fldChar w:fldCharType="separate"/>
            </w:r>
            <w:r w:rsidR="003C413E" w:rsidRPr="003C413E">
              <w:rPr>
                <w:rFonts w:ascii="Times New Roman" w:hAnsi="Times New Roman" w:cs="Times New Roman"/>
                <w:webHidden/>
              </w:rPr>
              <w:t>20</w:t>
            </w:r>
            <w:r w:rsidR="003C413E" w:rsidRPr="003C413E">
              <w:rPr>
                <w:rFonts w:ascii="Times New Roman" w:hAnsi="Times New Roman" w:cs="Times New Roman"/>
                <w:webHidden/>
              </w:rPr>
              <w:fldChar w:fldCharType="end"/>
            </w:r>
          </w:hyperlink>
        </w:p>
        <w:p w14:paraId="66B90245" w14:textId="5F5077B3" w:rsidR="003C413E" w:rsidRPr="003C413E" w:rsidRDefault="004535F4">
          <w:pPr>
            <w:pStyle w:val="TOC1"/>
            <w:tabs>
              <w:tab w:val="right" w:leader="dot" w:pos="9350"/>
            </w:tabs>
            <w:rPr>
              <w:rFonts w:ascii="Times New Roman" w:eastAsiaTheme="minorEastAsia" w:hAnsi="Times New Roman" w:cs="Times New Roman"/>
              <w:noProof/>
            </w:rPr>
          </w:pPr>
          <w:hyperlink w:anchor="_Toc113956991" w:history="1">
            <w:r w:rsidR="003C413E" w:rsidRPr="003C413E">
              <w:rPr>
                <w:rStyle w:val="Hyperlink"/>
                <w:rFonts w:ascii="Times New Roman" w:hAnsi="Times New Roman" w:cs="Times New Roman"/>
                <w:noProof/>
              </w:rPr>
              <w:t>References</w:t>
            </w:r>
            <w:r w:rsidR="003C413E" w:rsidRPr="003C413E">
              <w:rPr>
                <w:rFonts w:ascii="Times New Roman" w:hAnsi="Times New Roman" w:cs="Times New Roman"/>
                <w:noProof/>
                <w:webHidden/>
              </w:rPr>
              <w:tab/>
            </w:r>
            <w:r w:rsidR="003C413E" w:rsidRPr="003C413E">
              <w:rPr>
                <w:rFonts w:ascii="Times New Roman" w:hAnsi="Times New Roman" w:cs="Times New Roman"/>
                <w:noProof/>
                <w:webHidden/>
              </w:rPr>
              <w:fldChar w:fldCharType="begin"/>
            </w:r>
            <w:r w:rsidR="003C413E" w:rsidRPr="003C413E">
              <w:rPr>
                <w:rFonts w:ascii="Times New Roman" w:hAnsi="Times New Roman" w:cs="Times New Roman"/>
                <w:noProof/>
                <w:webHidden/>
              </w:rPr>
              <w:instrText xml:space="preserve"> PAGEREF _Toc113956991 \h </w:instrText>
            </w:r>
            <w:r w:rsidR="003C413E" w:rsidRPr="003C413E">
              <w:rPr>
                <w:rFonts w:ascii="Times New Roman" w:hAnsi="Times New Roman" w:cs="Times New Roman"/>
                <w:noProof/>
                <w:webHidden/>
              </w:rPr>
            </w:r>
            <w:r w:rsidR="003C413E" w:rsidRPr="003C413E">
              <w:rPr>
                <w:rFonts w:ascii="Times New Roman" w:hAnsi="Times New Roman" w:cs="Times New Roman"/>
                <w:noProof/>
                <w:webHidden/>
              </w:rPr>
              <w:fldChar w:fldCharType="separate"/>
            </w:r>
            <w:r w:rsidR="003C413E" w:rsidRPr="003C413E">
              <w:rPr>
                <w:rFonts w:ascii="Times New Roman" w:hAnsi="Times New Roman" w:cs="Times New Roman"/>
                <w:noProof/>
                <w:webHidden/>
              </w:rPr>
              <w:t>21</w:t>
            </w:r>
            <w:r w:rsidR="003C413E" w:rsidRPr="003C413E">
              <w:rPr>
                <w:rFonts w:ascii="Times New Roman" w:hAnsi="Times New Roman" w:cs="Times New Roman"/>
                <w:noProof/>
                <w:webHidden/>
              </w:rPr>
              <w:fldChar w:fldCharType="end"/>
            </w:r>
          </w:hyperlink>
        </w:p>
        <w:p w14:paraId="7055AD96" w14:textId="6298EBBA" w:rsidR="00BF139B" w:rsidRPr="003C413E" w:rsidRDefault="00BF139B">
          <w:pPr>
            <w:rPr>
              <w:rFonts w:ascii="Times New Roman" w:hAnsi="Times New Roman" w:cs="Times New Roman"/>
            </w:rPr>
          </w:pPr>
          <w:r w:rsidRPr="003C413E">
            <w:rPr>
              <w:rFonts w:ascii="Times New Roman" w:hAnsi="Times New Roman" w:cs="Times New Roman"/>
              <w:b/>
              <w:bCs/>
              <w:noProof/>
            </w:rPr>
            <w:fldChar w:fldCharType="end"/>
          </w:r>
        </w:p>
      </w:sdtContent>
    </w:sdt>
    <w:p w14:paraId="0291731E" w14:textId="77777777" w:rsidR="003739B6" w:rsidRPr="003C413E" w:rsidRDefault="003739B6" w:rsidP="003739B6">
      <w:pPr>
        <w:spacing w:line="360" w:lineRule="auto"/>
        <w:rPr>
          <w:rFonts w:ascii="Times New Roman" w:hAnsi="Times New Roman" w:cs="Times New Roman"/>
          <w:b/>
          <w:bCs/>
        </w:rPr>
      </w:pPr>
    </w:p>
    <w:p w14:paraId="31ACC05E" w14:textId="77777777" w:rsidR="003739B6" w:rsidRPr="003C413E" w:rsidRDefault="003739B6" w:rsidP="003739B6">
      <w:pPr>
        <w:spacing w:line="360" w:lineRule="auto"/>
        <w:rPr>
          <w:rFonts w:ascii="Times New Roman" w:hAnsi="Times New Roman" w:cs="Times New Roman"/>
          <w:b/>
          <w:bCs/>
        </w:rPr>
      </w:pPr>
    </w:p>
    <w:p w14:paraId="3D9ED12B" w14:textId="77777777" w:rsidR="003739B6" w:rsidRPr="003C413E" w:rsidRDefault="003739B6" w:rsidP="003739B6">
      <w:pPr>
        <w:spacing w:line="360" w:lineRule="auto"/>
        <w:rPr>
          <w:rFonts w:ascii="Times New Roman" w:hAnsi="Times New Roman" w:cs="Times New Roman"/>
          <w:b/>
          <w:bCs/>
        </w:rPr>
      </w:pPr>
    </w:p>
    <w:p w14:paraId="08517C72" w14:textId="77777777" w:rsidR="00EA06D5" w:rsidRPr="003C413E" w:rsidRDefault="00EA06D5" w:rsidP="004548A7">
      <w:pPr>
        <w:pStyle w:val="Caption"/>
        <w:keepNext/>
        <w:rPr>
          <w:rFonts w:ascii="Times New Roman" w:hAnsi="Times New Roman" w:cs="Times New Roman"/>
        </w:rPr>
        <w:sectPr w:rsidR="00EA06D5" w:rsidRPr="003C413E" w:rsidSect="004548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05F5623" w14:textId="5404CDAD" w:rsidR="004548A7" w:rsidRPr="003C413E" w:rsidRDefault="00EA2B8B" w:rsidP="00220CE3">
      <w:pPr>
        <w:pStyle w:val="Heading1"/>
        <w:rPr>
          <w:rFonts w:ascii="Times New Roman" w:hAnsi="Times New Roman" w:cs="Times New Roman"/>
        </w:rPr>
      </w:pPr>
      <w:bookmarkStart w:id="0" w:name="_Toc113956957"/>
      <w:r w:rsidRPr="003C413E">
        <w:rPr>
          <w:rFonts w:ascii="Times New Roman" w:hAnsi="Times New Roman" w:cs="Times New Roman"/>
        </w:rPr>
        <w:lastRenderedPageBreak/>
        <w:t xml:space="preserve">Supplementary </w:t>
      </w:r>
      <w:r w:rsidR="00F70A5D" w:rsidRPr="003C413E">
        <w:rPr>
          <w:rFonts w:ascii="Times New Roman" w:hAnsi="Times New Roman" w:cs="Times New Roman"/>
        </w:rPr>
        <w:t>Tables</w:t>
      </w:r>
      <w:bookmarkEnd w:id="0"/>
    </w:p>
    <w:p w14:paraId="396CF0FB" w14:textId="62502714" w:rsidR="005854AA" w:rsidRDefault="004548A7" w:rsidP="005854AA">
      <w:pPr>
        <w:pStyle w:val="Heading2"/>
        <w:jc w:val="center"/>
        <w:rPr>
          <w:rFonts w:ascii="Times New Roman" w:hAnsi="Times New Roman" w:cs="Times New Roman"/>
          <w:b/>
          <w:bCs/>
        </w:rPr>
      </w:pPr>
      <w:bookmarkStart w:id="1" w:name="_Toc113956958"/>
      <w:r w:rsidRPr="003C413E">
        <w:rPr>
          <w:rFonts w:ascii="Times New Roman" w:hAnsi="Times New Roman" w:cs="Times New Roman"/>
          <w:b/>
          <w:bCs/>
        </w:rPr>
        <w:t xml:space="preserve">Table </w:t>
      </w:r>
      <w:r w:rsidR="00D518DC" w:rsidRPr="003C413E">
        <w:rPr>
          <w:rFonts w:ascii="Times New Roman" w:hAnsi="Times New Roman" w:cs="Times New Roman"/>
          <w:b/>
          <w:bCs/>
        </w:rPr>
        <w:t>S</w:t>
      </w:r>
      <w:r w:rsidRPr="003C413E">
        <w:rPr>
          <w:rFonts w:ascii="Times New Roman" w:hAnsi="Times New Roman" w:cs="Times New Roman"/>
          <w:b/>
          <w:bCs/>
        </w:rPr>
        <w:fldChar w:fldCharType="begin"/>
      </w:r>
      <w:r w:rsidRPr="003C413E">
        <w:rPr>
          <w:rFonts w:ascii="Times New Roman" w:hAnsi="Times New Roman" w:cs="Times New Roman"/>
          <w:b/>
          <w:bCs/>
        </w:rPr>
        <w:instrText xml:space="preserve"> SEQ Table \* ARABIC </w:instrText>
      </w:r>
      <w:r w:rsidRPr="003C413E">
        <w:rPr>
          <w:rFonts w:ascii="Times New Roman" w:hAnsi="Times New Roman" w:cs="Times New Roman"/>
          <w:b/>
          <w:bCs/>
        </w:rPr>
        <w:fldChar w:fldCharType="separate"/>
      </w:r>
      <w:r w:rsidR="00FA15DB" w:rsidRPr="003C413E">
        <w:rPr>
          <w:rFonts w:ascii="Times New Roman" w:hAnsi="Times New Roman" w:cs="Times New Roman"/>
          <w:b/>
          <w:bCs/>
          <w:noProof/>
        </w:rPr>
        <w:t>1</w:t>
      </w:r>
      <w:r w:rsidRPr="003C413E">
        <w:rPr>
          <w:rFonts w:ascii="Times New Roman" w:hAnsi="Times New Roman" w:cs="Times New Roman"/>
          <w:b/>
          <w:bCs/>
        </w:rPr>
        <w:fldChar w:fldCharType="end"/>
      </w:r>
      <w:r w:rsidRPr="003C413E">
        <w:rPr>
          <w:rFonts w:ascii="Times New Roman" w:hAnsi="Times New Roman" w:cs="Times New Roman"/>
          <w:b/>
          <w:bCs/>
        </w:rPr>
        <w:t>: Number of Incident</w:t>
      </w:r>
      <w:r w:rsidR="00CE2592" w:rsidRPr="003C413E">
        <w:rPr>
          <w:rFonts w:ascii="Times New Roman" w:hAnsi="Times New Roman" w:cs="Times New Roman"/>
          <w:b/>
          <w:bCs/>
        </w:rPr>
        <w:t xml:space="preserve"> </w:t>
      </w:r>
      <w:r w:rsidRPr="003C413E">
        <w:rPr>
          <w:rFonts w:ascii="Times New Roman" w:hAnsi="Times New Roman" w:cs="Times New Roman"/>
          <w:b/>
          <w:bCs/>
        </w:rPr>
        <w:t>Gonococcal Infections</w:t>
      </w:r>
      <w:r w:rsidR="001E064C" w:rsidRPr="003C413E">
        <w:rPr>
          <w:rFonts w:ascii="Times New Roman" w:hAnsi="Times New Roman" w:cs="Times New Roman"/>
          <w:b/>
          <w:bCs/>
        </w:rPr>
        <w:t>,</w:t>
      </w:r>
      <w:r w:rsidR="00126A7A" w:rsidRPr="003C413E">
        <w:rPr>
          <w:rFonts w:ascii="Times New Roman" w:hAnsi="Times New Roman" w:cs="Times New Roman"/>
          <w:b/>
          <w:bCs/>
        </w:rPr>
        <w:t xml:space="preserve"> </w:t>
      </w:r>
      <w:r w:rsidR="00E81789" w:rsidRPr="003C413E">
        <w:rPr>
          <w:rFonts w:ascii="Times New Roman" w:hAnsi="Times New Roman" w:cs="Times New Roman"/>
          <w:b/>
          <w:bCs/>
        </w:rPr>
        <w:t>Among 15-39-Year-Olds, United States</w:t>
      </w:r>
      <w:r w:rsidR="001E064C" w:rsidRPr="003C413E">
        <w:rPr>
          <w:rFonts w:ascii="Times New Roman" w:hAnsi="Times New Roman" w:cs="Times New Roman"/>
          <w:b/>
          <w:bCs/>
        </w:rPr>
        <w:t>,</w:t>
      </w:r>
      <w:r w:rsidR="00E81789" w:rsidRPr="003C413E">
        <w:rPr>
          <w:rFonts w:ascii="Times New Roman" w:hAnsi="Times New Roman" w:cs="Times New Roman"/>
          <w:b/>
          <w:bCs/>
        </w:rPr>
        <w:t xml:space="preserve"> 200</w:t>
      </w:r>
      <w:r w:rsidR="005E1233" w:rsidRPr="003C413E">
        <w:rPr>
          <w:rFonts w:ascii="Times New Roman" w:hAnsi="Times New Roman" w:cs="Times New Roman"/>
          <w:b/>
          <w:bCs/>
        </w:rPr>
        <w:t>6</w:t>
      </w:r>
      <w:r w:rsidR="00E81789" w:rsidRPr="003C413E">
        <w:rPr>
          <w:rFonts w:ascii="Times New Roman" w:hAnsi="Times New Roman" w:cs="Times New Roman"/>
          <w:b/>
          <w:bCs/>
        </w:rPr>
        <w:t>-2019</w:t>
      </w:r>
      <w:bookmarkEnd w:id="1"/>
    </w:p>
    <w:tbl>
      <w:tblPr>
        <w:tblpPr w:leftFromText="180" w:rightFromText="180" w:vertAnchor="text" w:horzAnchor="margin" w:tblpY="6"/>
        <w:tblW w:w="0" w:type="auto"/>
        <w:tblLook w:val="0420" w:firstRow="1" w:lastRow="0" w:firstColumn="0" w:lastColumn="0" w:noHBand="0" w:noVBand="1"/>
      </w:tblPr>
      <w:tblGrid>
        <w:gridCol w:w="467"/>
        <w:gridCol w:w="932"/>
        <w:gridCol w:w="932"/>
        <w:gridCol w:w="877"/>
        <w:gridCol w:w="857"/>
        <w:gridCol w:w="857"/>
        <w:gridCol w:w="857"/>
        <w:gridCol w:w="857"/>
        <w:gridCol w:w="857"/>
        <w:gridCol w:w="857"/>
        <w:gridCol w:w="878"/>
        <w:gridCol w:w="933"/>
        <w:gridCol w:w="933"/>
        <w:gridCol w:w="933"/>
        <w:gridCol w:w="933"/>
      </w:tblGrid>
      <w:tr w:rsidR="005854AA" w:rsidRPr="00FA60AA" w14:paraId="47F4FAE2" w14:textId="77777777" w:rsidTr="005854AA">
        <w:trPr>
          <w:cantSplit/>
          <w:tblHeader/>
        </w:trPr>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D613125"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Age</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4A73188"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2006</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D24071F"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2007</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A320C80"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2008</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D1654FA"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2009</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CC6E9CA"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2010</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603C499"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2011</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999EFBB"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2012</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18EC415"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2013</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D0529BA"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2014</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A1EA514"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2015</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4AFC84E"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2016</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6A44296"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2017</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69B3DB3"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2018</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C9AC143" w14:textId="77777777" w:rsidR="005854AA" w:rsidRPr="00FA60AA" w:rsidRDefault="005854AA" w:rsidP="005854AA">
            <w:pPr>
              <w:spacing w:before="100" w:after="100"/>
              <w:ind w:left="100" w:right="100"/>
              <w:rPr>
                <w:rFonts w:ascii="Times New Roman" w:hAnsi="Times New Roman" w:cs="Times New Roman"/>
                <w:sz w:val="16"/>
                <w:szCs w:val="16"/>
              </w:rPr>
            </w:pPr>
            <w:r w:rsidRPr="00FA60AA">
              <w:rPr>
                <w:rFonts w:ascii="Times New Roman" w:eastAsia="Arial" w:hAnsi="Times New Roman" w:cs="Times New Roman"/>
                <w:b/>
                <w:color w:val="000000"/>
                <w:sz w:val="16"/>
                <w:szCs w:val="16"/>
              </w:rPr>
              <w:t>2019</w:t>
            </w:r>
          </w:p>
        </w:tc>
      </w:tr>
      <w:tr w:rsidR="005854AA" w:rsidRPr="00FA60AA" w14:paraId="4F48B12D" w14:textId="77777777" w:rsidTr="005854AA">
        <w:trPr>
          <w:cantSplit/>
        </w:trPr>
        <w:tc>
          <w:tcPr>
            <w:tcW w:w="0" w:type="auto"/>
            <w:gridSpan w:val="15"/>
            <w:shd w:val="clear" w:color="auto" w:fill="FFFFFF"/>
            <w:tcMar>
              <w:top w:w="0" w:type="dxa"/>
              <w:left w:w="0" w:type="dxa"/>
              <w:bottom w:w="0" w:type="dxa"/>
              <w:right w:w="0" w:type="dxa"/>
            </w:tcMar>
            <w:vAlign w:val="center"/>
            <w:hideMark/>
          </w:tcPr>
          <w:p w14:paraId="1C499E40" w14:textId="77777777" w:rsidR="005854AA" w:rsidRPr="00FA60AA" w:rsidRDefault="005854AA" w:rsidP="005854AA">
            <w:pPr>
              <w:spacing w:before="100" w:after="100"/>
              <w:ind w:left="10" w:right="10"/>
              <w:rPr>
                <w:rFonts w:ascii="Times New Roman" w:hAnsi="Times New Roman" w:cs="Times New Roman"/>
                <w:b/>
                <w:bCs/>
                <w:sz w:val="16"/>
                <w:szCs w:val="16"/>
              </w:rPr>
            </w:pPr>
            <w:r w:rsidRPr="00FA60AA">
              <w:rPr>
                <w:rFonts w:ascii="Times New Roman" w:eastAsia="Arial" w:hAnsi="Times New Roman" w:cs="Times New Roman"/>
                <w:b/>
                <w:bCs/>
                <w:color w:val="000000"/>
                <w:sz w:val="16"/>
                <w:szCs w:val="16"/>
              </w:rPr>
              <w:t>Men</w:t>
            </w:r>
          </w:p>
        </w:tc>
      </w:tr>
      <w:tr w:rsidR="005854AA" w:rsidRPr="00FA60AA" w14:paraId="524D5463" w14:textId="77777777" w:rsidTr="005854AA">
        <w:trPr>
          <w:cantSplit/>
        </w:trPr>
        <w:tc>
          <w:tcPr>
            <w:tcW w:w="0" w:type="auto"/>
            <w:shd w:val="clear" w:color="auto" w:fill="FFFFFF"/>
            <w:tcMar>
              <w:top w:w="0" w:type="dxa"/>
              <w:left w:w="0" w:type="dxa"/>
              <w:bottom w:w="0" w:type="dxa"/>
              <w:right w:w="0" w:type="dxa"/>
            </w:tcMar>
            <w:vAlign w:val="center"/>
            <w:hideMark/>
          </w:tcPr>
          <w:p w14:paraId="32C1E078" w14:textId="77777777" w:rsidR="005854AA" w:rsidRPr="00FA60AA" w:rsidRDefault="005854AA" w:rsidP="005854AA">
            <w:pPr>
              <w:spacing w:before="100" w:after="100"/>
              <w:ind w:left="10" w:right="10"/>
              <w:rPr>
                <w:rFonts w:ascii="Times New Roman" w:hAnsi="Times New Roman" w:cs="Times New Roman"/>
                <w:sz w:val="16"/>
                <w:szCs w:val="16"/>
              </w:rPr>
            </w:pPr>
            <w:r w:rsidRPr="00FA60AA">
              <w:rPr>
                <w:rFonts w:ascii="Times New Roman" w:eastAsia="Arial" w:hAnsi="Times New Roman" w:cs="Times New Roman"/>
                <w:color w:val="000000"/>
                <w:sz w:val="16"/>
                <w:szCs w:val="16"/>
              </w:rPr>
              <w:t>15-24</w:t>
            </w:r>
          </w:p>
        </w:tc>
        <w:tc>
          <w:tcPr>
            <w:tcW w:w="0" w:type="auto"/>
            <w:shd w:val="clear" w:color="auto" w:fill="FFFFFF"/>
            <w:tcMar>
              <w:top w:w="0" w:type="dxa"/>
              <w:left w:w="0" w:type="dxa"/>
              <w:bottom w:w="0" w:type="dxa"/>
              <w:right w:w="0" w:type="dxa"/>
            </w:tcMar>
            <w:vAlign w:val="center"/>
            <w:hideMark/>
          </w:tcPr>
          <w:p w14:paraId="52CD1C4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200399 (171909-238947)</w:t>
            </w:r>
          </w:p>
        </w:tc>
        <w:tc>
          <w:tcPr>
            <w:tcW w:w="0" w:type="auto"/>
            <w:shd w:val="clear" w:color="auto" w:fill="FFFFFF"/>
            <w:tcMar>
              <w:top w:w="0" w:type="dxa"/>
              <w:left w:w="0" w:type="dxa"/>
              <w:bottom w:w="0" w:type="dxa"/>
              <w:right w:w="0" w:type="dxa"/>
            </w:tcMar>
            <w:vAlign w:val="center"/>
            <w:hideMark/>
          </w:tcPr>
          <w:p w14:paraId="21C1E07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198549 (170658-238048)</w:t>
            </w:r>
          </w:p>
        </w:tc>
        <w:tc>
          <w:tcPr>
            <w:tcW w:w="0" w:type="auto"/>
            <w:shd w:val="clear" w:color="auto" w:fill="FFFFFF"/>
            <w:tcMar>
              <w:top w:w="0" w:type="dxa"/>
              <w:left w:w="0" w:type="dxa"/>
              <w:bottom w:w="0" w:type="dxa"/>
              <w:right w:w="0" w:type="dxa"/>
            </w:tcMar>
            <w:vAlign w:val="center"/>
            <w:hideMark/>
          </w:tcPr>
          <w:p w14:paraId="25CC78C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186647 (160675-223775)</w:t>
            </w:r>
          </w:p>
        </w:tc>
        <w:tc>
          <w:tcPr>
            <w:tcW w:w="0" w:type="auto"/>
            <w:shd w:val="clear" w:color="auto" w:fill="FFFFFF"/>
            <w:tcMar>
              <w:top w:w="0" w:type="dxa"/>
              <w:left w:w="0" w:type="dxa"/>
              <w:bottom w:w="0" w:type="dxa"/>
              <w:right w:w="0" w:type="dxa"/>
            </w:tcMar>
            <w:vAlign w:val="center"/>
            <w:hideMark/>
          </w:tcPr>
          <w:p w14:paraId="3041BAA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169927 (145491-203867)</w:t>
            </w:r>
          </w:p>
        </w:tc>
        <w:tc>
          <w:tcPr>
            <w:tcW w:w="0" w:type="auto"/>
            <w:shd w:val="clear" w:color="auto" w:fill="FFFFFF"/>
            <w:tcMar>
              <w:top w:w="0" w:type="dxa"/>
              <w:left w:w="0" w:type="dxa"/>
              <w:bottom w:w="0" w:type="dxa"/>
              <w:right w:w="0" w:type="dxa"/>
            </w:tcMar>
            <w:vAlign w:val="center"/>
            <w:hideMark/>
          </w:tcPr>
          <w:p w14:paraId="64A1EB56"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175512 (151173-209860)</w:t>
            </w:r>
          </w:p>
        </w:tc>
        <w:tc>
          <w:tcPr>
            <w:tcW w:w="0" w:type="auto"/>
            <w:shd w:val="clear" w:color="auto" w:fill="FFFFFF"/>
            <w:tcMar>
              <w:top w:w="0" w:type="dxa"/>
              <w:left w:w="0" w:type="dxa"/>
              <w:bottom w:w="0" w:type="dxa"/>
              <w:right w:w="0" w:type="dxa"/>
            </w:tcMar>
            <w:vAlign w:val="center"/>
            <w:hideMark/>
          </w:tcPr>
          <w:p w14:paraId="32CE203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180985 (155375-216284)</w:t>
            </w:r>
          </w:p>
        </w:tc>
        <w:tc>
          <w:tcPr>
            <w:tcW w:w="0" w:type="auto"/>
            <w:shd w:val="clear" w:color="auto" w:fill="FFFFFF"/>
            <w:tcMar>
              <w:top w:w="0" w:type="dxa"/>
              <w:left w:w="0" w:type="dxa"/>
              <w:bottom w:w="0" w:type="dxa"/>
              <w:right w:w="0" w:type="dxa"/>
            </w:tcMar>
            <w:vAlign w:val="center"/>
            <w:hideMark/>
          </w:tcPr>
          <w:p w14:paraId="28B63C3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182623 (156730-218932)</w:t>
            </w:r>
          </w:p>
        </w:tc>
        <w:tc>
          <w:tcPr>
            <w:tcW w:w="0" w:type="auto"/>
            <w:shd w:val="clear" w:color="auto" w:fill="FFFFFF"/>
            <w:tcMar>
              <w:top w:w="0" w:type="dxa"/>
              <w:left w:w="0" w:type="dxa"/>
              <w:bottom w:w="0" w:type="dxa"/>
              <w:right w:w="0" w:type="dxa"/>
            </w:tcMar>
            <w:vAlign w:val="center"/>
            <w:hideMark/>
          </w:tcPr>
          <w:p w14:paraId="722FDA59"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176197 (151715-212032)</w:t>
            </w:r>
          </w:p>
        </w:tc>
        <w:tc>
          <w:tcPr>
            <w:tcW w:w="0" w:type="auto"/>
            <w:shd w:val="clear" w:color="auto" w:fill="FFFFFF"/>
            <w:tcMar>
              <w:top w:w="0" w:type="dxa"/>
              <w:left w:w="0" w:type="dxa"/>
              <w:bottom w:w="0" w:type="dxa"/>
              <w:right w:w="0" w:type="dxa"/>
            </w:tcMar>
            <w:vAlign w:val="center"/>
            <w:hideMark/>
          </w:tcPr>
          <w:p w14:paraId="30D86B2A"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184767 (158796-222106)</w:t>
            </w:r>
          </w:p>
        </w:tc>
        <w:tc>
          <w:tcPr>
            <w:tcW w:w="0" w:type="auto"/>
            <w:shd w:val="clear" w:color="auto" w:fill="FFFFFF"/>
            <w:tcMar>
              <w:top w:w="0" w:type="dxa"/>
              <w:left w:w="0" w:type="dxa"/>
              <w:bottom w:w="0" w:type="dxa"/>
              <w:right w:w="0" w:type="dxa"/>
            </w:tcMar>
            <w:vAlign w:val="center"/>
            <w:hideMark/>
          </w:tcPr>
          <w:p w14:paraId="7993F435"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206975 (176907-248135)</w:t>
            </w:r>
          </w:p>
        </w:tc>
        <w:tc>
          <w:tcPr>
            <w:tcW w:w="0" w:type="auto"/>
            <w:shd w:val="clear" w:color="auto" w:fill="FFFFFF"/>
            <w:tcMar>
              <w:top w:w="0" w:type="dxa"/>
              <w:left w:w="0" w:type="dxa"/>
              <w:bottom w:w="0" w:type="dxa"/>
              <w:right w:w="0" w:type="dxa"/>
            </w:tcMar>
            <w:vAlign w:val="center"/>
            <w:hideMark/>
          </w:tcPr>
          <w:p w14:paraId="3C0CA02C"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235559 (200988-283032)</w:t>
            </w:r>
          </w:p>
        </w:tc>
        <w:tc>
          <w:tcPr>
            <w:tcW w:w="0" w:type="auto"/>
            <w:shd w:val="clear" w:color="auto" w:fill="FFFFFF"/>
            <w:tcMar>
              <w:top w:w="0" w:type="dxa"/>
              <w:left w:w="0" w:type="dxa"/>
              <w:bottom w:w="0" w:type="dxa"/>
              <w:right w:w="0" w:type="dxa"/>
            </w:tcMar>
            <w:vAlign w:val="center"/>
            <w:hideMark/>
          </w:tcPr>
          <w:p w14:paraId="4B6988D5"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266352 (229404-319271)</w:t>
            </w:r>
          </w:p>
        </w:tc>
        <w:tc>
          <w:tcPr>
            <w:tcW w:w="0" w:type="auto"/>
            <w:shd w:val="clear" w:color="auto" w:fill="FFFFFF"/>
            <w:tcMar>
              <w:top w:w="0" w:type="dxa"/>
              <w:left w:w="0" w:type="dxa"/>
              <w:bottom w:w="0" w:type="dxa"/>
              <w:right w:w="0" w:type="dxa"/>
            </w:tcMar>
            <w:vAlign w:val="center"/>
            <w:hideMark/>
          </w:tcPr>
          <w:p w14:paraId="2AB32CD8"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269203 (230998-324382)</w:t>
            </w:r>
          </w:p>
        </w:tc>
        <w:tc>
          <w:tcPr>
            <w:tcW w:w="0" w:type="auto"/>
            <w:shd w:val="clear" w:color="auto" w:fill="FFFFFF"/>
            <w:tcMar>
              <w:top w:w="0" w:type="dxa"/>
              <w:left w:w="0" w:type="dxa"/>
              <w:bottom w:w="0" w:type="dxa"/>
              <w:right w:w="0" w:type="dxa"/>
            </w:tcMar>
            <w:vAlign w:val="center"/>
            <w:hideMark/>
          </w:tcPr>
          <w:p w14:paraId="36CC2FAA"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273551 (234524-330037)</w:t>
            </w:r>
          </w:p>
        </w:tc>
      </w:tr>
      <w:tr w:rsidR="005854AA" w:rsidRPr="00FA60AA" w14:paraId="416F54F4" w14:textId="77777777" w:rsidTr="005854AA">
        <w:trPr>
          <w:cantSplit/>
        </w:trPr>
        <w:tc>
          <w:tcPr>
            <w:tcW w:w="0" w:type="auto"/>
            <w:shd w:val="clear" w:color="auto" w:fill="FFFFFF"/>
            <w:tcMar>
              <w:top w:w="0" w:type="dxa"/>
              <w:left w:w="0" w:type="dxa"/>
              <w:bottom w:w="0" w:type="dxa"/>
              <w:right w:w="0" w:type="dxa"/>
            </w:tcMar>
            <w:vAlign w:val="center"/>
            <w:hideMark/>
          </w:tcPr>
          <w:p w14:paraId="7BAB4CAD" w14:textId="77777777" w:rsidR="005854AA" w:rsidRPr="00FA60AA" w:rsidRDefault="005854AA" w:rsidP="005854AA">
            <w:pPr>
              <w:spacing w:before="100" w:after="100"/>
              <w:ind w:left="10" w:right="10"/>
              <w:rPr>
                <w:rFonts w:ascii="Times New Roman" w:hAnsi="Times New Roman" w:cs="Times New Roman"/>
                <w:sz w:val="16"/>
                <w:szCs w:val="16"/>
              </w:rPr>
            </w:pPr>
            <w:r w:rsidRPr="00FA60AA">
              <w:rPr>
                <w:rFonts w:ascii="Times New Roman" w:eastAsia="Arial" w:hAnsi="Times New Roman" w:cs="Times New Roman"/>
                <w:color w:val="000000"/>
                <w:sz w:val="16"/>
                <w:szCs w:val="16"/>
              </w:rPr>
              <w:t>25-39</w:t>
            </w:r>
          </w:p>
        </w:tc>
        <w:tc>
          <w:tcPr>
            <w:tcW w:w="0" w:type="auto"/>
            <w:shd w:val="clear" w:color="auto" w:fill="FFFFFF"/>
            <w:tcMar>
              <w:top w:w="0" w:type="dxa"/>
              <w:left w:w="0" w:type="dxa"/>
              <w:bottom w:w="0" w:type="dxa"/>
              <w:right w:w="0" w:type="dxa"/>
            </w:tcMar>
            <w:vAlign w:val="center"/>
            <w:hideMark/>
          </w:tcPr>
          <w:p w14:paraId="75A98C9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167478 (144376-201371)</w:t>
            </w:r>
          </w:p>
        </w:tc>
        <w:tc>
          <w:tcPr>
            <w:tcW w:w="0" w:type="auto"/>
            <w:shd w:val="clear" w:color="auto" w:fill="FFFFFF"/>
            <w:tcMar>
              <w:top w:w="0" w:type="dxa"/>
              <w:left w:w="0" w:type="dxa"/>
              <w:bottom w:w="0" w:type="dxa"/>
              <w:right w:w="0" w:type="dxa"/>
            </w:tcMar>
            <w:vAlign w:val="center"/>
            <w:hideMark/>
          </w:tcPr>
          <w:p w14:paraId="0482A378"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157244 (134884-188958)</w:t>
            </w:r>
          </w:p>
        </w:tc>
        <w:tc>
          <w:tcPr>
            <w:tcW w:w="0" w:type="auto"/>
            <w:shd w:val="clear" w:color="auto" w:fill="FFFFFF"/>
            <w:tcMar>
              <w:top w:w="0" w:type="dxa"/>
              <w:left w:w="0" w:type="dxa"/>
              <w:bottom w:w="0" w:type="dxa"/>
              <w:right w:w="0" w:type="dxa"/>
            </w:tcMar>
            <w:vAlign w:val="center"/>
            <w:hideMark/>
          </w:tcPr>
          <w:p w14:paraId="22C5F1C3"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137174 (117481-163808)</w:t>
            </w:r>
          </w:p>
        </w:tc>
        <w:tc>
          <w:tcPr>
            <w:tcW w:w="0" w:type="auto"/>
            <w:shd w:val="clear" w:color="auto" w:fill="FFFFFF"/>
            <w:tcMar>
              <w:top w:w="0" w:type="dxa"/>
              <w:left w:w="0" w:type="dxa"/>
              <w:bottom w:w="0" w:type="dxa"/>
              <w:right w:w="0" w:type="dxa"/>
            </w:tcMar>
            <w:vAlign w:val="center"/>
            <w:hideMark/>
          </w:tcPr>
          <w:p w14:paraId="1ED87E0A"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119549 (102515-143396)</w:t>
            </w:r>
          </w:p>
        </w:tc>
        <w:tc>
          <w:tcPr>
            <w:tcW w:w="0" w:type="auto"/>
            <w:shd w:val="clear" w:color="auto" w:fill="FFFFFF"/>
            <w:tcMar>
              <w:top w:w="0" w:type="dxa"/>
              <w:left w:w="0" w:type="dxa"/>
              <w:bottom w:w="0" w:type="dxa"/>
              <w:right w:w="0" w:type="dxa"/>
            </w:tcMar>
            <w:vAlign w:val="center"/>
            <w:hideMark/>
          </w:tcPr>
          <w:p w14:paraId="726801F3"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121024 (103763-145056)</w:t>
            </w:r>
          </w:p>
        </w:tc>
        <w:tc>
          <w:tcPr>
            <w:tcW w:w="0" w:type="auto"/>
            <w:shd w:val="clear" w:color="auto" w:fill="FFFFFF"/>
            <w:tcMar>
              <w:top w:w="0" w:type="dxa"/>
              <w:left w:w="0" w:type="dxa"/>
              <w:bottom w:w="0" w:type="dxa"/>
              <w:right w:w="0" w:type="dxa"/>
            </w:tcMar>
            <w:vAlign w:val="center"/>
            <w:hideMark/>
          </w:tcPr>
          <w:p w14:paraId="1B1FA996"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125402 (108084-150012)</w:t>
            </w:r>
          </w:p>
        </w:tc>
        <w:tc>
          <w:tcPr>
            <w:tcW w:w="0" w:type="auto"/>
            <w:shd w:val="clear" w:color="auto" w:fill="FFFFFF"/>
            <w:tcMar>
              <w:top w:w="0" w:type="dxa"/>
              <w:left w:w="0" w:type="dxa"/>
              <w:bottom w:w="0" w:type="dxa"/>
              <w:right w:w="0" w:type="dxa"/>
            </w:tcMar>
            <w:vAlign w:val="center"/>
            <w:hideMark/>
          </w:tcPr>
          <w:p w14:paraId="28B99EF5"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142187 (122275-170951)</w:t>
            </w:r>
          </w:p>
        </w:tc>
        <w:tc>
          <w:tcPr>
            <w:tcW w:w="0" w:type="auto"/>
            <w:shd w:val="clear" w:color="auto" w:fill="FFFFFF"/>
            <w:tcMar>
              <w:top w:w="0" w:type="dxa"/>
              <w:left w:w="0" w:type="dxa"/>
              <w:bottom w:w="0" w:type="dxa"/>
              <w:right w:w="0" w:type="dxa"/>
            </w:tcMar>
            <w:vAlign w:val="center"/>
            <w:hideMark/>
          </w:tcPr>
          <w:p w14:paraId="7413F11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155261 (133577-186113)</w:t>
            </w:r>
          </w:p>
        </w:tc>
        <w:tc>
          <w:tcPr>
            <w:tcW w:w="0" w:type="auto"/>
            <w:shd w:val="clear" w:color="auto" w:fill="FFFFFF"/>
            <w:tcMar>
              <w:top w:w="0" w:type="dxa"/>
              <w:left w:w="0" w:type="dxa"/>
              <w:bottom w:w="0" w:type="dxa"/>
              <w:right w:w="0" w:type="dxa"/>
            </w:tcMar>
            <w:vAlign w:val="center"/>
            <w:hideMark/>
          </w:tcPr>
          <w:p w14:paraId="3C143819"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181427 (156380-217745)</w:t>
            </w:r>
          </w:p>
        </w:tc>
        <w:tc>
          <w:tcPr>
            <w:tcW w:w="0" w:type="auto"/>
            <w:shd w:val="clear" w:color="auto" w:fill="FFFFFF"/>
            <w:tcMar>
              <w:top w:w="0" w:type="dxa"/>
              <w:left w:w="0" w:type="dxa"/>
              <w:bottom w:w="0" w:type="dxa"/>
              <w:right w:w="0" w:type="dxa"/>
            </w:tcMar>
            <w:vAlign w:val="center"/>
            <w:hideMark/>
          </w:tcPr>
          <w:p w14:paraId="6EB8FAF5"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224551 (193428-268820)</w:t>
            </w:r>
          </w:p>
        </w:tc>
        <w:tc>
          <w:tcPr>
            <w:tcW w:w="0" w:type="auto"/>
            <w:shd w:val="clear" w:color="auto" w:fill="FFFFFF"/>
            <w:tcMar>
              <w:top w:w="0" w:type="dxa"/>
              <w:left w:w="0" w:type="dxa"/>
              <w:bottom w:w="0" w:type="dxa"/>
              <w:right w:w="0" w:type="dxa"/>
            </w:tcMar>
            <w:vAlign w:val="center"/>
            <w:hideMark/>
          </w:tcPr>
          <w:p w14:paraId="49808E1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284898 (244408-341991)</w:t>
            </w:r>
          </w:p>
        </w:tc>
        <w:tc>
          <w:tcPr>
            <w:tcW w:w="0" w:type="auto"/>
            <w:shd w:val="clear" w:color="auto" w:fill="FFFFFF"/>
            <w:tcMar>
              <w:top w:w="0" w:type="dxa"/>
              <w:left w:w="0" w:type="dxa"/>
              <w:bottom w:w="0" w:type="dxa"/>
              <w:right w:w="0" w:type="dxa"/>
            </w:tcMar>
            <w:vAlign w:val="center"/>
            <w:hideMark/>
          </w:tcPr>
          <w:p w14:paraId="63D75F85"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350605 (302167-423334)</w:t>
            </w:r>
          </w:p>
        </w:tc>
        <w:tc>
          <w:tcPr>
            <w:tcW w:w="0" w:type="auto"/>
            <w:shd w:val="clear" w:color="auto" w:fill="FFFFFF"/>
            <w:tcMar>
              <w:top w:w="0" w:type="dxa"/>
              <w:left w:w="0" w:type="dxa"/>
              <w:bottom w:w="0" w:type="dxa"/>
              <w:right w:w="0" w:type="dxa"/>
            </w:tcMar>
            <w:vAlign w:val="center"/>
            <w:hideMark/>
          </w:tcPr>
          <w:p w14:paraId="58784B6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384419 (330358-459601)</w:t>
            </w:r>
          </w:p>
        </w:tc>
        <w:tc>
          <w:tcPr>
            <w:tcW w:w="0" w:type="auto"/>
            <w:shd w:val="clear" w:color="auto" w:fill="FFFFFF"/>
            <w:tcMar>
              <w:top w:w="0" w:type="dxa"/>
              <w:left w:w="0" w:type="dxa"/>
              <w:bottom w:w="0" w:type="dxa"/>
              <w:right w:w="0" w:type="dxa"/>
            </w:tcMar>
            <w:vAlign w:val="center"/>
            <w:hideMark/>
          </w:tcPr>
          <w:p w14:paraId="19F0AED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412157 (355720-495638)</w:t>
            </w:r>
          </w:p>
        </w:tc>
      </w:tr>
      <w:tr w:rsidR="005854AA" w:rsidRPr="00FA60AA" w14:paraId="4D916897" w14:textId="77777777" w:rsidTr="005854AA">
        <w:trPr>
          <w:cantSplit/>
        </w:trPr>
        <w:tc>
          <w:tcPr>
            <w:tcW w:w="0" w:type="auto"/>
            <w:shd w:val="clear" w:color="auto" w:fill="FFFFFF"/>
            <w:tcMar>
              <w:top w:w="0" w:type="dxa"/>
              <w:left w:w="0" w:type="dxa"/>
              <w:bottom w:w="0" w:type="dxa"/>
              <w:right w:w="0" w:type="dxa"/>
            </w:tcMar>
            <w:vAlign w:val="center"/>
            <w:hideMark/>
          </w:tcPr>
          <w:p w14:paraId="671AE3FD" w14:textId="77777777" w:rsidR="005854AA" w:rsidRPr="00FA60AA" w:rsidRDefault="005854AA" w:rsidP="005854AA">
            <w:pPr>
              <w:spacing w:before="100" w:after="100"/>
              <w:ind w:left="10" w:right="10"/>
              <w:rPr>
                <w:rFonts w:ascii="Times New Roman" w:hAnsi="Times New Roman" w:cs="Times New Roman"/>
                <w:sz w:val="16"/>
                <w:szCs w:val="16"/>
              </w:rPr>
            </w:pPr>
            <w:r w:rsidRPr="00FA60AA">
              <w:rPr>
                <w:rFonts w:ascii="Times New Roman" w:eastAsia="Arial" w:hAnsi="Times New Roman" w:cs="Times New Roman"/>
                <w:color w:val="000000"/>
                <w:sz w:val="16"/>
                <w:szCs w:val="16"/>
              </w:rPr>
              <w:t>All</w:t>
            </w:r>
          </w:p>
        </w:tc>
        <w:tc>
          <w:tcPr>
            <w:tcW w:w="0" w:type="auto"/>
            <w:shd w:val="clear" w:color="auto" w:fill="FFFFFF"/>
            <w:tcMar>
              <w:top w:w="0" w:type="dxa"/>
              <w:left w:w="0" w:type="dxa"/>
              <w:bottom w:w="0" w:type="dxa"/>
              <w:right w:w="0" w:type="dxa"/>
            </w:tcMar>
            <w:vAlign w:val="center"/>
            <w:hideMark/>
          </w:tcPr>
          <w:p w14:paraId="0DA94877"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379162 (337138-431662)</w:t>
            </w:r>
          </w:p>
        </w:tc>
        <w:tc>
          <w:tcPr>
            <w:tcW w:w="0" w:type="auto"/>
            <w:shd w:val="clear" w:color="auto" w:fill="FFFFFF"/>
            <w:tcMar>
              <w:top w:w="0" w:type="dxa"/>
              <w:left w:w="0" w:type="dxa"/>
              <w:bottom w:w="0" w:type="dxa"/>
              <w:right w:w="0" w:type="dxa"/>
            </w:tcMar>
            <w:vAlign w:val="center"/>
            <w:hideMark/>
          </w:tcPr>
          <w:p w14:paraId="324DB1C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366144 (326177-420544)</w:t>
            </w:r>
          </w:p>
        </w:tc>
        <w:tc>
          <w:tcPr>
            <w:tcW w:w="0" w:type="auto"/>
            <w:shd w:val="clear" w:color="auto" w:fill="FFFFFF"/>
            <w:tcMar>
              <w:top w:w="0" w:type="dxa"/>
              <w:left w:w="0" w:type="dxa"/>
              <w:bottom w:w="0" w:type="dxa"/>
              <w:right w:w="0" w:type="dxa"/>
            </w:tcMar>
            <w:vAlign w:val="center"/>
            <w:hideMark/>
          </w:tcPr>
          <w:p w14:paraId="69A91F9D"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332754 (296140-381178)</w:t>
            </w:r>
          </w:p>
        </w:tc>
        <w:tc>
          <w:tcPr>
            <w:tcW w:w="0" w:type="auto"/>
            <w:shd w:val="clear" w:color="auto" w:fill="FFFFFF"/>
            <w:tcMar>
              <w:top w:w="0" w:type="dxa"/>
              <w:left w:w="0" w:type="dxa"/>
              <w:bottom w:w="0" w:type="dxa"/>
              <w:right w:w="0" w:type="dxa"/>
            </w:tcMar>
            <w:vAlign w:val="center"/>
            <w:hideMark/>
          </w:tcPr>
          <w:p w14:paraId="182EB676"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298040 (263975-340724)</w:t>
            </w:r>
          </w:p>
        </w:tc>
        <w:tc>
          <w:tcPr>
            <w:tcW w:w="0" w:type="auto"/>
            <w:shd w:val="clear" w:color="auto" w:fill="FFFFFF"/>
            <w:tcMar>
              <w:top w:w="0" w:type="dxa"/>
              <w:left w:w="0" w:type="dxa"/>
              <w:bottom w:w="0" w:type="dxa"/>
              <w:right w:w="0" w:type="dxa"/>
            </w:tcMar>
            <w:vAlign w:val="center"/>
            <w:hideMark/>
          </w:tcPr>
          <w:p w14:paraId="531A79F9"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305114 (271100-348051)</w:t>
            </w:r>
          </w:p>
        </w:tc>
        <w:tc>
          <w:tcPr>
            <w:tcW w:w="0" w:type="auto"/>
            <w:shd w:val="clear" w:color="auto" w:fill="FFFFFF"/>
            <w:tcMar>
              <w:top w:w="0" w:type="dxa"/>
              <w:left w:w="0" w:type="dxa"/>
              <w:bottom w:w="0" w:type="dxa"/>
              <w:right w:w="0" w:type="dxa"/>
            </w:tcMar>
            <w:vAlign w:val="center"/>
            <w:hideMark/>
          </w:tcPr>
          <w:p w14:paraId="39C62CA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314807 (280365-360775)</w:t>
            </w:r>
          </w:p>
        </w:tc>
        <w:tc>
          <w:tcPr>
            <w:tcW w:w="0" w:type="auto"/>
            <w:shd w:val="clear" w:color="auto" w:fill="FFFFFF"/>
            <w:tcMar>
              <w:top w:w="0" w:type="dxa"/>
              <w:left w:w="0" w:type="dxa"/>
              <w:bottom w:w="0" w:type="dxa"/>
              <w:right w:w="0" w:type="dxa"/>
            </w:tcMar>
            <w:vAlign w:val="center"/>
            <w:hideMark/>
          </w:tcPr>
          <w:p w14:paraId="02AB214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334252 (297388-382577)</w:t>
            </w:r>
          </w:p>
        </w:tc>
        <w:tc>
          <w:tcPr>
            <w:tcW w:w="0" w:type="auto"/>
            <w:shd w:val="clear" w:color="auto" w:fill="FFFFFF"/>
            <w:tcMar>
              <w:top w:w="0" w:type="dxa"/>
              <w:left w:w="0" w:type="dxa"/>
              <w:bottom w:w="0" w:type="dxa"/>
              <w:right w:w="0" w:type="dxa"/>
            </w:tcMar>
            <w:vAlign w:val="center"/>
            <w:hideMark/>
          </w:tcPr>
          <w:p w14:paraId="7A27DC15"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341493 (303617-390552)</w:t>
            </w:r>
          </w:p>
        </w:tc>
        <w:tc>
          <w:tcPr>
            <w:tcW w:w="0" w:type="auto"/>
            <w:shd w:val="clear" w:color="auto" w:fill="FFFFFF"/>
            <w:tcMar>
              <w:top w:w="0" w:type="dxa"/>
              <w:left w:w="0" w:type="dxa"/>
              <w:bottom w:w="0" w:type="dxa"/>
              <w:right w:w="0" w:type="dxa"/>
            </w:tcMar>
            <w:vAlign w:val="center"/>
            <w:hideMark/>
          </w:tcPr>
          <w:p w14:paraId="6632FC2D"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377804 (335571-432547)</w:t>
            </w:r>
          </w:p>
        </w:tc>
        <w:tc>
          <w:tcPr>
            <w:tcW w:w="0" w:type="auto"/>
            <w:shd w:val="clear" w:color="auto" w:fill="FFFFFF"/>
            <w:tcMar>
              <w:top w:w="0" w:type="dxa"/>
              <w:left w:w="0" w:type="dxa"/>
              <w:bottom w:w="0" w:type="dxa"/>
              <w:right w:w="0" w:type="dxa"/>
            </w:tcMar>
            <w:vAlign w:val="center"/>
            <w:hideMark/>
          </w:tcPr>
          <w:p w14:paraId="4D01468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444619 (396035-507755)</w:t>
            </w:r>
          </w:p>
        </w:tc>
        <w:tc>
          <w:tcPr>
            <w:tcW w:w="0" w:type="auto"/>
            <w:shd w:val="clear" w:color="auto" w:fill="FFFFFF"/>
            <w:tcMar>
              <w:top w:w="0" w:type="dxa"/>
              <w:left w:w="0" w:type="dxa"/>
              <w:bottom w:w="0" w:type="dxa"/>
              <w:right w:w="0" w:type="dxa"/>
            </w:tcMar>
            <w:vAlign w:val="center"/>
            <w:hideMark/>
          </w:tcPr>
          <w:p w14:paraId="44FA9BE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536377 (475917-616099)</w:t>
            </w:r>
          </w:p>
        </w:tc>
        <w:tc>
          <w:tcPr>
            <w:tcW w:w="0" w:type="auto"/>
            <w:shd w:val="clear" w:color="auto" w:fill="FFFFFF"/>
            <w:tcMar>
              <w:top w:w="0" w:type="dxa"/>
              <w:left w:w="0" w:type="dxa"/>
              <w:bottom w:w="0" w:type="dxa"/>
              <w:right w:w="0" w:type="dxa"/>
            </w:tcMar>
            <w:vAlign w:val="center"/>
            <w:hideMark/>
          </w:tcPr>
          <w:p w14:paraId="5D3AD87C"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634760 (565892-727714)</w:t>
            </w:r>
          </w:p>
        </w:tc>
        <w:tc>
          <w:tcPr>
            <w:tcW w:w="0" w:type="auto"/>
            <w:shd w:val="clear" w:color="auto" w:fill="FFFFFF"/>
            <w:tcMar>
              <w:top w:w="0" w:type="dxa"/>
              <w:left w:w="0" w:type="dxa"/>
              <w:bottom w:w="0" w:type="dxa"/>
              <w:right w:w="0" w:type="dxa"/>
            </w:tcMar>
            <w:vAlign w:val="center"/>
            <w:hideMark/>
          </w:tcPr>
          <w:p w14:paraId="358FED68"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672572 (597620-771384)</w:t>
            </w:r>
          </w:p>
        </w:tc>
        <w:tc>
          <w:tcPr>
            <w:tcW w:w="0" w:type="auto"/>
            <w:shd w:val="clear" w:color="auto" w:fill="FFFFFF"/>
            <w:tcMar>
              <w:top w:w="0" w:type="dxa"/>
              <w:left w:w="0" w:type="dxa"/>
              <w:bottom w:w="0" w:type="dxa"/>
              <w:right w:w="0" w:type="dxa"/>
            </w:tcMar>
            <w:vAlign w:val="center"/>
            <w:hideMark/>
          </w:tcPr>
          <w:p w14:paraId="6D9378E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706652 (627855-811891)</w:t>
            </w:r>
          </w:p>
        </w:tc>
      </w:tr>
      <w:tr w:rsidR="005854AA" w:rsidRPr="00FA60AA" w14:paraId="173E5421" w14:textId="77777777" w:rsidTr="005854AA">
        <w:trPr>
          <w:cantSplit/>
        </w:trPr>
        <w:tc>
          <w:tcPr>
            <w:tcW w:w="0" w:type="auto"/>
            <w:gridSpan w:val="15"/>
            <w:shd w:val="clear" w:color="auto" w:fill="FFFFFF"/>
            <w:tcMar>
              <w:top w:w="0" w:type="dxa"/>
              <w:left w:w="0" w:type="dxa"/>
              <w:bottom w:w="0" w:type="dxa"/>
              <w:right w:w="0" w:type="dxa"/>
            </w:tcMar>
            <w:vAlign w:val="center"/>
            <w:hideMark/>
          </w:tcPr>
          <w:p w14:paraId="5E6657AC" w14:textId="77777777" w:rsidR="005854AA" w:rsidRPr="00FA60AA" w:rsidRDefault="005854AA" w:rsidP="005854AA">
            <w:pPr>
              <w:spacing w:before="100" w:after="100"/>
              <w:ind w:left="10" w:right="10"/>
              <w:rPr>
                <w:rFonts w:ascii="Times New Roman" w:hAnsi="Times New Roman" w:cs="Times New Roman"/>
                <w:b/>
                <w:bCs/>
                <w:sz w:val="16"/>
                <w:szCs w:val="16"/>
              </w:rPr>
            </w:pPr>
            <w:r w:rsidRPr="00FA60AA">
              <w:rPr>
                <w:rFonts w:ascii="Times New Roman" w:eastAsia="Arial" w:hAnsi="Times New Roman" w:cs="Times New Roman"/>
                <w:b/>
                <w:bCs/>
                <w:color w:val="000000"/>
                <w:sz w:val="16"/>
                <w:szCs w:val="16"/>
              </w:rPr>
              <w:t>Women</w:t>
            </w:r>
          </w:p>
        </w:tc>
      </w:tr>
      <w:tr w:rsidR="005854AA" w:rsidRPr="00FA60AA" w14:paraId="5493B30F" w14:textId="77777777" w:rsidTr="005854AA">
        <w:trPr>
          <w:cantSplit/>
        </w:trPr>
        <w:tc>
          <w:tcPr>
            <w:tcW w:w="0" w:type="auto"/>
            <w:shd w:val="clear" w:color="auto" w:fill="FFFFFF"/>
            <w:tcMar>
              <w:top w:w="0" w:type="dxa"/>
              <w:left w:w="0" w:type="dxa"/>
              <w:bottom w:w="0" w:type="dxa"/>
              <w:right w:w="0" w:type="dxa"/>
            </w:tcMar>
            <w:vAlign w:val="center"/>
            <w:hideMark/>
          </w:tcPr>
          <w:p w14:paraId="4D2E2604" w14:textId="77777777" w:rsidR="005854AA" w:rsidRPr="00FA60AA" w:rsidRDefault="005854AA" w:rsidP="005854AA">
            <w:pPr>
              <w:spacing w:before="100" w:after="100"/>
              <w:ind w:left="10" w:right="10"/>
              <w:rPr>
                <w:rFonts w:ascii="Times New Roman" w:hAnsi="Times New Roman" w:cs="Times New Roman"/>
                <w:sz w:val="16"/>
                <w:szCs w:val="16"/>
              </w:rPr>
            </w:pPr>
            <w:r w:rsidRPr="00FA60AA">
              <w:rPr>
                <w:rFonts w:ascii="Times New Roman" w:eastAsia="Arial" w:hAnsi="Times New Roman" w:cs="Times New Roman"/>
                <w:color w:val="000000"/>
                <w:sz w:val="16"/>
                <w:szCs w:val="16"/>
              </w:rPr>
              <w:t>15-24</w:t>
            </w:r>
          </w:p>
        </w:tc>
        <w:tc>
          <w:tcPr>
            <w:tcW w:w="0" w:type="auto"/>
            <w:shd w:val="clear" w:color="auto" w:fill="FFFFFF"/>
            <w:tcMar>
              <w:top w:w="0" w:type="dxa"/>
              <w:left w:w="0" w:type="dxa"/>
              <w:bottom w:w="0" w:type="dxa"/>
              <w:right w:w="0" w:type="dxa"/>
            </w:tcMar>
            <w:vAlign w:val="center"/>
            <w:hideMark/>
          </w:tcPr>
          <w:p w14:paraId="7E7551D9"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516547 (439521-616384)</w:t>
            </w:r>
          </w:p>
        </w:tc>
        <w:tc>
          <w:tcPr>
            <w:tcW w:w="0" w:type="auto"/>
            <w:shd w:val="clear" w:color="auto" w:fill="FFFFFF"/>
            <w:tcMar>
              <w:top w:w="0" w:type="dxa"/>
              <w:left w:w="0" w:type="dxa"/>
              <w:bottom w:w="0" w:type="dxa"/>
              <w:right w:w="0" w:type="dxa"/>
            </w:tcMar>
            <w:vAlign w:val="center"/>
            <w:hideMark/>
          </w:tcPr>
          <w:p w14:paraId="75D1EF55"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515813 (437840-612335)</w:t>
            </w:r>
          </w:p>
        </w:tc>
        <w:tc>
          <w:tcPr>
            <w:tcW w:w="0" w:type="auto"/>
            <w:shd w:val="clear" w:color="auto" w:fill="FFFFFF"/>
            <w:tcMar>
              <w:top w:w="0" w:type="dxa"/>
              <w:left w:w="0" w:type="dxa"/>
              <w:bottom w:w="0" w:type="dxa"/>
              <w:right w:w="0" w:type="dxa"/>
            </w:tcMar>
            <w:vAlign w:val="center"/>
            <w:hideMark/>
          </w:tcPr>
          <w:p w14:paraId="11D799AD"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491005 (417669-581033)</w:t>
            </w:r>
          </w:p>
        </w:tc>
        <w:tc>
          <w:tcPr>
            <w:tcW w:w="0" w:type="auto"/>
            <w:shd w:val="clear" w:color="auto" w:fill="FFFFFF"/>
            <w:tcMar>
              <w:top w:w="0" w:type="dxa"/>
              <w:left w:w="0" w:type="dxa"/>
              <w:bottom w:w="0" w:type="dxa"/>
              <w:right w:w="0" w:type="dxa"/>
            </w:tcMar>
            <w:vAlign w:val="center"/>
            <w:hideMark/>
          </w:tcPr>
          <w:p w14:paraId="172F36D3"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431912 (368005-514354)</w:t>
            </w:r>
          </w:p>
        </w:tc>
        <w:tc>
          <w:tcPr>
            <w:tcW w:w="0" w:type="auto"/>
            <w:shd w:val="clear" w:color="auto" w:fill="FFFFFF"/>
            <w:tcMar>
              <w:top w:w="0" w:type="dxa"/>
              <w:left w:w="0" w:type="dxa"/>
              <w:bottom w:w="0" w:type="dxa"/>
              <w:right w:w="0" w:type="dxa"/>
            </w:tcMar>
            <w:vAlign w:val="center"/>
            <w:hideMark/>
          </w:tcPr>
          <w:p w14:paraId="0957003E"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436115 (372608-517976)</w:t>
            </w:r>
          </w:p>
        </w:tc>
        <w:tc>
          <w:tcPr>
            <w:tcW w:w="0" w:type="auto"/>
            <w:shd w:val="clear" w:color="auto" w:fill="FFFFFF"/>
            <w:tcMar>
              <w:top w:w="0" w:type="dxa"/>
              <w:left w:w="0" w:type="dxa"/>
              <w:bottom w:w="0" w:type="dxa"/>
              <w:right w:w="0" w:type="dxa"/>
            </w:tcMar>
            <w:vAlign w:val="center"/>
            <w:hideMark/>
          </w:tcPr>
          <w:p w14:paraId="69B0F7DA"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457917 (388649-545774)</w:t>
            </w:r>
          </w:p>
        </w:tc>
        <w:tc>
          <w:tcPr>
            <w:tcW w:w="0" w:type="auto"/>
            <w:shd w:val="clear" w:color="auto" w:fill="FFFFFF"/>
            <w:tcMar>
              <w:top w:w="0" w:type="dxa"/>
              <w:left w:w="0" w:type="dxa"/>
              <w:bottom w:w="0" w:type="dxa"/>
              <w:right w:w="0" w:type="dxa"/>
            </w:tcMar>
            <w:vAlign w:val="center"/>
            <w:hideMark/>
          </w:tcPr>
          <w:p w14:paraId="45216247"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436977 (372714-520223)</w:t>
            </w:r>
          </w:p>
        </w:tc>
        <w:tc>
          <w:tcPr>
            <w:tcW w:w="0" w:type="auto"/>
            <w:shd w:val="clear" w:color="auto" w:fill="FFFFFF"/>
            <w:tcMar>
              <w:top w:w="0" w:type="dxa"/>
              <w:left w:w="0" w:type="dxa"/>
              <w:bottom w:w="0" w:type="dxa"/>
              <w:right w:w="0" w:type="dxa"/>
            </w:tcMar>
            <w:vAlign w:val="center"/>
            <w:hideMark/>
          </w:tcPr>
          <w:p w14:paraId="2CC40FD7"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388758 (332639-463240)</w:t>
            </w:r>
          </w:p>
        </w:tc>
        <w:tc>
          <w:tcPr>
            <w:tcW w:w="0" w:type="auto"/>
            <w:shd w:val="clear" w:color="auto" w:fill="FFFFFF"/>
            <w:tcMar>
              <w:top w:w="0" w:type="dxa"/>
              <w:left w:w="0" w:type="dxa"/>
              <w:bottom w:w="0" w:type="dxa"/>
              <w:right w:w="0" w:type="dxa"/>
            </w:tcMar>
            <w:vAlign w:val="center"/>
            <w:hideMark/>
          </w:tcPr>
          <w:p w14:paraId="78A080F8"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374365 (320238-444484)</w:t>
            </w:r>
          </w:p>
        </w:tc>
        <w:tc>
          <w:tcPr>
            <w:tcW w:w="0" w:type="auto"/>
            <w:shd w:val="clear" w:color="auto" w:fill="FFFFFF"/>
            <w:tcMar>
              <w:top w:w="0" w:type="dxa"/>
              <w:left w:w="0" w:type="dxa"/>
              <w:bottom w:w="0" w:type="dxa"/>
              <w:right w:w="0" w:type="dxa"/>
            </w:tcMar>
            <w:vAlign w:val="center"/>
            <w:hideMark/>
          </w:tcPr>
          <w:p w14:paraId="4080B07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387058 (331382-459782)</w:t>
            </w:r>
          </w:p>
        </w:tc>
        <w:tc>
          <w:tcPr>
            <w:tcW w:w="0" w:type="auto"/>
            <w:shd w:val="clear" w:color="auto" w:fill="FFFFFF"/>
            <w:tcMar>
              <w:top w:w="0" w:type="dxa"/>
              <w:left w:w="0" w:type="dxa"/>
              <w:bottom w:w="0" w:type="dxa"/>
              <w:right w:w="0" w:type="dxa"/>
            </w:tcMar>
            <w:vAlign w:val="center"/>
            <w:hideMark/>
          </w:tcPr>
          <w:p w14:paraId="23FDACC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422263 (359278-500074)</w:t>
            </w:r>
          </w:p>
        </w:tc>
        <w:tc>
          <w:tcPr>
            <w:tcW w:w="0" w:type="auto"/>
            <w:shd w:val="clear" w:color="auto" w:fill="FFFFFF"/>
            <w:tcMar>
              <w:top w:w="0" w:type="dxa"/>
              <w:left w:w="0" w:type="dxa"/>
              <w:bottom w:w="0" w:type="dxa"/>
              <w:right w:w="0" w:type="dxa"/>
            </w:tcMar>
            <w:vAlign w:val="center"/>
            <w:hideMark/>
          </w:tcPr>
          <w:p w14:paraId="55D92973"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489967 (414501-581774)</w:t>
            </w:r>
          </w:p>
        </w:tc>
        <w:tc>
          <w:tcPr>
            <w:tcW w:w="0" w:type="auto"/>
            <w:shd w:val="clear" w:color="auto" w:fill="FFFFFF"/>
            <w:tcMar>
              <w:top w:w="0" w:type="dxa"/>
              <w:left w:w="0" w:type="dxa"/>
              <w:bottom w:w="0" w:type="dxa"/>
              <w:right w:w="0" w:type="dxa"/>
            </w:tcMar>
            <w:vAlign w:val="center"/>
            <w:hideMark/>
          </w:tcPr>
          <w:p w14:paraId="0718099B"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489306 (415983-584479)</w:t>
            </w:r>
          </w:p>
        </w:tc>
        <w:tc>
          <w:tcPr>
            <w:tcW w:w="0" w:type="auto"/>
            <w:shd w:val="clear" w:color="auto" w:fill="FFFFFF"/>
            <w:tcMar>
              <w:top w:w="0" w:type="dxa"/>
              <w:left w:w="0" w:type="dxa"/>
              <w:bottom w:w="0" w:type="dxa"/>
              <w:right w:w="0" w:type="dxa"/>
            </w:tcMar>
            <w:vAlign w:val="center"/>
            <w:hideMark/>
          </w:tcPr>
          <w:p w14:paraId="40353735"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509092 (433531-608408)</w:t>
            </w:r>
          </w:p>
        </w:tc>
      </w:tr>
      <w:tr w:rsidR="005854AA" w:rsidRPr="00FA60AA" w14:paraId="3D705D7F" w14:textId="77777777" w:rsidTr="005854AA">
        <w:trPr>
          <w:cantSplit/>
        </w:trPr>
        <w:tc>
          <w:tcPr>
            <w:tcW w:w="0" w:type="auto"/>
            <w:shd w:val="clear" w:color="auto" w:fill="FFFFFF"/>
            <w:tcMar>
              <w:top w:w="0" w:type="dxa"/>
              <w:left w:w="0" w:type="dxa"/>
              <w:bottom w:w="0" w:type="dxa"/>
              <w:right w:w="0" w:type="dxa"/>
            </w:tcMar>
            <w:vAlign w:val="center"/>
            <w:hideMark/>
          </w:tcPr>
          <w:p w14:paraId="4149393D" w14:textId="77777777" w:rsidR="005854AA" w:rsidRPr="00FA60AA" w:rsidRDefault="005854AA" w:rsidP="005854AA">
            <w:pPr>
              <w:spacing w:before="100" w:after="100"/>
              <w:ind w:left="10" w:right="10"/>
              <w:rPr>
                <w:rFonts w:ascii="Times New Roman" w:hAnsi="Times New Roman" w:cs="Times New Roman"/>
                <w:sz w:val="16"/>
                <w:szCs w:val="16"/>
              </w:rPr>
            </w:pPr>
            <w:r w:rsidRPr="00FA60AA">
              <w:rPr>
                <w:rFonts w:ascii="Times New Roman" w:eastAsia="Arial" w:hAnsi="Times New Roman" w:cs="Times New Roman"/>
                <w:color w:val="000000"/>
                <w:sz w:val="16"/>
                <w:szCs w:val="16"/>
              </w:rPr>
              <w:t>25-39</w:t>
            </w:r>
          </w:p>
        </w:tc>
        <w:tc>
          <w:tcPr>
            <w:tcW w:w="0" w:type="auto"/>
            <w:shd w:val="clear" w:color="auto" w:fill="FFFFFF"/>
            <w:tcMar>
              <w:top w:w="0" w:type="dxa"/>
              <w:left w:w="0" w:type="dxa"/>
              <w:bottom w:w="0" w:type="dxa"/>
              <w:right w:w="0" w:type="dxa"/>
            </w:tcMar>
            <w:vAlign w:val="center"/>
            <w:hideMark/>
          </w:tcPr>
          <w:p w14:paraId="3125BD7E"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216851 (184612-260321)</w:t>
            </w:r>
          </w:p>
        </w:tc>
        <w:tc>
          <w:tcPr>
            <w:tcW w:w="0" w:type="auto"/>
            <w:shd w:val="clear" w:color="auto" w:fill="FFFFFF"/>
            <w:tcMar>
              <w:top w:w="0" w:type="dxa"/>
              <w:left w:w="0" w:type="dxa"/>
              <w:bottom w:w="0" w:type="dxa"/>
              <w:right w:w="0" w:type="dxa"/>
            </w:tcMar>
            <w:vAlign w:val="center"/>
            <w:hideMark/>
          </w:tcPr>
          <w:p w14:paraId="0FE3469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209764 (176978-252329)</w:t>
            </w:r>
          </w:p>
        </w:tc>
        <w:tc>
          <w:tcPr>
            <w:tcW w:w="0" w:type="auto"/>
            <w:shd w:val="clear" w:color="auto" w:fill="FFFFFF"/>
            <w:tcMar>
              <w:top w:w="0" w:type="dxa"/>
              <w:left w:w="0" w:type="dxa"/>
              <w:bottom w:w="0" w:type="dxa"/>
              <w:right w:w="0" w:type="dxa"/>
            </w:tcMar>
            <w:vAlign w:val="center"/>
            <w:hideMark/>
          </w:tcPr>
          <w:p w14:paraId="1D17009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190537 (160955-228724)</w:t>
            </w:r>
          </w:p>
        </w:tc>
        <w:tc>
          <w:tcPr>
            <w:tcW w:w="0" w:type="auto"/>
            <w:shd w:val="clear" w:color="auto" w:fill="FFFFFF"/>
            <w:tcMar>
              <w:top w:w="0" w:type="dxa"/>
              <w:left w:w="0" w:type="dxa"/>
              <w:bottom w:w="0" w:type="dxa"/>
              <w:right w:w="0" w:type="dxa"/>
            </w:tcMar>
            <w:vAlign w:val="center"/>
            <w:hideMark/>
          </w:tcPr>
          <w:p w14:paraId="167D96FE"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160352 (136230-192806)</w:t>
            </w:r>
          </w:p>
        </w:tc>
        <w:tc>
          <w:tcPr>
            <w:tcW w:w="0" w:type="auto"/>
            <w:shd w:val="clear" w:color="auto" w:fill="FFFFFF"/>
            <w:tcMar>
              <w:top w:w="0" w:type="dxa"/>
              <w:left w:w="0" w:type="dxa"/>
              <w:bottom w:w="0" w:type="dxa"/>
              <w:right w:w="0" w:type="dxa"/>
            </w:tcMar>
            <w:vAlign w:val="center"/>
            <w:hideMark/>
          </w:tcPr>
          <w:p w14:paraId="6B16395B"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160742 (135739-191816)</w:t>
            </w:r>
          </w:p>
        </w:tc>
        <w:tc>
          <w:tcPr>
            <w:tcW w:w="0" w:type="auto"/>
            <w:shd w:val="clear" w:color="auto" w:fill="FFFFFF"/>
            <w:tcMar>
              <w:top w:w="0" w:type="dxa"/>
              <w:left w:w="0" w:type="dxa"/>
              <w:bottom w:w="0" w:type="dxa"/>
              <w:right w:w="0" w:type="dxa"/>
            </w:tcMar>
            <w:vAlign w:val="center"/>
            <w:hideMark/>
          </w:tcPr>
          <w:p w14:paraId="4EA342E8"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161679 (137431-191901)</w:t>
            </w:r>
          </w:p>
        </w:tc>
        <w:tc>
          <w:tcPr>
            <w:tcW w:w="0" w:type="auto"/>
            <w:shd w:val="clear" w:color="auto" w:fill="FFFFFF"/>
            <w:tcMar>
              <w:top w:w="0" w:type="dxa"/>
              <w:left w:w="0" w:type="dxa"/>
              <w:bottom w:w="0" w:type="dxa"/>
              <w:right w:w="0" w:type="dxa"/>
            </w:tcMar>
            <w:vAlign w:val="center"/>
            <w:hideMark/>
          </w:tcPr>
          <w:p w14:paraId="684A990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175692 (149737-209130)</w:t>
            </w:r>
          </w:p>
        </w:tc>
        <w:tc>
          <w:tcPr>
            <w:tcW w:w="0" w:type="auto"/>
            <w:shd w:val="clear" w:color="auto" w:fill="FFFFFF"/>
            <w:tcMar>
              <w:top w:w="0" w:type="dxa"/>
              <w:left w:w="0" w:type="dxa"/>
              <w:bottom w:w="0" w:type="dxa"/>
              <w:right w:w="0" w:type="dxa"/>
            </w:tcMar>
            <w:vAlign w:val="center"/>
            <w:hideMark/>
          </w:tcPr>
          <w:p w14:paraId="10DD2D63"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178764 (152405-212175)</w:t>
            </w:r>
          </w:p>
        </w:tc>
        <w:tc>
          <w:tcPr>
            <w:tcW w:w="0" w:type="auto"/>
            <w:shd w:val="clear" w:color="auto" w:fill="FFFFFF"/>
            <w:tcMar>
              <w:top w:w="0" w:type="dxa"/>
              <w:left w:w="0" w:type="dxa"/>
              <w:bottom w:w="0" w:type="dxa"/>
              <w:right w:w="0" w:type="dxa"/>
            </w:tcMar>
            <w:vAlign w:val="center"/>
            <w:hideMark/>
          </w:tcPr>
          <w:p w14:paraId="1022D6E8"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189888 (161662-224923)</w:t>
            </w:r>
          </w:p>
        </w:tc>
        <w:tc>
          <w:tcPr>
            <w:tcW w:w="0" w:type="auto"/>
            <w:shd w:val="clear" w:color="auto" w:fill="FFFFFF"/>
            <w:tcMar>
              <w:top w:w="0" w:type="dxa"/>
              <w:left w:w="0" w:type="dxa"/>
              <w:bottom w:w="0" w:type="dxa"/>
              <w:right w:w="0" w:type="dxa"/>
            </w:tcMar>
            <w:vAlign w:val="center"/>
            <w:hideMark/>
          </w:tcPr>
          <w:p w14:paraId="239B2EA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213126 (182848-252653)</w:t>
            </w:r>
          </w:p>
        </w:tc>
        <w:tc>
          <w:tcPr>
            <w:tcW w:w="0" w:type="auto"/>
            <w:shd w:val="clear" w:color="auto" w:fill="FFFFFF"/>
            <w:tcMar>
              <w:top w:w="0" w:type="dxa"/>
              <w:left w:w="0" w:type="dxa"/>
              <w:bottom w:w="0" w:type="dxa"/>
              <w:right w:w="0" w:type="dxa"/>
            </w:tcMar>
            <w:vAlign w:val="center"/>
            <w:hideMark/>
          </w:tcPr>
          <w:p w14:paraId="13591170"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255695 (219386-302809)</w:t>
            </w:r>
          </w:p>
        </w:tc>
        <w:tc>
          <w:tcPr>
            <w:tcW w:w="0" w:type="auto"/>
            <w:shd w:val="clear" w:color="auto" w:fill="FFFFFF"/>
            <w:tcMar>
              <w:top w:w="0" w:type="dxa"/>
              <w:left w:w="0" w:type="dxa"/>
              <w:bottom w:w="0" w:type="dxa"/>
              <w:right w:w="0" w:type="dxa"/>
            </w:tcMar>
            <w:vAlign w:val="center"/>
            <w:hideMark/>
          </w:tcPr>
          <w:p w14:paraId="5AFEB09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318114 (272011-377520)</w:t>
            </w:r>
          </w:p>
        </w:tc>
        <w:tc>
          <w:tcPr>
            <w:tcW w:w="0" w:type="auto"/>
            <w:shd w:val="clear" w:color="auto" w:fill="FFFFFF"/>
            <w:tcMar>
              <w:top w:w="0" w:type="dxa"/>
              <w:left w:w="0" w:type="dxa"/>
              <w:bottom w:w="0" w:type="dxa"/>
              <w:right w:w="0" w:type="dxa"/>
            </w:tcMar>
            <w:vAlign w:val="center"/>
            <w:hideMark/>
          </w:tcPr>
          <w:p w14:paraId="77C91520"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349766 (297367-414884)</w:t>
            </w:r>
          </w:p>
        </w:tc>
        <w:tc>
          <w:tcPr>
            <w:tcW w:w="0" w:type="auto"/>
            <w:shd w:val="clear" w:color="auto" w:fill="FFFFFF"/>
            <w:tcMar>
              <w:top w:w="0" w:type="dxa"/>
              <w:left w:w="0" w:type="dxa"/>
              <w:bottom w:w="0" w:type="dxa"/>
              <w:right w:w="0" w:type="dxa"/>
            </w:tcMar>
            <w:vAlign w:val="center"/>
            <w:hideMark/>
          </w:tcPr>
          <w:p w14:paraId="783C5406"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346859 (294160-414094)</w:t>
            </w:r>
          </w:p>
        </w:tc>
      </w:tr>
      <w:tr w:rsidR="005854AA" w:rsidRPr="00FA60AA" w14:paraId="5FF33BC6" w14:textId="77777777" w:rsidTr="005854AA">
        <w:trPr>
          <w:cantSplit/>
        </w:trPr>
        <w:tc>
          <w:tcPr>
            <w:tcW w:w="0" w:type="auto"/>
            <w:shd w:val="clear" w:color="auto" w:fill="FFFFFF"/>
            <w:tcMar>
              <w:top w:w="0" w:type="dxa"/>
              <w:left w:w="0" w:type="dxa"/>
              <w:bottom w:w="0" w:type="dxa"/>
              <w:right w:w="0" w:type="dxa"/>
            </w:tcMar>
            <w:vAlign w:val="center"/>
            <w:hideMark/>
          </w:tcPr>
          <w:p w14:paraId="1ABF9998" w14:textId="77777777" w:rsidR="005854AA" w:rsidRPr="00FA60AA" w:rsidRDefault="005854AA" w:rsidP="005854AA">
            <w:pPr>
              <w:spacing w:before="100" w:after="100"/>
              <w:ind w:left="10" w:right="10"/>
              <w:rPr>
                <w:rFonts w:ascii="Times New Roman" w:hAnsi="Times New Roman" w:cs="Times New Roman"/>
                <w:sz w:val="16"/>
                <w:szCs w:val="16"/>
              </w:rPr>
            </w:pPr>
            <w:r w:rsidRPr="00FA60AA">
              <w:rPr>
                <w:rFonts w:ascii="Times New Roman" w:eastAsia="Arial" w:hAnsi="Times New Roman" w:cs="Times New Roman"/>
                <w:color w:val="000000"/>
                <w:sz w:val="16"/>
                <w:szCs w:val="16"/>
              </w:rPr>
              <w:t>All</w:t>
            </w:r>
          </w:p>
        </w:tc>
        <w:tc>
          <w:tcPr>
            <w:tcW w:w="0" w:type="auto"/>
            <w:shd w:val="clear" w:color="auto" w:fill="FFFFFF"/>
            <w:tcMar>
              <w:top w:w="0" w:type="dxa"/>
              <w:left w:w="0" w:type="dxa"/>
              <w:bottom w:w="0" w:type="dxa"/>
              <w:right w:w="0" w:type="dxa"/>
            </w:tcMar>
            <w:vAlign w:val="center"/>
            <w:hideMark/>
          </w:tcPr>
          <w:p w14:paraId="4374287F"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746428 (659953-857749)</w:t>
            </w:r>
          </w:p>
        </w:tc>
        <w:tc>
          <w:tcPr>
            <w:tcW w:w="0" w:type="auto"/>
            <w:shd w:val="clear" w:color="auto" w:fill="FFFFFF"/>
            <w:tcMar>
              <w:top w:w="0" w:type="dxa"/>
              <w:left w:w="0" w:type="dxa"/>
              <w:bottom w:w="0" w:type="dxa"/>
              <w:right w:w="0" w:type="dxa"/>
            </w:tcMar>
            <w:vAlign w:val="center"/>
            <w:hideMark/>
          </w:tcPr>
          <w:p w14:paraId="5A426687"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737506 (649972-844973)</w:t>
            </w:r>
          </w:p>
        </w:tc>
        <w:tc>
          <w:tcPr>
            <w:tcW w:w="0" w:type="auto"/>
            <w:shd w:val="clear" w:color="auto" w:fill="FFFFFF"/>
            <w:tcMar>
              <w:top w:w="0" w:type="dxa"/>
              <w:left w:w="0" w:type="dxa"/>
              <w:bottom w:w="0" w:type="dxa"/>
              <w:right w:w="0" w:type="dxa"/>
            </w:tcMar>
            <w:vAlign w:val="center"/>
            <w:hideMark/>
          </w:tcPr>
          <w:p w14:paraId="4064337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693113 (611384-789562)</w:t>
            </w:r>
          </w:p>
        </w:tc>
        <w:tc>
          <w:tcPr>
            <w:tcW w:w="0" w:type="auto"/>
            <w:shd w:val="clear" w:color="auto" w:fill="FFFFFF"/>
            <w:tcMar>
              <w:top w:w="0" w:type="dxa"/>
              <w:left w:w="0" w:type="dxa"/>
              <w:bottom w:w="0" w:type="dxa"/>
              <w:right w:w="0" w:type="dxa"/>
            </w:tcMar>
            <w:vAlign w:val="center"/>
            <w:hideMark/>
          </w:tcPr>
          <w:p w14:paraId="5F164D3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602373 (530490-691031)</w:t>
            </w:r>
          </w:p>
        </w:tc>
        <w:tc>
          <w:tcPr>
            <w:tcW w:w="0" w:type="auto"/>
            <w:shd w:val="clear" w:color="auto" w:fill="FFFFFF"/>
            <w:tcMar>
              <w:top w:w="0" w:type="dxa"/>
              <w:left w:w="0" w:type="dxa"/>
              <w:bottom w:w="0" w:type="dxa"/>
              <w:right w:w="0" w:type="dxa"/>
            </w:tcMar>
            <w:vAlign w:val="center"/>
            <w:hideMark/>
          </w:tcPr>
          <w:p w14:paraId="759C3427"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606304 (535942-692308)</w:t>
            </w:r>
          </w:p>
        </w:tc>
        <w:tc>
          <w:tcPr>
            <w:tcW w:w="0" w:type="auto"/>
            <w:shd w:val="clear" w:color="auto" w:fill="FFFFFF"/>
            <w:tcMar>
              <w:top w:w="0" w:type="dxa"/>
              <w:left w:w="0" w:type="dxa"/>
              <w:bottom w:w="0" w:type="dxa"/>
              <w:right w:w="0" w:type="dxa"/>
            </w:tcMar>
            <w:vAlign w:val="center"/>
            <w:hideMark/>
          </w:tcPr>
          <w:p w14:paraId="0489B6D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628159 (553858-717431)</w:t>
            </w:r>
          </w:p>
        </w:tc>
        <w:tc>
          <w:tcPr>
            <w:tcW w:w="0" w:type="auto"/>
            <w:shd w:val="clear" w:color="auto" w:fill="FFFFFF"/>
            <w:tcMar>
              <w:top w:w="0" w:type="dxa"/>
              <w:left w:w="0" w:type="dxa"/>
              <w:bottom w:w="0" w:type="dxa"/>
              <w:right w:w="0" w:type="dxa"/>
            </w:tcMar>
            <w:vAlign w:val="center"/>
            <w:hideMark/>
          </w:tcPr>
          <w:p w14:paraId="3237A3D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622714 (551574-713063)</w:t>
            </w:r>
          </w:p>
        </w:tc>
        <w:tc>
          <w:tcPr>
            <w:tcW w:w="0" w:type="auto"/>
            <w:shd w:val="clear" w:color="auto" w:fill="FFFFFF"/>
            <w:tcMar>
              <w:top w:w="0" w:type="dxa"/>
              <w:left w:w="0" w:type="dxa"/>
              <w:bottom w:w="0" w:type="dxa"/>
              <w:right w:w="0" w:type="dxa"/>
            </w:tcMar>
            <w:vAlign w:val="center"/>
            <w:hideMark/>
          </w:tcPr>
          <w:p w14:paraId="1B94DA6E"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576504 (511822-659058)</w:t>
            </w:r>
          </w:p>
        </w:tc>
        <w:tc>
          <w:tcPr>
            <w:tcW w:w="0" w:type="auto"/>
            <w:shd w:val="clear" w:color="auto" w:fill="FFFFFF"/>
            <w:tcMar>
              <w:top w:w="0" w:type="dxa"/>
              <w:left w:w="0" w:type="dxa"/>
              <w:bottom w:w="0" w:type="dxa"/>
              <w:right w:w="0" w:type="dxa"/>
            </w:tcMar>
            <w:vAlign w:val="center"/>
            <w:hideMark/>
          </w:tcPr>
          <w:p w14:paraId="388C5C58"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574029 (509640-654303)</w:t>
            </w:r>
          </w:p>
        </w:tc>
        <w:tc>
          <w:tcPr>
            <w:tcW w:w="0" w:type="auto"/>
            <w:shd w:val="clear" w:color="auto" w:fill="FFFFFF"/>
            <w:tcMar>
              <w:top w:w="0" w:type="dxa"/>
              <w:left w:w="0" w:type="dxa"/>
              <w:bottom w:w="0" w:type="dxa"/>
              <w:right w:w="0" w:type="dxa"/>
            </w:tcMar>
            <w:vAlign w:val="center"/>
            <w:hideMark/>
          </w:tcPr>
          <w:p w14:paraId="7BBF6026"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611534 (542989-694887)</w:t>
            </w:r>
          </w:p>
        </w:tc>
        <w:tc>
          <w:tcPr>
            <w:tcW w:w="0" w:type="auto"/>
            <w:shd w:val="clear" w:color="auto" w:fill="FFFFFF"/>
            <w:tcMar>
              <w:top w:w="0" w:type="dxa"/>
              <w:left w:w="0" w:type="dxa"/>
              <w:bottom w:w="0" w:type="dxa"/>
              <w:right w:w="0" w:type="dxa"/>
            </w:tcMar>
            <w:vAlign w:val="center"/>
            <w:hideMark/>
          </w:tcPr>
          <w:p w14:paraId="77D89D3E"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690895 (613177-783098)</w:t>
            </w:r>
          </w:p>
        </w:tc>
        <w:tc>
          <w:tcPr>
            <w:tcW w:w="0" w:type="auto"/>
            <w:shd w:val="clear" w:color="auto" w:fill="FFFFFF"/>
            <w:tcMar>
              <w:top w:w="0" w:type="dxa"/>
              <w:left w:w="0" w:type="dxa"/>
              <w:bottom w:w="0" w:type="dxa"/>
              <w:right w:w="0" w:type="dxa"/>
            </w:tcMar>
            <w:vAlign w:val="center"/>
            <w:hideMark/>
          </w:tcPr>
          <w:p w14:paraId="4C155513"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823019 (729698-938362)</w:t>
            </w:r>
          </w:p>
        </w:tc>
        <w:tc>
          <w:tcPr>
            <w:tcW w:w="0" w:type="auto"/>
            <w:shd w:val="clear" w:color="auto" w:fill="FFFFFF"/>
            <w:tcMar>
              <w:top w:w="0" w:type="dxa"/>
              <w:left w:w="0" w:type="dxa"/>
              <w:bottom w:w="0" w:type="dxa"/>
              <w:right w:w="0" w:type="dxa"/>
            </w:tcMar>
            <w:vAlign w:val="center"/>
            <w:hideMark/>
          </w:tcPr>
          <w:p w14:paraId="696D95FD"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859005 (762047-975504)</w:t>
            </w:r>
          </w:p>
        </w:tc>
        <w:tc>
          <w:tcPr>
            <w:tcW w:w="0" w:type="auto"/>
            <w:shd w:val="clear" w:color="auto" w:fill="FFFFFF"/>
            <w:tcMar>
              <w:top w:w="0" w:type="dxa"/>
              <w:left w:w="0" w:type="dxa"/>
              <w:bottom w:w="0" w:type="dxa"/>
              <w:right w:w="0" w:type="dxa"/>
            </w:tcMar>
            <w:vAlign w:val="center"/>
            <w:hideMark/>
          </w:tcPr>
          <w:p w14:paraId="2C1FEDD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873256 (775665-993515)</w:t>
            </w:r>
          </w:p>
        </w:tc>
      </w:tr>
      <w:tr w:rsidR="005854AA" w:rsidRPr="00FA60AA" w14:paraId="36D49BE3" w14:textId="77777777" w:rsidTr="005854AA">
        <w:trPr>
          <w:cantSplit/>
        </w:trPr>
        <w:tc>
          <w:tcPr>
            <w:tcW w:w="0" w:type="auto"/>
            <w:gridSpan w:val="15"/>
            <w:shd w:val="clear" w:color="auto" w:fill="FFFFFF"/>
            <w:tcMar>
              <w:top w:w="0" w:type="dxa"/>
              <w:left w:w="0" w:type="dxa"/>
              <w:bottom w:w="0" w:type="dxa"/>
              <w:right w:w="0" w:type="dxa"/>
            </w:tcMar>
            <w:vAlign w:val="center"/>
            <w:hideMark/>
          </w:tcPr>
          <w:p w14:paraId="1148F466" w14:textId="77777777" w:rsidR="005854AA" w:rsidRPr="00FA60AA" w:rsidRDefault="005854AA" w:rsidP="005854AA">
            <w:pPr>
              <w:spacing w:before="100" w:after="100"/>
              <w:ind w:left="10" w:right="10"/>
              <w:rPr>
                <w:rFonts w:ascii="Times New Roman" w:hAnsi="Times New Roman" w:cs="Times New Roman"/>
                <w:b/>
                <w:bCs/>
                <w:sz w:val="16"/>
                <w:szCs w:val="16"/>
              </w:rPr>
            </w:pPr>
            <w:r w:rsidRPr="00FA60AA">
              <w:rPr>
                <w:rFonts w:ascii="Times New Roman" w:eastAsia="Arial" w:hAnsi="Times New Roman" w:cs="Times New Roman"/>
                <w:b/>
                <w:bCs/>
                <w:color w:val="000000"/>
                <w:sz w:val="16"/>
                <w:szCs w:val="16"/>
              </w:rPr>
              <w:t>Both</w:t>
            </w:r>
          </w:p>
        </w:tc>
      </w:tr>
      <w:tr w:rsidR="005854AA" w:rsidRPr="00FA60AA" w14:paraId="7D08BBD0" w14:textId="77777777" w:rsidTr="005854AA">
        <w:trPr>
          <w:cantSplit/>
        </w:trPr>
        <w:tc>
          <w:tcPr>
            <w:tcW w:w="0" w:type="auto"/>
            <w:shd w:val="clear" w:color="auto" w:fill="FFFFFF"/>
            <w:tcMar>
              <w:top w:w="0" w:type="dxa"/>
              <w:left w:w="0" w:type="dxa"/>
              <w:bottom w:w="0" w:type="dxa"/>
              <w:right w:w="0" w:type="dxa"/>
            </w:tcMar>
            <w:vAlign w:val="center"/>
            <w:hideMark/>
          </w:tcPr>
          <w:p w14:paraId="156D1B19" w14:textId="77777777" w:rsidR="005854AA" w:rsidRPr="00FA60AA" w:rsidRDefault="005854AA" w:rsidP="005854AA">
            <w:pPr>
              <w:spacing w:before="100" w:after="100"/>
              <w:ind w:left="10" w:right="10"/>
              <w:rPr>
                <w:rFonts w:ascii="Times New Roman" w:hAnsi="Times New Roman" w:cs="Times New Roman"/>
                <w:sz w:val="16"/>
                <w:szCs w:val="16"/>
              </w:rPr>
            </w:pPr>
            <w:r w:rsidRPr="00FA60AA">
              <w:rPr>
                <w:rFonts w:ascii="Times New Roman" w:eastAsia="Arial" w:hAnsi="Times New Roman" w:cs="Times New Roman"/>
                <w:color w:val="000000"/>
                <w:sz w:val="16"/>
                <w:szCs w:val="16"/>
              </w:rPr>
              <w:t>15-24</w:t>
            </w:r>
          </w:p>
        </w:tc>
        <w:tc>
          <w:tcPr>
            <w:tcW w:w="0" w:type="auto"/>
            <w:shd w:val="clear" w:color="auto" w:fill="FFFFFF"/>
            <w:tcMar>
              <w:top w:w="0" w:type="dxa"/>
              <w:left w:w="0" w:type="dxa"/>
              <w:bottom w:w="0" w:type="dxa"/>
              <w:right w:w="0" w:type="dxa"/>
            </w:tcMar>
            <w:vAlign w:val="center"/>
            <w:hideMark/>
          </w:tcPr>
          <w:p w14:paraId="15B55A70"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733443 (644894-840348)</w:t>
            </w:r>
          </w:p>
        </w:tc>
        <w:tc>
          <w:tcPr>
            <w:tcW w:w="0" w:type="auto"/>
            <w:shd w:val="clear" w:color="auto" w:fill="FFFFFF"/>
            <w:tcMar>
              <w:top w:w="0" w:type="dxa"/>
              <w:left w:w="0" w:type="dxa"/>
              <w:bottom w:w="0" w:type="dxa"/>
              <w:right w:w="0" w:type="dxa"/>
            </w:tcMar>
            <w:vAlign w:val="center"/>
            <w:hideMark/>
          </w:tcPr>
          <w:p w14:paraId="695B31AF"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729658 (642144-835540)</w:t>
            </w:r>
          </w:p>
        </w:tc>
        <w:tc>
          <w:tcPr>
            <w:tcW w:w="0" w:type="auto"/>
            <w:shd w:val="clear" w:color="auto" w:fill="FFFFFF"/>
            <w:tcMar>
              <w:top w:w="0" w:type="dxa"/>
              <w:left w:w="0" w:type="dxa"/>
              <w:bottom w:w="0" w:type="dxa"/>
              <w:right w:w="0" w:type="dxa"/>
            </w:tcMar>
            <w:vAlign w:val="center"/>
            <w:hideMark/>
          </w:tcPr>
          <w:p w14:paraId="6A8DECD9"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691017 (609131-791015)</w:t>
            </w:r>
          </w:p>
        </w:tc>
        <w:tc>
          <w:tcPr>
            <w:tcW w:w="0" w:type="auto"/>
            <w:shd w:val="clear" w:color="auto" w:fill="FFFFFF"/>
            <w:tcMar>
              <w:top w:w="0" w:type="dxa"/>
              <w:left w:w="0" w:type="dxa"/>
              <w:bottom w:w="0" w:type="dxa"/>
              <w:right w:w="0" w:type="dxa"/>
            </w:tcMar>
            <w:vAlign w:val="center"/>
            <w:hideMark/>
          </w:tcPr>
          <w:p w14:paraId="61C43EB6"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613660 (542149-702269)</w:t>
            </w:r>
          </w:p>
        </w:tc>
        <w:tc>
          <w:tcPr>
            <w:tcW w:w="0" w:type="auto"/>
            <w:shd w:val="clear" w:color="auto" w:fill="FFFFFF"/>
            <w:tcMar>
              <w:top w:w="0" w:type="dxa"/>
              <w:left w:w="0" w:type="dxa"/>
              <w:bottom w:w="0" w:type="dxa"/>
              <w:right w:w="0" w:type="dxa"/>
            </w:tcMar>
            <w:vAlign w:val="center"/>
            <w:hideMark/>
          </w:tcPr>
          <w:p w14:paraId="40A6ABF3"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624244 (552081-713307)</w:t>
            </w:r>
          </w:p>
        </w:tc>
        <w:tc>
          <w:tcPr>
            <w:tcW w:w="0" w:type="auto"/>
            <w:shd w:val="clear" w:color="auto" w:fill="FFFFFF"/>
            <w:tcMar>
              <w:top w:w="0" w:type="dxa"/>
              <w:left w:w="0" w:type="dxa"/>
              <w:bottom w:w="0" w:type="dxa"/>
              <w:right w:w="0" w:type="dxa"/>
            </w:tcMar>
            <w:vAlign w:val="center"/>
            <w:hideMark/>
          </w:tcPr>
          <w:p w14:paraId="551F6F5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652113 (573251-748852)</w:t>
            </w:r>
          </w:p>
        </w:tc>
        <w:tc>
          <w:tcPr>
            <w:tcW w:w="0" w:type="auto"/>
            <w:shd w:val="clear" w:color="auto" w:fill="FFFFFF"/>
            <w:tcMar>
              <w:top w:w="0" w:type="dxa"/>
              <w:left w:w="0" w:type="dxa"/>
              <w:bottom w:w="0" w:type="dxa"/>
              <w:right w:w="0" w:type="dxa"/>
            </w:tcMar>
            <w:vAlign w:val="center"/>
            <w:hideMark/>
          </w:tcPr>
          <w:p w14:paraId="31FED27E"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631468 (557943-724099)</w:t>
            </w:r>
          </w:p>
        </w:tc>
        <w:tc>
          <w:tcPr>
            <w:tcW w:w="0" w:type="auto"/>
            <w:shd w:val="clear" w:color="auto" w:fill="FFFFFF"/>
            <w:tcMar>
              <w:top w:w="0" w:type="dxa"/>
              <w:left w:w="0" w:type="dxa"/>
              <w:bottom w:w="0" w:type="dxa"/>
              <w:right w:w="0" w:type="dxa"/>
            </w:tcMar>
            <w:vAlign w:val="center"/>
            <w:hideMark/>
          </w:tcPr>
          <w:p w14:paraId="17DDF19C"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577300 (511719-662880)</w:t>
            </w:r>
          </w:p>
        </w:tc>
        <w:tc>
          <w:tcPr>
            <w:tcW w:w="0" w:type="auto"/>
            <w:shd w:val="clear" w:color="auto" w:fill="FFFFFF"/>
            <w:tcMar>
              <w:top w:w="0" w:type="dxa"/>
              <w:left w:w="0" w:type="dxa"/>
              <w:bottom w:w="0" w:type="dxa"/>
              <w:right w:w="0" w:type="dxa"/>
            </w:tcMar>
            <w:vAlign w:val="center"/>
            <w:hideMark/>
          </w:tcPr>
          <w:p w14:paraId="388AAC3D"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574755 (506611-654194)</w:t>
            </w:r>
          </w:p>
        </w:tc>
        <w:tc>
          <w:tcPr>
            <w:tcW w:w="0" w:type="auto"/>
            <w:shd w:val="clear" w:color="auto" w:fill="FFFFFF"/>
            <w:tcMar>
              <w:top w:w="0" w:type="dxa"/>
              <w:left w:w="0" w:type="dxa"/>
              <w:bottom w:w="0" w:type="dxa"/>
              <w:right w:w="0" w:type="dxa"/>
            </w:tcMar>
            <w:vAlign w:val="center"/>
            <w:hideMark/>
          </w:tcPr>
          <w:p w14:paraId="3AFE6D56"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608110 (539464-692957)</w:t>
            </w:r>
          </w:p>
        </w:tc>
        <w:tc>
          <w:tcPr>
            <w:tcW w:w="0" w:type="auto"/>
            <w:shd w:val="clear" w:color="auto" w:fill="FFFFFF"/>
            <w:tcMar>
              <w:top w:w="0" w:type="dxa"/>
              <w:left w:w="0" w:type="dxa"/>
              <w:bottom w:w="0" w:type="dxa"/>
              <w:right w:w="0" w:type="dxa"/>
            </w:tcMar>
            <w:vAlign w:val="center"/>
            <w:hideMark/>
          </w:tcPr>
          <w:p w14:paraId="4DB55987"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673728 (595099-768226)</w:t>
            </w:r>
          </w:p>
        </w:tc>
        <w:tc>
          <w:tcPr>
            <w:tcW w:w="0" w:type="auto"/>
            <w:shd w:val="clear" w:color="auto" w:fill="FFFFFF"/>
            <w:tcMar>
              <w:top w:w="0" w:type="dxa"/>
              <w:left w:w="0" w:type="dxa"/>
              <w:bottom w:w="0" w:type="dxa"/>
              <w:right w:w="0" w:type="dxa"/>
            </w:tcMar>
            <w:vAlign w:val="center"/>
            <w:hideMark/>
          </w:tcPr>
          <w:p w14:paraId="41386F5A"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773663 (682431-884591)</w:t>
            </w:r>
          </w:p>
        </w:tc>
        <w:tc>
          <w:tcPr>
            <w:tcW w:w="0" w:type="auto"/>
            <w:shd w:val="clear" w:color="auto" w:fill="FFFFFF"/>
            <w:tcMar>
              <w:top w:w="0" w:type="dxa"/>
              <w:left w:w="0" w:type="dxa"/>
              <w:bottom w:w="0" w:type="dxa"/>
              <w:right w:w="0" w:type="dxa"/>
            </w:tcMar>
            <w:vAlign w:val="center"/>
            <w:hideMark/>
          </w:tcPr>
          <w:p w14:paraId="2D14AB56"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777662 (688384-890382)</w:t>
            </w:r>
          </w:p>
        </w:tc>
        <w:tc>
          <w:tcPr>
            <w:tcW w:w="0" w:type="auto"/>
            <w:shd w:val="clear" w:color="auto" w:fill="FFFFFF"/>
            <w:tcMar>
              <w:top w:w="0" w:type="dxa"/>
              <w:left w:w="0" w:type="dxa"/>
              <w:bottom w:w="0" w:type="dxa"/>
              <w:right w:w="0" w:type="dxa"/>
            </w:tcMar>
            <w:vAlign w:val="center"/>
            <w:hideMark/>
          </w:tcPr>
          <w:p w14:paraId="0CFDBB57"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802318 (709381-918263)</w:t>
            </w:r>
          </w:p>
        </w:tc>
      </w:tr>
      <w:tr w:rsidR="005854AA" w:rsidRPr="00FA60AA" w14:paraId="3B4878CA" w14:textId="77777777" w:rsidTr="005854AA">
        <w:trPr>
          <w:cantSplit/>
        </w:trPr>
        <w:tc>
          <w:tcPr>
            <w:tcW w:w="0" w:type="auto"/>
            <w:shd w:val="clear" w:color="auto" w:fill="FFFFFF"/>
            <w:tcMar>
              <w:top w:w="0" w:type="dxa"/>
              <w:left w:w="0" w:type="dxa"/>
              <w:bottom w:w="0" w:type="dxa"/>
              <w:right w:w="0" w:type="dxa"/>
            </w:tcMar>
            <w:vAlign w:val="center"/>
            <w:hideMark/>
          </w:tcPr>
          <w:p w14:paraId="531A1824" w14:textId="77777777" w:rsidR="005854AA" w:rsidRPr="00FA60AA" w:rsidRDefault="005854AA" w:rsidP="005854AA">
            <w:pPr>
              <w:spacing w:before="100" w:after="100"/>
              <w:ind w:left="10" w:right="10"/>
              <w:rPr>
                <w:rFonts w:ascii="Times New Roman" w:hAnsi="Times New Roman" w:cs="Times New Roman"/>
                <w:sz w:val="16"/>
                <w:szCs w:val="16"/>
              </w:rPr>
            </w:pPr>
            <w:r w:rsidRPr="00FA60AA">
              <w:rPr>
                <w:rFonts w:ascii="Times New Roman" w:eastAsia="Arial" w:hAnsi="Times New Roman" w:cs="Times New Roman"/>
                <w:color w:val="000000"/>
                <w:sz w:val="16"/>
                <w:szCs w:val="16"/>
              </w:rPr>
              <w:t>25-39</w:t>
            </w:r>
          </w:p>
        </w:tc>
        <w:tc>
          <w:tcPr>
            <w:tcW w:w="0" w:type="auto"/>
            <w:shd w:val="clear" w:color="auto" w:fill="FFFFFF"/>
            <w:tcMar>
              <w:top w:w="0" w:type="dxa"/>
              <w:left w:w="0" w:type="dxa"/>
              <w:bottom w:w="0" w:type="dxa"/>
              <w:right w:w="0" w:type="dxa"/>
            </w:tcMar>
            <w:vAlign w:val="center"/>
            <w:hideMark/>
          </w:tcPr>
          <w:p w14:paraId="2B1D0767"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395416 (349755-451870)</w:t>
            </w:r>
          </w:p>
        </w:tc>
        <w:tc>
          <w:tcPr>
            <w:tcW w:w="0" w:type="auto"/>
            <w:shd w:val="clear" w:color="auto" w:fill="FFFFFF"/>
            <w:tcMar>
              <w:top w:w="0" w:type="dxa"/>
              <w:left w:w="0" w:type="dxa"/>
              <w:bottom w:w="0" w:type="dxa"/>
              <w:right w:w="0" w:type="dxa"/>
            </w:tcMar>
            <w:vAlign w:val="center"/>
            <w:hideMark/>
          </w:tcPr>
          <w:p w14:paraId="13B1CA98"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376346 (333335-432382)</w:t>
            </w:r>
          </w:p>
        </w:tc>
        <w:tc>
          <w:tcPr>
            <w:tcW w:w="0" w:type="auto"/>
            <w:shd w:val="clear" w:color="auto" w:fill="FFFFFF"/>
            <w:tcMar>
              <w:top w:w="0" w:type="dxa"/>
              <w:left w:w="0" w:type="dxa"/>
              <w:bottom w:w="0" w:type="dxa"/>
              <w:right w:w="0" w:type="dxa"/>
            </w:tcMar>
            <w:vAlign w:val="center"/>
            <w:hideMark/>
          </w:tcPr>
          <w:p w14:paraId="26B5EA55"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336324 (296888-384224)</w:t>
            </w:r>
          </w:p>
        </w:tc>
        <w:tc>
          <w:tcPr>
            <w:tcW w:w="0" w:type="auto"/>
            <w:shd w:val="clear" w:color="auto" w:fill="FFFFFF"/>
            <w:tcMar>
              <w:top w:w="0" w:type="dxa"/>
              <w:left w:w="0" w:type="dxa"/>
              <w:bottom w:w="0" w:type="dxa"/>
              <w:right w:w="0" w:type="dxa"/>
            </w:tcMar>
            <w:vAlign w:val="center"/>
            <w:hideMark/>
          </w:tcPr>
          <w:p w14:paraId="2BEB92CD"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287894 (255211-329511)</w:t>
            </w:r>
          </w:p>
        </w:tc>
        <w:tc>
          <w:tcPr>
            <w:tcW w:w="0" w:type="auto"/>
            <w:shd w:val="clear" w:color="auto" w:fill="FFFFFF"/>
            <w:tcMar>
              <w:top w:w="0" w:type="dxa"/>
              <w:left w:w="0" w:type="dxa"/>
              <w:bottom w:w="0" w:type="dxa"/>
              <w:right w:w="0" w:type="dxa"/>
            </w:tcMar>
            <w:vAlign w:val="center"/>
            <w:hideMark/>
          </w:tcPr>
          <w:p w14:paraId="076B86BC"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288946 (255235-330085)</w:t>
            </w:r>
          </w:p>
        </w:tc>
        <w:tc>
          <w:tcPr>
            <w:tcW w:w="0" w:type="auto"/>
            <w:shd w:val="clear" w:color="auto" w:fill="FFFFFF"/>
            <w:tcMar>
              <w:top w:w="0" w:type="dxa"/>
              <w:left w:w="0" w:type="dxa"/>
              <w:bottom w:w="0" w:type="dxa"/>
              <w:right w:w="0" w:type="dxa"/>
            </w:tcMar>
            <w:vAlign w:val="center"/>
            <w:hideMark/>
          </w:tcPr>
          <w:p w14:paraId="431C9FFB"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294395 (261403-334828)</w:t>
            </w:r>
          </w:p>
        </w:tc>
        <w:tc>
          <w:tcPr>
            <w:tcW w:w="0" w:type="auto"/>
            <w:shd w:val="clear" w:color="auto" w:fill="FFFFFF"/>
            <w:tcMar>
              <w:top w:w="0" w:type="dxa"/>
              <w:left w:w="0" w:type="dxa"/>
              <w:bottom w:w="0" w:type="dxa"/>
              <w:right w:w="0" w:type="dxa"/>
            </w:tcMar>
            <w:vAlign w:val="center"/>
            <w:hideMark/>
          </w:tcPr>
          <w:p w14:paraId="3C32372D"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326535 (290009-372722)</w:t>
            </w:r>
          </w:p>
        </w:tc>
        <w:tc>
          <w:tcPr>
            <w:tcW w:w="0" w:type="auto"/>
            <w:shd w:val="clear" w:color="auto" w:fill="FFFFFF"/>
            <w:tcMar>
              <w:top w:w="0" w:type="dxa"/>
              <w:left w:w="0" w:type="dxa"/>
              <w:bottom w:w="0" w:type="dxa"/>
              <w:right w:w="0" w:type="dxa"/>
            </w:tcMar>
            <w:vAlign w:val="center"/>
            <w:hideMark/>
          </w:tcPr>
          <w:p w14:paraId="6D7B8EC3"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342301 (304132-390094)</w:t>
            </w:r>
          </w:p>
        </w:tc>
        <w:tc>
          <w:tcPr>
            <w:tcW w:w="0" w:type="auto"/>
            <w:shd w:val="clear" w:color="auto" w:fill="FFFFFF"/>
            <w:tcMar>
              <w:top w:w="0" w:type="dxa"/>
              <w:left w:w="0" w:type="dxa"/>
              <w:bottom w:w="0" w:type="dxa"/>
              <w:right w:w="0" w:type="dxa"/>
            </w:tcMar>
            <w:vAlign w:val="center"/>
            <w:hideMark/>
          </w:tcPr>
          <w:p w14:paraId="3820D1BE"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380502 (339173-432812)</w:t>
            </w:r>
          </w:p>
        </w:tc>
        <w:tc>
          <w:tcPr>
            <w:tcW w:w="0" w:type="auto"/>
            <w:shd w:val="clear" w:color="auto" w:fill="FFFFFF"/>
            <w:tcMar>
              <w:top w:w="0" w:type="dxa"/>
              <w:left w:w="0" w:type="dxa"/>
              <w:bottom w:w="0" w:type="dxa"/>
              <w:right w:w="0" w:type="dxa"/>
            </w:tcMar>
            <w:vAlign w:val="center"/>
            <w:hideMark/>
          </w:tcPr>
          <w:p w14:paraId="5E1B2616"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448631 (401411-510829)</w:t>
            </w:r>
          </w:p>
        </w:tc>
        <w:tc>
          <w:tcPr>
            <w:tcW w:w="0" w:type="auto"/>
            <w:shd w:val="clear" w:color="auto" w:fill="FFFFFF"/>
            <w:tcMar>
              <w:top w:w="0" w:type="dxa"/>
              <w:left w:w="0" w:type="dxa"/>
              <w:bottom w:w="0" w:type="dxa"/>
              <w:right w:w="0" w:type="dxa"/>
            </w:tcMar>
            <w:vAlign w:val="center"/>
            <w:hideMark/>
          </w:tcPr>
          <w:p w14:paraId="5290FF7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553596 (493371-631541)</w:t>
            </w:r>
          </w:p>
        </w:tc>
        <w:tc>
          <w:tcPr>
            <w:tcW w:w="0" w:type="auto"/>
            <w:shd w:val="clear" w:color="auto" w:fill="FFFFFF"/>
            <w:tcMar>
              <w:top w:w="0" w:type="dxa"/>
              <w:left w:w="0" w:type="dxa"/>
              <w:bottom w:w="0" w:type="dxa"/>
              <w:right w:w="0" w:type="dxa"/>
            </w:tcMar>
            <w:vAlign w:val="center"/>
            <w:hideMark/>
          </w:tcPr>
          <w:p w14:paraId="1FA4900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688304 (611306-783232)</w:t>
            </w:r>
          </w:p>
        </w:tc>
        <w:tc>
          <w:tcPr>
            <w:tcW w:w="0" w:type="auto"/>
            <w:shd w:val="clear" w:color="auto" w:fill="FFFFFF"/>
            <w:tcMar>
              <w:top w:w="0" w:type="dxa"/>
              <w:left w:w="0" w:type="dxa"/>
              <w:bottom w:w="0" w:type="dxa"/>
              <w:right w:w="0" w:type="dxa"/>
            </w:tcMar>
            <w:vAlign w:val="center"/>
            <w:hideMark/>
          </w:tcPr>
          <w:p w14:paraId="07355D2B"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753381 (671765-854333)</w:t>
            </w:r>
          </w:p>
        </w:tc>
        <w:tc>
          <w:tcPr>
            <w:tcW w:w="0" w:type="auto"/>
            <w:shd w:val="clear" w:color="auto" w:fill="FFFFFF"/>
            <w:tcMar>
              <w:top w:w="0" w:type="dxa"/>
              <w:left w:w="0" w:type="dxa"/>
              <w:bottom w:w="0" w:type="dxa"/>
              <w:right w:w="0" w:type="dxa"/>
            </w:tcMar>
            <w:vAlign w:val="center"/>
            <w:hideMark/>
          </w:tcPr>
          <w:p w14:paraId="2543F63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778441 (693441-885715)</w:t>
            </w:r>
          </w:p>
        </w:tc>
      </w:tr>
      <w:tr w:rsidR="005854AA" w:rsidRPr="00FA60AA" w14:paraId="7247864B" w14:textId="77777777" w:rsidTr="005854AA">
        <w:trPr>
          <w:cantSplit/>
        </w:trPr>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664E9FB1" w14:textId="77777777" w:rsidR="005854AA" w:rsidRPr="00FA60AA" w:rsidRDefault="005854AA" w:rsidP="005854AA">
            <w:pPr>
              <w:spacing w:before="100" w:after="100"/>
              <w:ind w:left="10" w:right="10"/>
              <w:rPr>
                <w:rFonts w:ascii="Times New Roman" w:hAnsi="Times New Roman" w:cs="Times New Roman"/>
                <w:sz w:val="16"/>
                <w:szCs w:val="16"/>
              </w:rPr>
            </w:pPr>
            <w:r w:rsidRPr="00FA60AA">
              <w:rPr>
                <w:rFonts w:ascii="Times New Roman" w:eastAsia="Arial" w:hAnsi="Times New Roman" w:cs="Times New Roman"/>
                <w:color w:val="000000"/>
                <w:sz w:val="16"/>
                <w:szCs w:val="16"/>
              </w:rPr>
              <w:t>All</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1513FFC"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1142744 (1040250-1266805)</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5109BF5"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1118338 (1017486-1242299)</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93BF81E"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1038347 (948097-1150322)</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CAA893E"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915699 (829872-1011126)</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55FCA3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922351 (841370-1023181)</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6DC9C4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957600 (871084-1059891)</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8635D6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970421 (883723-1074002)</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7021E11"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931707 (849692-1028613)</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6748451F"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966482 (883253-1063831)</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A909306"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1071506 (983071-1174360)</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7652212"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1245735 (1139369-1367156)</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DD90505"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1481086 (1355537-1629883)</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9A29405"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1555643 (1424639-1709931)</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D153964" w14:textId="77777777" w:rsidR="005854AA" w:rsidRPr="00FA60AA" w:rsidRDefault="005854AA" w:rsidP="005854AA">
            <w:pPr>
              <w:spacing w:before="100" w:after="100"/>
              <w:ind w:left="10" w:right="10"/>
              <w:rPr>
                <w:rFonts w:ascii="Times New Roman" w:hAnsi="Times New Roman" w:cs="Times New Roman"/>
                <w:sz w:val="14"/>
                <w:szCs w:val="14"/>
              </w:rPr>
            </w:pPr>
            <w:r w:rsidRPr="00FA60AA">
              <w:rPr>
                <w:rFonts w:ascii="Times New Roman" w:eastAsia="Arial" w:hAnsi="Times New Roman" w:cs="Times New Roman"/>
                <w:color w:val="000000"/>
                <w:sz w:val="14"/>
                <w:szCs w:val="14"/>
              </w:rPr>
              <w:t>1603473 (1467801-1767779)</w:t>
            </w:r>
          </w:p>
        </w:tc>
      </w:tr>
    </w:tbl>
    <w:p w14:paraId="3534EF85" w14:textId="63DEEFF7" w:rsidR="00B40B3B" w:rsidRPr="00170890" w:rsidRDefault="005854AA" w:rsidP="00170890">
      <w:r w:rsidRPr="003C413E">
        <w:rPr>
          <w:rFonts w:ascii="Times New Roman" w:hAnsi="Times New Roman" w:cs="Times New Roman"/>
          <w:sz w:val="18"/>
          <w:szCs w:val="18"/>
        </w:rPr>
        <w:t xml:space="preserve">Note: </w:t>
      </w:r>
      <w:r>
        <w:rPr>
          <w:rFonts w:ascii="Times New Roman" w:hAnsi="Times New Roman" w:cs="Times New Roman"/>
          <w:sz w:val="18"/>
          <w:szCs w:val="18"/>
        </w:rPr>
        <w:t>Incident</w:t>
      </w:r>
      <w:r w:rsidRPr="003C413E">
        <w:rPr>
          <w:rFonts w:ascii="Times New Roman" w:hAnsi="Times New Roman" w:cs="Times New Roman"/>
          <w:sz w:val="18"/>
          <w:szCs w:val="18"/>
        </w:rPr>
        <w:t xml:space="preserve"> infections are the number of </w:t>
      </w:r>
      <w:r>
        <w:rPr>
          <w:rFonts w:ascii="Times New Roman" w:hAnsi="Times New Roman" w:cs="Times New Roman"/>
          <w:sz w:val="18"/>
          <w:szCs w:val="18"/>
        </w:rPr>
        <w:t>new</w:t>
      </w:r>
      <w:r w:rsidRPr="003C413E">
        <w:rPr>
          <w:rFonts w:ascii="Times New Roman" w:hAnsi="Times New Roman" w:cs="Times New Roman"/>
          <w:sz w:val="18"/>
          <w:szCs w:val="18"/>
        </w:rPr>
        <w:t xml:space="preserve"> infections in each calendar year.</w:t>
      </w:r>
      <w:r>
        <w:rPr>
          <w:rFonts w:ascii="Times New Roman" w:hAnsi="Times New Roman" w:cs="Times New Roman"/>
          <w:sz w:val="18"/>
          <w:szCs w:val="18"/>
        </w:rPr>
        <w:t xml:space="preserve"> </w:t>
      </w:r>
      <w:r w:rsidR="00450452">
        <w:rPr>
          <w:rFonts w:ascii="Times New Roman" w:hAnsi="Times New Roman" w:cs="Times New Roman"/>
          <w:sz w:val="18"/>
          <w:szCs w:val="18"/>
        </w:rPr>
        <w:t>Results shown are the median and 25</w:t>
      </w:r>
      <w:r w:rsidR="00450452" w:rsidRPr="00450452">
        <w:rPr>
          <w:rFonts w:ascii="Times New Roman" w:hAnsi="Times New Roman" w:cs="Times New Roman"/>
          <w:sz w:val="18"/>
          <w:szCs w:val="18"/>
          <w:vertAlign w:val="superscript"/>
        </w:rPr>
        <w:t>th</w:t>
      </w:r>
      <w:r w:rsidR="00450452">
        <w:rPr>
          <w:rFonts w:ascii="Times New Roman" w:hAnsi="Times New Roman" w:cs="Times New Roman"/>
          <w:sz w:val="18"/>
          <w:szCs w:val="18"/>
        </w:rPr>
        <w:t>-75</w:t>
      </w:r>
      <w:r w:rsidR="00450452" w:rsidRPr="00450452">
        <w:rPr>
          <w:rFonts w:ascii="Times New Roman" w:hAnsi="Times New Roman" w:cs="Times New Roman"/>
          <w:sz w:val="18"/>
          <w:szCs w:val="18"/>
          <w:vertAlign w:val="superscript"/>
        </w:rPr>
        <w:t>th</w:t>
      </w:r>
      <w:r w:rsidR="00450452">
        <w:rPr>
          <w:rFonts w:ascii="Times New Roman" w:hAnsi="Times New Roman" w:cs="Times New Roman"/>
          <w:sz w:val="18"/>
          <w:szCs w:val="18"/>
        </w:rPr>
        <w:t xml:space="preserve"> percentiles of the simulated distributions. </w:t>
      </w:r>
      <w:bookmarkStart w:id="2" w:name="_Toc113956959"/>
    </w:p>
    <w:p w14:paraId="4AFE9153" w14:textId="718E78D4" w:rsidR="00067D89" w:rsidRDefault="004548A7" w:rsidP="00F35BB1">
      <w:pPr>
        <w:pStyle w:val="Heading2"/>
        <w:jc w:val="center"/>
        <w:rPr>
          <w:rFonts w:ascii="Times New Roman" w:hAnsi="Times New Roman" w:cs="Times New Roman"/>
          <w:b/>
          <w:bCs/>
        </w:rPr>
      </w:pPr>
      <w:r w:rsidRPr="003C413E">
        <w:rPr>
          <w:rFonts w:ascii="Times New Roman" w:hAnsi="Times New Roman" w:cs="Times New Roman"/>
          <w:b/>
          <w:bCs/>
        </w:rPr>
        <w:lastRenderedPageBreak/>
        <w:t xml:space="preserve">Table </w:t>
      </w:r>
      <w:r w:rsidR="00D518DC" w:rsidRPr="003C413E">
        <w:rPr>
          <w:rFonts w:ascii="Times New Roman" w:hAnsi="Times New Roman" w:cs="Times New Roman"/>
          <w:b/>
          <w:bCs/>
        </w:rPr>
        <w:t>S</w:t>
      </w:r>
      <w:r w:rsidRPr="003C413E">
        <w:rPr>
          <w:rFonts w:ascii="Times New Roman" w:hAnsi="Times New Roman" w:cs="Times New Roman"/>
          <w:b/>
          <w:bCs/>
        </w:rPr>
        <w:fldChar w:fldCharType="begin"/>
      </w:r>
      <w:r w:rsidRPr="003C413E">
        <w:rPr>
          <w:rFonts w:ascii="Times New Roman" w:hAnsi="Times New Roman" w:cs="Times New Roman"/>
          <w:b/>
          <w:bCs/>
        </w:rPr>
        <w:instrText xml:space="preserve"> SEQ Table \* ARABIC </w:instrText>
      </w:r>
      <w:r w:rsidRPr="003C413E">
        <w:rPr>
          <w:rFonts w:ascii="Times New Roman" w:hAnsi="Times New Roman" w:cs="Times New Roman"/>
          <w:b/>
          <w:bCs/>
        </w:rPr>
        <w:fldChar w:fldCharType="separate"/>
      </w:r>
      <w:r w:rsidR="00FA15DB" w:rsidRPr="003C413E">
        <w:rPr>
          <w:rFonts w:ascii="Times New Roman" w:hAnsi="Times New Roman" w:cs="Times New Roman"/>
          <w:b/>
          <w:bCs/>
          <w:noProof/>
        </w:rPr>
        <w:t>2</w:t>
      </w:r>
      <w:r w:rsidRPr="003C413E">
        <w:rPr>
          <w:rFonts w:ascii="Times New Roman" w:hAnsi="Times New Roman" w:cs="Times New Roman"/>
          <w:b/>
          <w:bCs/>
        </w:rPr>
        <w:fldChar w:fldCharType="end"/>
      </w:r>
      <w:r w:rsidRPr="003C413E">
        <w:rPr>
          <w:rFonts w:ascii="Times New Roman" w:hAnsi="Times New Roman" w:cs="Times New Roman"/>
          <w:b/>
          <w:bCs/>
        </w:rPr>
        <w:t>: Number of Prevalent</w:t>
      </w:r>
      <w:r w:rsidR="00C318ED" w:rsidRPr="003C413E">
        <w:rPr>
          <w:rFonts w:ascii="Times New Roman" w:hAnsi="Times New Roman" w:cs="Times New Roman"/>
          <w:b/>
          <w:bCs/>
        </w:rPr>
        <w:t xml:space="preserve"> </w:t>
      </w:r>
      <w:r w:rsidRPr="003C413E">
        <w:rPr>
          <w:rFonts w:ascii="Times New Roman" w:hAnsi="Times New Roman" w:cs="Times New Roman"/>
          <w:b/>
          <w:bCs/>
        </w:rPr>
        <w:t>Gonococcal Infections</w:t>
      </w:r>
      <w:r w:rsidR="001E064C" w:rsidRPr="003C413E">
        <w:rPr>
          <w:rFonts w:ascii="Times New Roman" w:hAnsi="Times New Roman" w:cs="Times New Roman"/>
          <w:b/>
          <w:bCs/>
        </w:rPr>
        <w:t>,</w:t>
      </w:r>
      <w:r w:rsidR="00C318ED" w:rsidRPr="003C413E">
        <w:rPr>
          <w:rFonts w:ascii="Times New Roman" w:hAnsi="Times New Roman" w:cs="Times New Roman"/>
          <w:b/>
          <w:bCs/>
        </w:rPr>
        <w:t xml:space="preserve"> </w:t>
      </w:r>
      <w:r w:rsidR="00E81789" w:rsidRPr="003C413E">
        <w:rPr>
          <w:rFonts w:ascii="Times New Roman" w:hAnsi="Times New Roman" w:cs="Times New Roman"/>
          <w:b/>
          <w:bCs/>
        </w:rPr>
        <w:t>Among 15-39-Year-Olds, United States</w:t>
      </w:r>
      <w:r w:rsidR="001E064C" w:rsidRPr="003C413E">
        <w:rPr>
          <w:rFonts w:ascii="Times New Roman" w:hAnsi="Times New Roman" w:cs="Times New Roman"/>
          <w:b/>
          <w:bCs/>
        </w:rPr>
        <w:t>,</w:t>
      </w:r>
      <w:r w:rsidR="00E81789" w:rsidRPr="003C413E">
        <w:rPr>
          <w:rFonts w:ascii="Times New Roman" w:hAnsi="Times New Roman" w:cs="Times New Roman"/>
          <w:b/>
          <w:bCs/>
        </w:rPr>
        <w:t xml:space="preserve"> 200</w:t>
      </w:r>
      <w:r w:rsidR="00070A80" w:rsidRPr="003C413E">
        <w:rPr>
          <w:rFonts w:ascii="Times New Roman" w:hAnsi="Times New Roman" w:cs="Times New Roman"/>
          <w:b/>
          <w:bCs/>
        </w:rPr>
        <w:t>6</w:t>
      </w:r>
      <w:r w:rsidR="00E81789" w:rsidRPr="003C413E">
        <w:rPr>
          <w:rFonts w:ascii="Times New Roman" w:hAnsi="Times New Roman" w:cs="Times New Roman"/>
          <w:b/>
          <w:bCs/>
        </w:rPr>
        <w:t>-2019</w:t>
      </w:r>
      <w:bookmarkEnd w:id="2"/>
    </w:p>
    <w:tbl>
      <w:tblPr>
        <w:tblpPr w:leftFromText="180" w:rightFromText="180" w:vertAnchor="text" w:horzAnchor="margin" w:tblpY="34"/>
        <w:tblW w:w="0" w:type="auto"/>
        <w:tblLook w:val="0420" w:firstRow="1" w:lastRow="0" w:firstColumn="0" w:lastColumn="0" w:noHBand="0" w:noVBand="1"/>
      </w:tblPr>
      <w:tblGrid>
        <w:gridCol w:w="704"/>
        <w:gridCol w:w="714"/>
        <w:gridCol w:w="887"/>
        <w:gridCol w:w="887"/>
        <w:gridCol w:w="888"/>
        <w:gridCol w:w="888"/>
        <w:gridCol w:w="888"/>
        <w:gridCol w:w="888"/>
        <w:gridCol w:w="888"/>
        <w:gridCol w:w="888"/>
        <w:gridCol w:w="888"/>
        <w:gridCol w:w="888"/>
        <w:gridCol w:w="888"/>
        <w:gridCol w:w="888"/>
        <w:gridCol w:w="888"/>
      </w:tblGrid>
      <w:tr w:rsidR="00170890" w:rsidRPr="00F35BB1" w14:paraId="13EAD78C" w14:textId="77777777" w:rsidTr="00170890">
        <w:trPr>
          <w:cantSplit/>
          <w:tblHeader/>
        </w:trPr>
        <w:tc>
          <w:tcPr>
            <w:tcW w:w="705" w:type="dxa"/>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E83EE07"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Age</w:t>
            </w:r>
          </w:p>
        </w:tc>
        <w:tc>
          <w:tcPr>
            <w:tcW w:w="714" w:type="dxa"/>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64F3F02"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2006</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9311FF8"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2007</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CA44AD4"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2008</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5D789C5"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2009</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8CD33D7"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2010</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34AA0D1"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2011</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1082001"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2012</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FC0BB68"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2013</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FE2449E"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2014</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66F584F"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2015</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89BB2BB"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2016</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8247637"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2017</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9D8045C"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2018</w:t>
            </w:r>
          </w:p>
        </w:tc>
        <w:tc>
          <w:tcPr>
            <w:tcW w:w="0" w:type="auto"/>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F2BF1DF" w14:textId="77777777" w:rsidR="00170890" w:rsidRPr="00F35BB1" w:rsidRDefault="00170890" w:rsidP="00170890">
            <w:pPr>
              <w:spacing w:before="100" w:after="100"/>
              <w:ind w:left="100" w:right="100"/>
              <w:rPr>
                <w:rFonts w:ascii="Times New Roman" w:hAnsi="Times New Roman" w:cs="Times New Roman"/>
                <w:sz w:val="18"/>
                <w:szCs w:val="18"/>
              </w:rPr>
            </w:pPr>
            <w:r w:rsidRPr="00F35BB1">
              <w:rPr>
                <w:rFonts w:ascii="Times New Roman" w:eastAsia="Arial" w:hAnsi="Times New Roman" w:cs="Times New Roman"/>
                <w:b/>
                <w:color w:val="000000"/>
                <w:sz w:val="18"/>
                <w:szCs w:val="18"/>
              </w:rPr>
              <w:t>2019</w:t>
            </w:r>
          </w:p>
        </w:tc>
      </w:tr>
      <w:tr w:rsidR="00170890" w:rsidRPr="00F35BB1" w14:paraId="66AEB2BA" w14:textId="77777777" w:rsidTr="00170890">
        <w:trPr>
          <w:cantSplit/>
        </w:trPr>
        <w:tc>
          <w:tcPr>
            <w:tcW w:w="0" w:type="auto"/>
            <w:gridSpan w:val="15"/>
            <w:shd w:val="clear" w:color="auto" w:fill="FFFFFF"/>
            <w:tcMar>
              <w:top w:w="0" w:type="dxa"/>
              <w:left w:w="0" w:type="dxa"/>
              <w:bottom w:w="0" w:type="dxa"/>
              <w:right w:w="0" w:type="dxa"/>
            </w:tcMar>
            <w:vAlign w:val="center"/>
            <w:hideMark/>
          </w:tcPr>
          <w:p w14:paraId="335BE00A" w14:textId="77777777" w:rsidR="00170890" w:rsidRPr="00170890" w:rsidRDefault="00170890" w:rsidP="00170890">
            <w:pPr>
              <w:spacing w:before="100" w:after="100"/>
              <w:ind w:left="100" w:right="100"/>
              <w:rPr>
                <w:rFonts w:ascii="Times New Roman" w:hAnsi="Times New Roman" w:cs="Times New Roman"/>
                <w:b/>
                <w:bCs/>
                <w:sz w:val="18"/>
                <w:szCs w:val="18"/>
              </w:rPr>
            </w:pPr>
            <w:r w:rsidRPr="00170890">
              <w:rPr>
                <w:rFonts w:ascii="Times New Roman" w:eastAsia="Arial" w:hAnsi="Times New Roman" w:cs="Times New Roman"/>
                <w:b/>
                <w:bCs/>
                <w:color w:val="000000"/>
                <w:sz w:val="18"/>
                <w:szCs w:val="18"/>
              </w:rPr>
              <w:t>Men</w:t>
            </w:r>
          </w:p>
        </w:tc>
      </w:tr>
      <w:tr w:rsidR="00170890" w:rsidRPr="00F35BB1" w14:paraId="631A5B6E" w14:textId="77777777" w:rsidTr="00170890">
        <w:trPr>
          <w:cantSplit/>
        </w:trPr>
        <w:tc>
          <w:tcPr>
            <w:tcW w:w="705" w:type="dxa"/>
            <w:shd w:val="clear" w:color="auto" w:fill="FFFFFF"/>
            <w:tcMar>
              <w:top w:w="0" w:type="dxa"/>
              <w:left w:w="0" w:type="dxa"/>
              <w:bottom w:w="0" w:type="dxa"/>
              <w:right w:w="0" w:type="dxa"/>
            </w:tcMar>
            <w:vAlign w:val="center"/>
            <w:hideMark/>
          </w:tcPr>
          <w:p w14:paraId="570B7444" w14:textId="77777777" w:rsidR="00170890" w:rsidRPr="00170890" w:rsidRDefault="00170890" w:rsidP="00170890">
            <w:pPr>
              <w:spacing w:before="100" w:after="100"/>
              <w:ind w:left="100" w:right="100"/>
              <w:rPr>
                <w:rFonts w:ascii="Times New Roman" w:hAnsi="Times New Roman" w:cs="Times New Roman"/>
                <w:sz w:val="16"/>
                <w:szCs w:val="16"/>
              </w:rPr>
            </w:pPr>
            <w:r w:rsidRPr="00170890">
              <w:rPr>
                <w:rFonts w:ascii="Times New Roman" w:eastAsia="Arial" w:hAnsi="Times New Roman" w:cs="Times New Roman"/>
                <w:color w:val="000000"/>
                <w:sz w:val="16"/>
                <w:szCs w:val="16"/>
              </w:rPr>
              <w:t>15-24</w:t>
            </w:r>
          </w:p>
        </w:tc>
        <w:tc>
          <w:tcPr>
            <w:tcW w:w="714" w:type="dxa"/>
            <w:shd w:val="clear" w:color="auto" w:fill="FFFFFF"/>
            <w:tcMar>
              <w:top w:w="0" w:type="dxa"/>
              <w:left w:w="0" w:type="dxa"/>
              <w:bottom w:w="0" w:type="dxa"/>
              <w:right w:w="0" w:type="dxa"/>
            </w:tcMar>
            <w:vAlign w:val="center"/>
            <w:hideMark/>
          </w:tcPr>
          <w:p w14:paraId="6D7847B7"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13633 (10060-18818)</w:t>
            </w:r>
          </w:p>
        </w:tc>
        <w:tc>
          <w:tcPr>
            <w:tcW w:w="0" w:type="auto"/>
            <w:shd w:val="clear" w:color="auto" w:fill="FFFFFF"/>
            <w:tcMar>
              <w:top w:w="0" w:type="dxa"/>
              <w:left w:w="0" w:type="dxa"/>
              <w:bottom w:w="0" w:type="dxa"/>
              <w:right w:w="0" w:type="dxa"/>
            </w:tcMar>
            <w:vAlign w:val="center"/>
            <w:hideMark/>
          </w:tcPr>
          <w:p w14:paraId="3A6430B7"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13471 (9947-18759)</w:t>
            </w:r>
          </w:p>
        </w:tc>
        <w:tc>
          <w:tcPr>
            <w:tcW w:w="0" w:type="auto"/>
            <w:shd w:val="clear" w:color="auto" w:fill="FFFFFF"/>
            <w:tcMar>
              <w:top w:w="0" w:type="dxa"/>
              <w:left w:w="0" w:type="dxa"/>
              <w:bottom w:w="0" w:type="dxa"/>
              <w:right w:w="0" w:type="dxa"/>
            </w:tcMar>
            <w:vAlign w:val="center"/>
            <w:hideMark/>
          </w:tcPr>
          <w:p w14:paraId="30ADB26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12570 (9303-17596)</w:t>
            </w:r>
          </w:p>
        </w:tc>
        <w:tc>
          <w:tcPr>
            <w:tcW w:w="0" w:type="auto"/>
            <w:shd w:val="clear" w:color="auto" w:fill="FFFFFF"/>
            <w:tcMar>
              <w:top w:w="0" w:type="dxa"/>
              <w:left w:w="0" w:type="dxa"/>
              <w:bottom w:w="0" w:type="dxa"/>
              <w:right w:w="0" w:type="dxa"/>
            </w:tcMar>
            <w:vAlign w:val="center"/>
            <w:hideMark/>
          </w:tcPr>
          <w:p w14:paraId="12A2C030"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11352 (8459-16033)</w:t>
            </w:r>
          </w:p>
        </w:tc>
        <w:tc>
          <w:tcPr>
            <w:tcW w:w="0" w:type="auto"/>
            <w:shd w:val="clear" w:color="auto" w:fill="FFFFFF"/>
            <w:tcMar>
              <w:top w:w="0" w:type="dxa"/>
              <w:left w:w="0" w:type="dxa"/>
              <w:bottom w:w="0" w:type="dxa"/>
              <w:right w:w="0" w:type="dxa"/>
            </w:tcMar>
            <w:vAlign w:val="center"/>
            <w:hideMark/>
          </w:tcPr>
          <w:p w14:paraId="08B3BAF2"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11727 (8704-16252)</w:t>
            </w:r>
          </w:p>
        </w:tc>
        <w:tc>
          <w:tcPr>
            <w:tcW w:w="0" w:type="auto"/>
            <w:shd w:val="clear" w:color="auto" w:fill="FFFFFF"/>
            <w:tcMar>
              <w:top w:w="0" w:type="dxa"/>
              <w:left w:w="0" w:type="dxa"/>
              <w:bottom w:w="0" w:type="dxa"/>
              <w:right w:w="0" w:type="dxa"/>
            </w:tcMar>
            <w:vAlign w:val="center"/>
            <w:hideMark/>
          </w:tcPr>
          <w:p w14:paraId="721790A8"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12106 (9010-16794)</w:t>
            </w:r>
          </w:p>
        </w:tc>
        <w:tc>
          <w:tcPr>
            <w:tcW w:w="0" w:type="auto"/>
            <w:shd w:val="clear" w:color="auto" w:fill="FFFFFF"/>
            <w:tcMar>
              <w:top w:w="0" w:type="dxa"/>
              <w:left w:w="0" w:type="dxa"/>
              <w:bottom w:w="0" w:type="dxa"/>
              <w:right w:w="0" w:type="dxa"/>
            </w:tcMar>
            <w:vAlign w:val="center"/>
            <w:hideMark/>
          </w:tcPr>
          <w:p w14:paraId="0D156675"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12221 (9077-17138)</w:t>
            </w:r>
          </w:p>
        </w:tc>
        <w:tc>
          <w:tcPr>
            <w:tcW w:w="0" w:type="auto"/>
            <w:shd w:val="clear" w:color="auto" w:fill="FFFFFF"/>
            <w:tcMar>
              <w:top w:w="0" w:type="dxa"/>
              <w:left w:w="0" w:type="dxa"/>
              <w:bottom w:w="0" w:type="dxa"/>
              <w:right w:w="0" w:type="dxa"/>
            </w:tcMar>
            <w:vAlign w:val="center"/>
            <w:hideMark/>
          </w:tcPr>
          <w:p w14:paraId="09085FD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11796 (8667-16414)</w:t>
            </w:r>
          </w:p>
        </w:tc>
        <w:tc>
          <w:tcPr>
            <w:tcW w:w="0" w:type="auto"/>
            <w:shd w:val="clear" w:color="auto" w:fill="FFFFFF"/>
            <w:tcMar>
              <w:top w:w="0" w:type="dxa"/>
              <w:left w:w="0" w:type="dxa"/>
              <w:bottom w:w="0" w:type="dxa"/>
              <w:right w:w="0" w:type="dxa"/>
            </w:tcMar>
            <w:vAlign w:val="center"/>
            <w:hideMark/>
          </w:tcPr>
          <w:p w14:paraId="21524E18"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12494 (9240-17302)</w:t>
            </w:r>
          </w:p>
        </w:tc>
        <w:tc>
          <w:tcPr>
            <w:tcW w:w="0" w:type="auto"/>
            <w:shd w:val="clear" w:color="auto" w:fill="FFFFFF"/>
            <w:tcMar>
              <w:top w:w="0" w:type="dxa"/>
              <w:left w:w="0" w:type="dxa"/>
              <w:bottom w:w="0" w:type="dxa"/>
              <w:right w:w="0" w:type="dxa"/>
            </w:tcMar>
            <w:vAlign w:val="center"/>
            <w:hideMark/>
          </w:tcPr>
          <w:p w14:paraId="6D8ABA05"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13900 (10378-19349)</w:t>
            </w:r>
          </w:p>
        </w:tc>
        <w:tc>
          <w:tcPr>
            <w:tcW w:w="0" w:type="auto"/>
            <w:shd w:val="clear" w:color="auto" w:fill="FFFFFF"/>
            <w:tcMar>
              <w:top w:w="0" w:type="dxa"/>
              <w:left w:w="0" w:type="dxa"/>
              <w:bottom w:w="0" w:type="dxa"/>
              <w:right w:w="0" w:type="dxa"/>
            </w:tcMar>
            <w:vAlign w:val="center"/>
            <w:hideMark/>
          </w:tcPr>
          <w:p w14:paraId="7E0F40B5"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16096 (11708-22284)</w:t>
            </w:r>
          </w:p>
        </w:tc>
        <w:tc>
          <w:tcPr>
            <w:tcW w:w="0" w:type="auto"/>
            <w:shd w:val="clear" w:color="auto" w:fill="FFFFFF"/>
            <w:tcMar>
              <w:top w:w="0" w:type="dxa"/>
              <w:left w:w="0" w:type="dxa"/>
              <w:bottom w:w="0" w:type="dxa"/>
              <w:right w:w="0" w:type="dxa"/>
            </w:tcMar>
            <w:vAlign w:val="center"/>
            <w:hideMark/>
          </w:tcPr>
          <w:p w14:paraId="2A32595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18210 (13404-25039)</w:t>
            </w:r>
          </w:p>
        </w:tc>
        <w:tc>
          <w:tcPr>
            <w:tcW w:w="0" w:type="auto"/>
            <w:shd w:val="clear" w:color="auto" w:fill="FFFFFF"/>
            <w:tcMar>
              <w:top w:w="0" w:type="dxa"/>
              <w:left w:w="0" w:type="dxa"/>
              <w:bottom w:w="0" w:type="dxa"/>
              <w:right w:w="0" w:type="dxa"/>
            </w:tcMar>
            <w:vAlign w:val="center"/>
            <w:hideMark/>
          </w:tcPr>
          <w:p w14:paraId="689B1721"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18266 (13491-25567)</w:t>
            </w:r>
          </w:p>
        </w:tc>
        <w:tc>
          <w:tcPr>
            <w:tcW w:w="0" w:type="auto"/>
            <w:shd w:val="clear" w:color="auto" w:fill="FFFFFF"/>
            <w:tcMar>
              <w:top w:w="0" w:type="dxa"/>
              <w:left w:w="0" w:type="dxa"/>
              <w:bottom w:w="0" w:type="dxa"/>
              <w:right w:w="0" w:type="dxa"/>
            </w:tcMar>
            <w:vAlign w:val="center"/>
            <w:hideMark/>
          </w:tcPr>
          <w:p w14:paraId="20D33EBB"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18542 (13616-25653)</w:t>
            </w:r>
          </w:p>
        </w:tc>
      </w:tr>
      <w:tr w:rsidR="00170890" w:rsidRPr="00F35BB1" w14:paraId="448C2693" w14:textId="77777777" w:rsidTr="00170890">
        <w:trPr>
          <w:cantSplit/>
        </w:trPr>
        <w:tc>
          <w:tcPr>
            <w:tcW w:w="705" w:type="dxa"/>
            <w:shd w:val="clear" w:color="auto" w:fill="FFFFFF"/>
            <w:tcMar>
              <w:top w:w="0" w:type="dxa"/>
              <w:left w:w="0" w:type="dxa"/>
              <w:bottom w:w="0" w:type="dxa"/>
              <w:right w:w="0" w:type="dxa"/>
            </w:tcMar>
            <w:vAlign w:val="center"/>
            <w:hideMark/>
          </w:tcPr>
          <w:p w14:paraId="05328074" w14:textId="77777777" w:rsidR="00170890" w:rsidRPr="00170890" w:rsidRDefault="00170890" w:rsidP="00170890">
            <w:pPr>
              <w:spacing w:before="100" w:after="100"/>
              <w:ind w:left="100" w:right="100"/>
              <w:rPr>
                <w:rFonts w:ascii="Times New Roman" w:hAnsi="Times New Roman" w:cs="Times New Roman"/>
                <w:sz w:val="16"/>
                <w:szCs w:val="16"/>
              </w:rPr>
            </w:pPr>
            <w:r w:rsidRPr="00170890">
              <w:rPr>
                <w:rFonts w:ascii="Times New Roman" w:eastAsia="Arial" w:hAnsi="Times New Roman" w:cs="Times New Roman"/>
                <w:color w:val="000000"/>
                <w:sz w:val="16"/>
                <w:szCs w:val="16"/>
              </w:rPr>
              <w:t>25-39</w:t>
            </w:r>
          </w:p>
        </w:tc>
        <w:tc>
          <w:tcPr>
            <w:tcW w:w="714" w:type="dxa"/>
            <w:shd w:val="clear" w:color="auto" w:fill="FFFFFF"/>
            <w:tcMar>
              <w:top w:w="0" w:type="dxa"/>
              <w:left w:w="0" w:type="dxa"/>
              <w:bottom w:w="0" w:type="dxa"/>
              <w:right w:w="0" w:type="dxa"/>
            </w:tcMar>
            <w:vAlign w:val="center"/>
            <w:hideMark/>
          </w:tcPr>
          <w:p w14:paraId="7D768E6B"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11334 (8419-15709)</w:t>
            </w:r>
          </w:p>
        </w:tc>
        <w:tc>
          <w:tcPr>
            <w:tcW w:w="0" w:type="auto"/>
            <w:shd w:val="clear" w:color="auto" w:fill="FFFFFF"/>
            <w:tcMar>
              <w:top w:w="0" w:type="dxa"/>
              <w:left w:w="0" w:type="dxa"/>
              <w:bottom w:w="0" w:type="dxa"/>
              <w:right w:w="0" w:type="dxa"/>
            </w:tcMar>
            <w:vAlign w:val="center"/>
            <w:hideMark/>
          </w:tcPr>
          <w:p w14:paraId="4842AC7C"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10595 (7824-14803)</w:t>
            </w:r>
          </w:p>
        </w:tc>
        <w:tc>
          <w:tcPr>
            <w:tcW w:w="0" w:type="auto"/>
            <w:shd w:val="clear" w:color="auto" w:fill="FFFFFF"/>
            <w:tcMar>
              <w:top w:w="0" w:type="dxa"/>
              <w:left w:w="0" w:type="dxa"/>
              <w:bottom w:w="0" w:type="dxa"/>
              <w:right w:w="0" w:type="dxa"/>
            </w:tcMar>
            <w:vAlign w:val="center"/>
            <w:hideMark/>
          </w:tcPr>
          <w:p w14:paraId="40DFF693"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9291 (6866-12842)</w:t>
            </w:r>
          </w:p>
        </w:tc>
        <w:tc>
          <w:tcPr>
            <w:tcW w:w="0" w:type="auto"/>
            <w:shd w:val="clear" w:color="auto" w:fill="FFFFFF"/>
            <w:tcMar>
              <w:top w:w="0" w:type="dxa"/>
              <w:left w:w="0" w:type="dxa"/>
              <w:bottom w:w="0" w:type="dxa"/>
              <w:right w:w="0" w:type="dxa"/>
            </w:tcMar>
            <w:vAlign w:val="center"/>
            <w:hideMark/>
          </w:tcPr>
          <w:p w14:paraId="6B0343F6"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8100 (5949-11121)</w:t>
            </w:r>
          </w:p>
        </w:tc>
        <w:tc>
          <w:tcPr>
            <w:tcW w:w="0" w:type="auto"/>
            <w:shd w:val="clear" w:color="auto" w:fill="FFFFFF"/>
            <w:tcMar>
              <w:top w:w="0" w:type="dxa"/>
              <w:left w:w="0" w:type="dxa"/>
              <w:bottom w:w="0" w:type="dxa"/>
              <w:right w:w="0" w:type="dxa"/>
            </w:tcMar>
            <w:vAlign w:val="center"/>
            <w:hideMark/>
          </w:tcPr>
          <w:p w14:paraId="7753170B"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8160 (5988-11335)</w:t>
            </w:r>
          </w:p>
        </w:tc>
        <w:tc>
          <w:tcPr>
            <w:tcW w:w="0" w:type="auto"/>
            <w:shd w:val="clear" w:color="auto" w:fill="FFFFFF"/>
            <w:tcMar>
              <w:top w:w="0" w:type="dxa"/>
              <w:left w:w="0" w:type="dxa"/>
              <w:bottom w:w="0" w:type="dxa"/>
              <w:right w:w="0" w:type="dxa"/>
            </w:tcMar>
            <w:vAlign w:val="center"/>
            <w:hideMark/>
          </w:tcPr>
          <w:p w14:paraId="49A809B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8474 (6228-11728)</w:t>
            </w:r>
          </w:p>
        </w:tc>
        <w:tc>
          <w:tcPr>
            <w:tcW w:w="0" w:type="auto"/>
            <w:shd w:val="clear" w:color="auto" w:fill="FFFFFF"/>
            <w:tcMar>
              <w:top w:w="0" w:type="dxa"/>
              <w:left w:w="0" w:type="dxa"/>
              <w:bottom w:w="0" w:type="dxa"/>
              <w:right w:w="0" w:type="dxa"/>
            </w:tcMar>
            <w:vAlign w:val="center"/>
            <w:hideMark/>
          </w:tcPr>
          <w:p w14:paraId="4E8A8488"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9576 (7118-13334)</w:t>
            </w:r>
          </w:p>
        </w:tc>
        <w:tc>
          <w:tcPr>
            <w:tcW w:w="0" w:type="auto"/>
            <w:shd w:val="clear" w:color="auto" w:fill="FFFFFF"/>
            <w:tcMar>
              <w:top w:w="0" w:type="dxa"/>
              <w:left w:w="0" w:type="dxa"/>
              <w:bottom w:w="0" w:type="dxa"/>
              <w:right w:w="0" w:type="dxa"/>
            </w:tcMar>
            <w:vAlign w:val="center"/>
            <w:hideMark/>
          </w:tcPr>
          <w:p w14:paraId="330B2C53"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10417 (7668-14506)</w:t>
            </w:r>
          </w:p>
        </w:tc>
        <w:tc>
          <w:tcPr>
            <w:tcW w:w="0" w:type="auto"/>
            <w:shd w:val="clear" w:color="auto" w:fill="FFFFFF"/>
            <w:tcMar>
              <w:top w:w="0" w:type="dxa"/>
              <w:left w:w="0" w:type="dxa"/>
              <w:bottom w:w="0" w:type="dxa"/>
              <w:right w:w="0" w:type="dxa"/>
            </w:tcMar>
            <w:vAlign w:val="center"/>
            <w:hideMark/>
          </w:tcPr>
          <w:p w14:paraId="4EB03A9A"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12134 (8966-16990)</w:t>
            </w:r>
          </w:p>
        </w:tc>
        <w:tc>
          <w:tcPr>
            <w:tcW w:w="0" w:type="auto"/>
            <w:shd w:val="clear" w:color="auto" w:fill="FFFFFF"/>
            <w:tcMar>
              <w:top w:w="0" w:type="dxa"/>
              <w:left w:w="0" w:type="dxa"/>
              <w:bottom w:w="0" w:type="dxa"/>
              <w:right w:w="0" w:type="dxa"/>
            </w:tcMar>
            <w:vAlign w:val="center"/>
            <w:hideMark/>
          </w:tcPr>
          <w:p w14:paraId="59C5069A"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15101 (11108-20932)</w:t>
            </w:r>
          </w:p>
        </w:tc>
        <w:tc>
          <w:tcPr>
            <w:tcW w:w="0" w:type="auto"/>
            <w:shd w:val="clear" w:color="auto" w:fill="FFFFFF"/>
            <w:tcMar>
              <w:top w:w="0" w:type="dxa"/>
              <w:left w:w="0" w:type="dxa"/>
              <w:bottom w:w="0" w:type="dxa"/>
              <w:right w:w="0" w:type="dxa"/>
            </w:tcMar>
            <w:vAlign w:val="center"/>
            <w:hideMark/>
          </w:tcPr>
          <w:p w14:paraId="769B27EB"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19330 (14127-26576)</w:t>
            </w:r>
          </w:p>
        </w:tc>
        <w:tc>
          <w:tcPr>
            <w:tcW w:w="0" w:type="auto"/>
            <w:shd w:val="clear" w:color="auto" w:fill="FFFFFF"/>
            <w:tcMar>
              <w:top w:w="0" w:type="dxa"/>
              <w:left w:w="0" w:type="dxa"/>
              <w:bottom w:w="0" w:type="dxa"/>
              <w:right w:w="0" w:type="dxa"/>
            </w:tcMar>
            <w:vAlign w:val="center"/>
            <w:hideMark/>
          </w:tcPr>
          <w:p w14:paraId="39576ABE"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23806 (17482-33244)</w:t>
            </w:r>
          </w:p>
        </w:tc>
        <w:tc>
          <w:tcPr>
            <w:tcW w:w="0" w:type="auto"/>
            <w:shd w:val="clear" w:color="auto" w:fill="FFFFFF"/>
            <w:tcMar>
              <w:top w:w="0" w:type="dxa"/>
              <w:left w:w="0" w:type="dxa"/>
              <w:bottom w:w="0" w:type="dxa"/>
              <w:right w:w="0" w:type="dxa"/>
            </w:tcMar>
            <w:vAlign w:val="center"/>
            <w:hideMark/>
          </w:tcPr>
          <w:p w14:paraId="69A6C4FA"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26027 (19196-36024)</w:t>
            </w:r>
          </w:p>
        </w:tc>
        <w:tc>
          <w:tcPr>
            <w:tcW w:w="0" w:type="auto"/>
            <w:shd w:val="clear" w:color="auto" w:fill="FFFFFF"/>
            <w:tcMar>
              <w:top w:w="0" w:type="dxa"/>
              <w:left w:w="0" w:type="dxa"/>
              <w:bottom w:w="0" w:type="dxa"/>
              <w:right w:w="0" w:type="dxa"/>
            </w:tcMar>
            <w:vAlign w:val="center"/>
            <w:hideMark/>
          </w:tcPr>
          <w:p w14:paraId="3DDF8F60"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28006 (20719-38647)</w:t>
            </w:r>
          </w:p>
        </w:tc>
      </w:tr>
      <w:tr w:rsidR="00170890" w:rsidRPr="00F35BB1" w14:paraId="139046EA" w14:textId="77777777" w:rsidTr="00170890">
        <w:trPr>
          <w:cantSplit/>
        </w:trPr>
        <w:tc>
          <w:tcPr>
            <w:tcW w:w="705" w:type="dxa"/>
            <w:shd w:val="clear" w:color="auto" w:fill="FFFFFF"/>
            <w:tcMar>
              <w:top w:w="0" w:type="dxa"/>
              <w:left w:w="0" w:type="dxa"/>
              <w:bottom w:w="0" w:type="dxa"/>
              <w:right w:w="0" w:type="dxa"/>
            </w:tcMar>
            <w:vAlign w:val="center"/>
            <w:hideMark/>
          </w:tcPr>
          <w:p w14:paraId="4FB0A0EE" w14:textId="77777777" w:rsidR="00170890" w:rsidRPr="00170890" w:rsidRDefault="00170890" w:rsidP="00170890">
            <w:pPr>
              <w:spacing w:before="100" w:after="100"/>
              <w:ind w:left="100" w:right="100"/>
              <w:rPr>
                <w:rFonts w:ascii="Times New Roman" w:hAnsi="Times New Roman" w:cs="Times New Roman"/>
                <w:sz w:val="16"/>
                <w:szCs w:val="16"/>
              </w:rPr>
            </w:pPr>
            <w:r w:rsidRPr="00170890">
              <w:rPr>
                <w:rFonts w:ascii="Times New Roman" w:eastAsia="Arial" w:hAnsi="Times New Roman" w:cs="Times New Roman"/>
                <w:color w:val="000000"/>
                <w:sz w:val="16"/>
                <w:szCs w:val="16"/>
              </w:rPr>
              <w:t>All</w:t>
            </w:r>
          </w:p>
        </w:tc>
        <w:tc>
          <w:tcPr>
            <w:tcW w:w="714" w:type="dxa"/>
            <w:shd w:val="clear" w:color="auto" w:fill="FFFFFF"/>
            <w:tcMar>
              <w:top w:w="0" w:type="dxa"/>
              <w:left w:w="0" w:type="dxa"/>
              <w:bottom w:w="0" w:type="dxa"/>
              <w:right w:w="0" w:type="dxa"/>
            </w:tcMar>
            <w:vAlign w:val="center"/>
            <w:hideMark/>
          </w:tcPr>
          <w:p w14:paraId="461AA7E5"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26366 (21057-33603)</w:t>
            </w:r>
          </w:p>
        </w:tc>
        <w:tc>
          <w:tcPr>
            <w:tcW w:w="0" w:type="auto"/>
            <w:shd w:val="clear" w:color="auto" w:fill="FFFFFF"/>
            <w:tcMar>
              <w:top w:w="0" w:type="dxa"/>
              <w:left w:w="0" w:type="dxa"/>
              <w:bottom w:w="0" w:type="dxa"/>
              <w:right w:w="0" w:type="dxa"/>
            </w:tcMar>
            <w:vAlign w:val="center"/>
            <w:hideMark/>
          </w:tcPr>
          <w:p w14:paraId="07A7E971"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25702 (20405-32367)</w:t>
            </w:r>
          </w:p>
        </w:tc>
        <w:tc>
          <w:tcPr>
            <w:tcW w:w="0" w:type="auto"/>
            <w:shd w:val="clear" w:color="auto" w:fill="FFFFFF"/>
            <w:tcMar>
              <w:top w:w="0" w:type="dxa"/>
              <w:left w:w="0" w:type="dxa"/>
              <w:bottom w:w="0" w:type="dxa"/>
              <w:right w:w="0" w:type="dxa"/>
            </w:tcMar>
            <w:vAlign w:val="center"/>
            <w:hideMark/>
          </w:tcPr>
          <w:p w14:paraId="4FB34115"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23108 (18543-29611)</w:t>
            </w:r>
          </w:p>
        </w:tc>
        <w:tc>
          <w:tcPr>
            <w:tcW w:w="0" w:type="auto"/>
            <w:shd w:val="clear" w:color="auto" w:fill="FFFFFF"/>
            <w:tcMar>
              <w:top w:w="0" w:type="dxa"/>
              <w:left w:w="0" w:type="dxa"/>
              <w:bottom w:w="0" w:type="dxa"/>
              <w:right w:w="0" w:type="dxa"/>
            </w:tcMar>
            <w:vAlign w:val="center"/>
            <w:hideMark/>
          </w:tcPr>
          <w:p w14:paraId="2AD4A2D7"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20672 (16429-26510)</w:t>
            </w:r>
          </w:p>
        </w:tc>
        <w:tc>
          <w:tcPr>
            <w:tcW w:w="0" w:type="auto"/>
            <w:shd w:val="clear" w:color="auto" w:fill="FFFFFF"/>
            <w:tcMar>
              <w:top w:w="0" w:type="dxa"/>
              <w:left w:w="0" w:type="dxa"/>
              <w:bottom w:w="0" w:type="dxa"/>
              <w:right w:w="0" w:type="dxa"/>
            </w:tcMar>
            <w:vAlign w:val="center"/>
            <w:hideMark/>
          </w:tcPr>
          <w:p w14:paraId="3A77CE46"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21104 (16728-26713)</w:t>
            </w:r>
          </w:p>
        </w:tc>
        <w:tc>
          <w:tcPr>
            <w:tcW w:w="0" w:type="auto"/>
            <w:shd w:val="clear" w:color="auto" w:fill="FFFFFF"/>
            <w:tcMar>
              <w:top w:w="0" w:type="dxa"/>
              <w:left w:w="0" w:type="dxa"/>
              <w:bottom w:w="0" w:type="dxa"/>
              <w:right w:w="0" w:type="dxa"/>
            </w:tcMar>
            <w:vAlign w:val="center"/>
            <w:hideMark/>
          </w:tcPr>
          <w:p w14:paraId="213127C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21832 (17369-27899)</w:t>
            </w:r>
          </w:p>
        </w:tc>
        <w:tc>
          <w:tcPr>
            <w:tcW w:w="0" w:type="auto"/>
            <w:shd w:val="clear" w:color="auto" w:fill="FFFFFF"/>
            <w:tcMar>
              <w:top w:w="0" w:type="dxa"/>
              <w:left w:w="0" w:type="dxa"/>
              <w:bottom w:w="0" w:type="dxa"/>
              <w:right w:w="0" w:type="dxa"/>
            </w:tcMar>
            <w:vAlign w:val="center"/>
            <w:hideMark/>
          </w:tcPr>
          <w:p w14:paraId="75D0AB2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23162 (18436-29500)</w:t>
            </w:r>
          </w:p>
        </w:tc>
        <w:tc>
          <w:tcPr>
            <w:tcW w:w="0" w:type="auto"/>
            <w:shd w:val="clear" w:color="auto" w:fill="FFFFFF"/>
            <w:tcMar>
              <w:top w:w="0" w:type="dxa"/>
              <w:left w:w="0" w:type="dxa"/>
              <w:bottom w:w="0" w:type="dxa"/>
              <w:right w:w="0" w:type="dxa"/>
            </w:tcMar>
            <w:vAlign w:val="center"/>
            <w:hideMark/>
          </w:tcPr>
          <w:p w14:paraId="6143D708"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23737 (18864-30250)</w:t>
            </w:r>
          </w:p>
        </w:tc>
        <w:tc>
          <w:tcPr>
            <w:tcW w:w="0" w:type="auto"/>
            <w:shd w:val="clear" w:color="auto" w:fill="FFFFFF"/>
            <w:tcMar>
              <w:top w:w="0" w:type="dxa"/>
              <w:left w:w="0" w:type="dxa"/>
              <w:bottom w:w="0" w:type="dxa"/>
              <w:right w:w="0" w:type="dxa"/>
            </w:tcMar>
            <w:vAlign w:val="center"/>
            <w:hideMark/>
          </w:tcPr>
          <w:p w14:paraId="029D2726"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26141 (20944-33488)</w:t>
            </w:r>
          </w:p>
        </w:tc>
        <w:tc>
          <w:tcPr>
            <w:tcW w:w="0" w:type="auto"/>
            <w:shd w:val="clear" w:color="auto" w:fill="FFFFFF"/>
            <w:tcMar>
              <w:top w:w="0" w:type="dxa"/>
              <w:left w:w="0" w:type="dxa"/>
              <w:bottom w:w="0" w:type="dxa"/>
              <w:right w:w="0" w:type="dxa"/>
            </w:tcMar>
            <w:vAlign w:val="center"/>
            <w:hideMark/>
          </w:tcPr>
          <w:p w14:paraId="61F39D17"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30687 (24675-39236)</w:t>
            </w:r>
          </w:p>
        </w:tc>
        <w:tc>
          <w:tcPr>
            <w:tcW w:w="0" w:type="auto"/>
            <w:shd w:val="clear" w:color="auto" w:fill="FFFFFF"/>
            <w:tcMar>
              <w:top w:w="0" w:type="dxa"/>
              <w:left w:w="0" w:type="dxa"/>
              <w:bottom w:w="0" w:type="dxa"/>
              <w:right w:w="0" w:type="dxa"/>
            </w:tcMar>
            <w:vAlign w:val="center"/>
            <w:hideMark/>
          </w:tcPr>
          <w:p w14:paraId="59DE75B7"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37496 (29935-47666)</w:t>
            </w:r>
          </w:p>
        </w:tc>
        <w:tc>
          <w:tcPr>
            <w:tcW w:w="0" w:type="auto"/>
            <w:shd w:val="clear" w:color="auto" w:fill="FFFFFF"/>
            <w:tcMar>
              <w:top w:w="0" w:type="dxa"/>
              <w:left w:w="0" w:type="dxa"/>
              <w:bottom w:w="0" w:type="dxa"/>
              <w:right w:w="0" w:type="dxa"/>
            </w:tcMar>
            <w:vAlign w:val="center"/>
            <w:hideMark/>
          </w:tcPr>
          <w:p w14:paraId="4656CFB6"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44393 (35452-56621)</w:t>
            </w:r>
          </w:p>
        </w:tc>
        <w:tc>
          <w:tcPr>
            <w:tcW w:w="0" w:type="auto"/>
            <w:shd w:val="clear" w:color="auto" w:fill="FFFFFF"/>
            <w:tcMar>
              <w:top w:w="0" w:type="dxa"/>
              <w:left w:w="0" w:type="dxa"/>
              <w:bottom w:w="0" w:type="dxa"/>
              <w:right w:w="0" w:type="dxa"/>
            </w:tcMar>
            <w:vAlign w:val="center"/>
            <w:hideMark/>
          </w:tcPr>
          <w:p w14:paraId="0B6B57FB"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46968 (37539-59964)</w:t>
            </w:r>
          </w:p>
        </w:tc>
        <w:tc>
          <w:tcPr>
            <w:tcW w:w="0" w:type="auto"/>
            <w:shd w:val="clear" w:color="auto" w:fill="FFFFFF"/>
            <w:tcMar>
              <w:top w:w="0" w:type="dxa"/>
              <w:left w:w="0" w:type="dxa"/>
              <w:bottom w:w="0" w:type="dxa"/>
              <w:right w:w="0" w:type="dxa"/>
            </w:tcMar>
            <w:vAlign w:val="center"/>
            <w:hideMark/>
          </w:tcPr>
          <w:p w14:paraId="301AEA03"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49074 (39152-62845)</w:t>
            </w:r>
          </w:p>
        </w:tc>
      </w:tr>
      <w:tr w:rsidR="00170890" w:rsidRPr="00F35BB1" w14:paraId="2E8BF971" w14:textId="77777777" w:rsidTr="00170890">
        <w:trPr>
          <w:cantSplit/>
        </w:trPr>
        <w:tc>
          <w:tcPr>
            <w:tcW w:w="0" w:type="auto"/>
            <w:gridSpan w:val="15"/>
            <w:shd w:val="clear" w:color="auto" w:fill="FFFFFF"/>
            <w:tcMar>
              <w:top w:w="0" w:type="dxa"/>
              <w:left w:w="0" w:type="dxa"/>
              <w:bottom w:w="0" w:type="dxa"/>
              <w:right w:w="0" w:type="dxa"/>
            </w:tcMar>
            <w:vAlign w:val="center"/>
            <w:hideMark/>
          </w:tcPr>
          <w:p w14:paraId="20FD3FF9" w14:textId="77777777" w:rsidR="00170890" w:rsidRPr="00170890" w:rsidRDefault="00170890" w:rsidP="00170890">
            <w:pPr>
              <w:spacing w:before="100" w:after="100"/>
              <w:ind w:left="100" w:right="100"/>
              <w:rPr>
                <w:rFonts w:ascii="Times New Roman" w:hAnsi="Times New Roman" w:cs="Times New Roman"/>
                <w:b/>
                <w:bCs/>
                <w:sz w:val="18"/>
                <w:szCs w:val="18"/>
              </w:rPr>
            </w:pPr>
            <w:r w:rsidRPr="00170890">
              <w:rPr>
                <w:rFonts w:ascii="Times New Roman" w:eastAsia="Arial" w:hAnsi="Times New Roman" w:cs="Times New Roman"/>
                <w:b/>
                <w:bCs/>
                <w:color w:val="000000"/>
                <w:sz w:val="18"/>
                <w:szCs w:val="18"/>
              </w:rPr>
              <w:t>Women</w:t>
            </w:r>
          </w:p>
        </w:tc>
      </w:tr>
      <w:tr w:rsidR="00170890" w:rsidRPr="00170890" w14:paraId="0C1575FE" w14:textId="77777777" w:rsidTr="00170890">
        <w:trPr>
          <w:cantSplit/>
        </w:trPr>
        <w:tc>
          <w:tcPr>
            <w:tcW w:w="705" w:type="dxa"/>
            <w:shd w:val="clear" w:color="auto" w:fill="FFFFFF"/>
            <w:tcMar>
              <w:top w:w="0" w:type="dxa"/>
              <w:left w:w="0" w:type="dxa"/>
              <w:bottom w:w="0" w:type="dxa"/>
              <w:right w:w="0" w:type="dxa"/>
            </w:tcMar>
            <w:vAlign w:val="center"/>
            <w:hideMark/>
          </w:tcPr>
          <w:p w14:paraId="4AED308D" w14:textId="77777777" w:rsidR="00170890" w:rsidRPr="00170890" w:rsidRDefault="00170890" w:rsidP="00170890">
            <w:pPr>
              <w:spacing w:before="100" w:after="100"/>
              <w:ind w:left="100" w:right="100"/>
              <w:rPr>
                <w:rFonts w:ascii="Times New Roman" w:hAnsi="Times New Roman" w:cs="Times New Roman"/>
                <w:sz w:val="16"/>
                <w:szCs w:val="16"/>
              </w:rPr>
            </w:pPr>
            <w:r w:rsidRPr="00170890">
              <w:rPr>
                <w:rFonts w:ascii="Times New Roman" w:eastAsia="Arial" w:hAnsi="Times New Roman" w:cs="Times New Roman"/>
                <w:color w:val="000000"/>
                <w:sz w:val="16"/>
                <w:szCs w:val="16"/>
              </w:rPr>
              <w:t>15-24</w:t>
            </w:r>
          </w:p>
        </w:tc>
        <w:tc>
          <w:tcPr>
            <w:tcW w:w="714" w:type="dxa"/>
            <w:shd w:val="clear" w:color="auto" w:fill="FFFFFF"/>
            <w:tcMar>
              <w:top w:w="0" w:type="dxa"/>
              <w:left w:w="0" w:type="dxa"/>
              <w:bottom w:w="0" w:type="dxa"/>
              <w:right w:w="0" w:type="dxa"/>
            </w:tcMar>
            <w:vAlign w:val="center"/>
            <w:hideMark/>
          </w:tcPr>
          <w:p w14:paraId="086C7C86"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93139 (73602-119262)</w:t>
            </w:r>
          </w:p>
        </w:tc>
        <w:tc>
          <w:tcPr>
            <w:tcW w:w="0" w:type="auto"/>
            <w:shd w:val="clear" w:color="auto" w:fill="FFFFFF"/>
            <w:tcMar>
              <w:top w:w="0" w:type="dxa"/>
              <w:left w:w="0" w:type="dxa"/>
              <w:bottom w:w="0" w:type="dxa"/>
              <w:right w:w="0" w:type="dxa"/>
            </w:tcMar>
            <w:vAlign w:val="center"/>
            <w:hideMark/>
          </w:tcPr>
          <w:p w14:paraId="44F1D85A"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92706 (73328-118716)</w:t>
            </w:r>
          </w:p>
        </w:tc>
        <w:tc>
          <w:tcPr>
            <w:tcW w:w="0" w:type="auto"/>
            <w:shd w:val="clear" w:color="auto" w:fill="FFFFFF"/>
            <w:tcMar>
              <w:top w:w="0" w:type="dxa"/>
              <w:left w:w="0" w:type="dxa"/>
              <w:bottom w:w="0" w:type="dxa"/>
              <w:right w:w="0" w:type="dxa"/>
            </w:tcMar>
            <w:vAlign w:val="center"/>
            <w:hideMark/>
          </w:tcPr>
          <w:p w14:paraId="0D05CCF7"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87543 (69337-112008)</w:t>
            </w:r>
          </w:p>
        </w:tc>
        <w:tc>
          <w:tcPr>
            <w:tcW w:w="0" w:type="auto"/>
            <w:shd w:val="clear" w:color="auto" w:fill="FFFFFF"/>
            <w:tcMar>
              <w:top w:w="0" w:type="dxa"/>
              <w:left w:w="0" w:type="dxa"/>
              <w:bottom w:w="0" w:type="dxa"/>
              <w:right w:w="0" w:type="dxa"/>
            </w:tcMar>
            <w:vAlign w:val="center"/>
            <w:hideMark/>
          </w:tcPr>
          <w:p w14:paraId="3294D229"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77100 (60462-98064)</w:t>
            </w:r>
          </w:p>
        </w:tc>
        <w:tc>
          <w:tcPr>
            <w:tcW w:w="0" w:type="auto"/>
            <w:shd w:val="clear" w:color="auto" w:fill="FFFFFF"/>
            <w:tcMar>
              <w:top w:w="0" w:type="dxa"/>
              <w:left w:w="0" w:type="dxa"/>
              <w:bottom w:w="0" w:type="dxa"/>
              <w:right w:w="0" w:type="dxa"/>
            </w:tcMar>
            <w:vAlign w:val="center"/>
            <w:hideMark/>
          </w:tcPr>
          <w:p w14:paraId="124F2BB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77986 (61642-98974)</w:t>
            </w:r>
          </w:p>
        </w:tc>
        <w:tc>
          <w:tcPr>
            <w:tcW w:w="0" w:type="auto"/>
            <w:shd w:val="clear" w:color="auto" w:fill="FFFFFF"/>
            <w:tcMar>
              <w:top w:w="0" w:type="dxa"/>
              <w:left w:w="0" w:type="dxa"/>
              <w:bottom w:w="0" w:type="dxa"/>
              <w:right w:w="0" w:type="dxa"/>
            </w:tcMar>
            <w:vAlign w:val="center"/>
            <w:hideMark/>
          </w:tcPr>
          <w:p w14:paraId="024DB806"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82347 (64816-105440)</w:t>
            </w:r>
          </w:p>
        </w:tc>
        <w:tc>
          <w:tcPr>
            <w:tcW w:w="0" w:type="auto"/>
            <w:shd w:val="clear" w:color="auto" w:fill="FFFFFF"/>
            <w:tcMar>
              <w:top w:w="0" w:type="dxa"/>
              <w:left w:w="0" w:type="dxa"/>
              <w:bottom w:w="0" w:type="dxa"/>
              <w:right w:w="0" w:type="dxa"/>
            </w:tcMar>
            <w:vAlign w:val="center"/>
            <w:hideMark/>
          </w:tcPr>
          <w:p w14:paraId="7A9960CB"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79065 (62189-100657)</w:t>
            </w:r>
          </w:p>
        </w:tc>
        <w:tc>
          <w:tcPr>
            <w:tcW w:w="0" w:type="auto"/>
            <w:shd w:val="clear" w:color="auto" w:fill="FFFFFF"/>
            <w:tcMar>
              <w:top w:w="0" w:type="dxa"/>
              <w:left w:w="0" w:type="dxa"/>
              <w:bottom w:w="0" w:type="dxa"/>
              <w:right w:w="0" w:type="dxa"/>
            </w:tcMar>
            <w:vAlign w:val="center"/>
            <w:hideMark/>
          </w:tcPr>
          <w:p w14:paraId="692348C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70354 (55323-89114)</w:t>
            </w:r>
          </w:p>
        </w:tc>
        <w:tc>
          <w:tcPr>
            <w:tcW w:w="0" w:type="auto"/>
            <w:shd w:val="clear" w:color="auto" w:fill="FFFFFF"/>
            <w:tcMar>
              <w:top w:w="0" w:type="dxa"/>
              <w:left w:w="0" w:type="dxa"/>
              <w:bottom w:w="0" w:type="dxa"/>
              <w:right w:w="0" w:type="dxa"/>
            </w:tcMar>
            <w:vAlign w:val="center"/>
            <w:hideMark/>
          </w:tcPr>
          <w:p w14:paraId="09ACD763"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67159 (52847-85301)</w:t>
            </w:r>
          </w:p>
        </w:tc>
        <w:tc>
          <w:tcPr>
            <w:tcW w:w="0" w:type="auto"/>
            <w:shd w:val="clear" w:color="auto" w:fill="FFFFFF"/>
            <w:tcMar>
              <w:top w:w="0" w:type="dxa"/>
              <w:left w:w="0" w:type="dxa"/>
              <w:bottom w:w="0" w:type="dxa"/>
              <w:right w:w="0" w:type="dxa"/>
            </w:tcMar>
            <w:vAlign w:val="center"/>
            <w:hideMark/>
          </w:tcPr>
          <w:p w14:paraId="46CFAE8E"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69797 (54978-88289)</w:t>
            </w:r>
          </w:p>
        </w:tc>
        <w:tc>
          <w:tcPr>
            <w:tcW w:w="0" w:type="auto"/>
            <w:shd w:val="clear" w:color="auto" w:fill="FFFFFF"/>
            <w:tcMar>
              <w:top w:w="0" w:type="dxa"/>
              <w:left w:w="0" w:type="dxa"/>
              <w:bottom w:w="0" w:type="dxa"/>
              <w:right w:w="0" w:type="dxa"/>
            </w:tcMar>
            <w:vAlign w:val="center"/>
            <w:hideMark/>
          </w:tcPr>
          <w:p w14:paraId="28686344"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75322 (59679-95921)</w:t>
            </w:r>
          </w:p>
        </w:tc>
        <w:tc>
          <w:tcPr>
            <w:tcW w:w="0" w:type="auto"/>
            <w:shd w:val="clear" w:color="auto" w:fill="FFFFFF"/>
            <w:tcMar>
              <w:top w:w="0" w:type="dxa"/>
              <w:left w:w="0" w:type="dxa"/>
              <w:bottom w:w="0" w:type="dxa"/>
              <w:right w:w="0" w:type="dxa"/>
            </w:tcMar>
            <w:vAlign w:val="center"/>
            <w:hideMark/>
          </w:tcPr>
          <w:p w14:paraId="47B4EDD6"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88304 (69268-112772)</w:t>
            </w:r>
          </w:p>
        </w:tc>
        <w:tc>
          <w:tcPr>
            <w:tcW w:w="0" w:type="auto"/>
            <w:shd w:val="clear" w:color="auto" w:fill="FFFFFF"/>
            <w:tcMar>
              <w:top w:w="0" w:type="dxa"/>
              <w:left w:w="0" w:type="dxa"/>
              <w:bottom w:w="0" w:type="dxa"/>
              <w:right w:w="0" w:type="dxa"/>
            </w:tcMar>
            <w:vAlign w:val="center"/>
            <w:hideMark/>
          </w:tcPr>
          <w:p w14:paraId="0315052F"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88728 (69851-112646)</w:t>
            </w:r>
          </w:p>
        </w:tc>
        <w:tc>
          <w:tcPr>
            <w:tcW w:w="0" w:type="auto"/>
            <w:shd w:val="clear" w:color="auto" w:fill="FFFFFF"/>
            <w:tcMar>
              <w:top w:w="0" w:type="dxa"/>
              <w:left w:w="0" w:type="dxa"/>
              <w:bottom w:w="0" w:type="dxa"/>
              <w:right w:w="0" w:type="dxa"/>
            </w:tcMar>
            <w:vAlign w:val="center"/>
            <w:hideMark/>
          </w:tcPr>
          <w:p w14:paraId="587498C4"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91885 (72566-117271)</w:t>
            </w:r>
          </w:p>
        </w:tc>
      </w:tr>
      <w:tr w:rsidR="00170890" w:rsidRPr="00170890" w14:paraId="093B3C7C" w14:textId="77777777" w:rsidTr="00170890">
        <w:trPr>
          <w:cantSplit/>
        </w:trPr>
        <w:tc>
          <w:tcPr>
            <w:tcW w:w="705" w:type="dxa"/>
            <w:shd w:val="clear" w:color="auto" w:fill="FFFFFF"/>
            <w:tcMar>
              <w:top w:w="0" w:type="dxa"/>
              <w:left w:w="0" w:type="dxa"/>
              <w:bottom w:w="0" w:type="dxa"/>
              <w:right w:w="0" w:type="dxa"/>
            </w:tcMar>
            <w:vAlign w:val="center"/>
            <w:hideMark/>
          </w:tcPr>
          <w:p w14:paraId="2E5C5323" w14:textId="77777777" w:rsidR="00170890" w:rsidRPr="00170890" w:rsidRDefault="00170890" w:rsidP="00170890">
            <w:pPr>
              <w:spacing w:before="100" w:after="100"/>
              <w:ind w:left="100" w:right="100"/>
              <w:rPr>
                <w:rFonts w:ascii="Times New Roman" w:hAnsi="Times New Roman" w:cs="Times New Roman"/>
                <w:sz w:val="16"/>
                <w:szCs w:val="16"/>
              </w:rPr>
            </w:pPr>
            <w:r w:rsidRPr="00170890">
              <w:rPr>
                <w:rFonts w:ascii="Times New Roman" w:eastAsia="Arial" w:hAnsi="Times New Roman" w:cs="Times New Roman"/>
                <w:color w:val="000000"/>
                <w:sz w:val="16"/>
                <w:szCs w:val="16"/>
              </w:rPr>
              <w:t>25-39</w:t>
            </w:r>
          </w:p>
        </w:tc>
        <w:tc>
          <w:tcPr>
            <w:tcW w:w="714" w:type="dxa"/>
            <w:shd w:val="clear" w:color="auto" w:fill="FFFFFF"/>
            <w:tcMar>
              <w:top w:w="0" w:type="dxa"/>
              <w:left w:w="0" w:type="dxa"/>
              <w:bottom w:w="0" w:type="dxa"/>
              <w:right w:w="0" w:type="dxa"/>
            </w:tcMar>
            <w:vAlign w:val="center"/>
            <w:hideMark/>
          </w:tcPr>
          <w:p w14:paraId="26EE3298"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39542 (31124-50984)</w:t>
            </w:r>
          </w:p>
        </w:tc>
        <w:tc>
          <w:tcPr>
            <w:tcW w:w="0" w:type="auto"/>
            <w:shd w:val="clear" w:color="auto" w:fill="FFFFFF"/>
            <w:tcMar>
              <w:top w:w="0" w:type="dxa"/>
              <w:left w:w="0" w:type="dxa"/>
              <w:bottom w:w="0" w:type="dxa"/>
              <w:right w:w="0" w:type="dxa"/>
            </w:tcMar>
            <w:vAlign w:val="center"/>
            <w:hideMark/>
          </w:tcPr>
          <w:p w14:paraId="1B17B2A2"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38169 (29982-49281)</w:t>
            </w:r>
          </w:p>
        </w:tc>
        <w:tc>
          <w:tcPr>
            <w:tcW w:w="0" w:type="auto"/>
            <w:shd w:val="clear" w:color="auto" w:fill="FFFFFF"/>
            <w:tcMar>
              <w:top w:w="0" w:type="dxa"/>
              <w:left w:w="0" w:type="dxa"/>
              <w:bottom w:w="0" w:type="dxa"/>
              <w:right w:w="0" w:type="dxa"/>
            </w:tcMar>
            <w:vAlign w:val="center"/>
            <w:hideMark/>
          </w:tcPr>
          <w:p w14:paraId="772CBA47"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34712 (27206-44437)</w:t>
            </w:r>
          </w:p>
        </w:tc>
        <w:tc>
          <w:tcPr>
            <w:tcW w:w="0" w:type="auto"/>
            <w:shd w:val="clear" w:color="auto" w:fill="FFFFFF"/>
            <w:tcMar>
              <w:top w:w="0" w:type="dxa"/>
              <w:left w:w="0" w:type="dxa"/>
              <w:bottom w:w="0" w:type="dxa"/>
              <w:right w:w="0" w:type="dxa"/>
            </w:tcMar>
            <w:vAlign w:val="center"/>
            <w:hideMark/>
          </w:tcPr>
          <w:p w14:paraId="09F3364C"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29406 (22872-37956)</w:t>
            </w:r>
          </w:p>
        </w:tc>
        <w:tc>
          <w:tcPr>
            <w:tcW w:w="0" w:type="auto"/>
            <w:shd w:val="clear" w:color="auto" w:fill="FFFFFF"/>
            <w:tcMar>
              <w:top w:w="0" w:type="dxa"/>
              <w:left w:w="0" w:type="dxa"/>
              <w:bottom w:w="0" w:type="dxa"/>
              <w:right w:w="0" w:type="dxa"/>
            </w:tcMar>
            <w:vAlign w:val="center"/>
            <w:hideMark/>
          </w:tcPr>
          <w:p w14:paraId="5276C8DE"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29233 (22724-37648)</w:t>
            </w:r>
          </w:p>
        </w:tc>
        <w:tc>
          <w:tcPr>
            <w:tcW w:w="0" w:type="auto"/>
            <w:shd w:val="clear" w:color="auto" w:fill="FFFFFF"/>
            <w:tcMar>
              <w:top w:w="0" w:type="dxa"/>
              <w:left w:w="0" w:type="dxa"/>
              <w:bottom w:w="0" w:type="dxa"/>
              <w:right w:w="0" w:type="dxa"/>
            </w:tcMar>
            <w:vAlign w:val="center"/>
            <w:hideMark/>
          </w:tcPr>
          <w:p w14:paraId="3204BC86"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29079 (22735-37060)</w:t>
            </w:r>
          </w:p>
        </w:tc>
        <w:tc>
          <w:tcPr>
            <w:tcW w:w="0" w:type="auto"/>
            <w:shd w:val="clear" w:color="auto" w:fill="FFFFFF"/>
            <w:tcMar>
              <w:top w:w="0" w:type="dxa"/>
              <w:left w:w="0" w:type="dxa"/>
              <w:bottom w:w="0" w:type="dxa"/>
              <w:right w:w="0" w:type="dxa"/>
            </w:tcMar>
            <w:vAlign w:val="center"/>
            <w:hideMark/>
          </w:tcPr>
          <w:p w14:paraId="7AC12C47"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31476 (24780-40201)</w:t>
            </w:r>
          </w:p>
        </w:tc>
        <w:tc>
          <w:tcPr>
            <w:tcW w:w="0" w:type="auto"/>
            <w:shd w:val="clear" w:color="auto" w:fill="FFFFFF"/>
            <w:tcMar>
              <w:top w:w="0" w:type="dxa"/>
              <w:left w:w="0" w:type="dxa"/>
              <w:bottom w:w="0" w:type="dxa"/>
              <w:right w:w="0" w:type="dxa"/>
            </w:tcMar>
            <w:vAlign w:val="center"/>
            <w:hideMark/>
          </w:tcPr>
          <w:p w14:paraId="5FCCAA8F"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32009 (25214-40841)</w:t>
            </w:r>
          </w:p>
        </w:tc>
        <w:tc>
          <w:tcPr>
            <w:tcW w:w="0" w:type="auto"/>
            <w:shd w:val="clear" w:color="auto" w:fill="FFFFFF"/>
            <w:tcMar>
              <w:top w:w="0" w:type="dxa"/>
              <w:left w:w="0" w:type="dxa"/>
              <w:bottom w:w="0" w:type="dxa"/>
              <w:right w:w="0" w:type="dxa"/>
            </w:tcMar>
            <w:vAlign w:val="center"/>
            <w:hideMark/>
          </w:tcPr>
          <w:p w14:paraId="49B81913"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33815 (26680-42908)</w:t>
            </w:r>
          </w:p>
        </w:tc>
        <w:tc>
          <w:tcPr>
            <w:tcW w:w="0" w:type="auto"/>
            <w:shd w:val="clear" w:color="auto" w:fill="FFFFFF"/>
            <w:tcMar>
              <w:top w:w="0" w:type="dxa"/>
              <w:left w:w="0" w:type="dxa"/>
              <w:bottom w:w="0" w:type="dxa"/>
              <w:right w:w="0" w:type="dxa"/>
            </w:tcMar>
            <w:vAlign w:val="center"/>
            <w:hideMark/>
          </w:tcPr>
          <w:p w14:paraId="36A6C1AC"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37902 (29804-48171)</w:t>
            </w:r>
          </w:p>
        </w:tc>
        <w:tc>
          <w:tcPr>
            <w:tcW w:w="0" w:type="auto"/>
            <w:shd w:val="clear" w:color="auto" w:fill="FFFFFF"/>
            <w:tcMar>
              <w:top w:w="0" w:type="dxa"/>
              <w:left w:w="0" w:type="dxa"/>
              <w:bottom w:w="0" w:type="dxa"/>
              <w:right w:w="0" w:type="dxa"/>
            </w:tcMar>
            <w:vAlign w:val="center"/>
            <w:hideMark/>
          </w:tcPr>
          <w:p w14:paraId="3660C02C"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45544 (36139-57291)</w:t>
            </w:r>
          </w:p>
        </w:tc>
        <w:tc>
          <w:tcPr>
            <w:tcW w:w="0" w:type="auto"/>
            <w:shd w:val="clear" w:color="auto" w:fill="FFFFFF"/>
            <w:tcMar>
              <w:top w:w="0" w:type="dxa"/>
              <w:left w:w="0" w:type="dxa"/>
              <w:bottom w:w="0" w:type="dxa"/>
              <w:right w:w="0" w:type="dxa"/>
            </w:tcMar>
            <w:vAlign w:val="center"/>
            <w:hideMark/>
          </w:tcPr>
          <w:p w14:paraId="38B925E9"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56586 (44613-72157)</w:t>
            </w:r>
          </w:p>
        </w:tc>
        <w:tc>
          <w:tcPr>
            <w:tcW w:w="0" w:type="auto"/>
            <w:shd w:val="clear" w:color="auto" w:fill="FFFFFF"/>
            <w:tcMar>
              <w:top w:w="0" w:type="dxa"/>
              <w:left w:w="0" w:type="dxa"/>
              <w:bottom w:w="0" w:type="dxa"/>
              <w:right w:w="0" w:type="dxa"/>
            </w:tcMar>
            <w:vAlign w:val="center"/>
            <w:hideMark/>
          </w:tcPr>
          <w:p w14:paraId="31F031E3"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62142 (49039-79153)</w:t>
            </w:r>
          </w:p>
        </w:tc>
        <w:tc>
          <w:tcPr>
            <w:tcW w:w="0" w:type="auto"/>
            <w:shd w:val="clear" w:color="auto" w:fill="FFFFFF"/>
            <w:tcMar>
              <w:top w:w="0" w:type="dxa"/>
              <w:left w:w="0" w:type="dxa"/>
              <w:bottom w:w="0" w:type="dxa"/>
              <w:right w:w="0" w:type="dxa"/>
            </w:tcMar>
            <w:vAlign w:val="center"/>
            <w:hideMark/>
          </w:tcPr>
          <w:p w14:paraId="66B6ADE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61985 (48671-78799)</w:t>
            </w:r>
          </w:p>
        </w:tc>
      </w:tr>
      <w:tr w:rsidR="00170890" w:rsidRPr="00170890" w14:paraId="76761E59" w14:textId="77777777" w:rsidTr="00170890">
        <w:trPr>
          <w:cantSplit/>
        </w:trPr>
        <w:tc>
          <w:tcPr>
            <w:tcW w:w="705" w:type="dxa"/>
            <w:shd w:val="clear" w:color="auto" w:fill="FFFFFF"/>
            <w:tcMar>
              <w:top w:w="0" w:type="dxa"/>
              <w:left w:w="0" w:type="dxa"/>
              <w:bottom w:w="0" w:type="dxa"/>
              <w:right w:w="0" w:type="dxa"/>
            </w:tcMar>
            <w:vAlign w:val="center"/>
            <w:hideMark/>
          </w:tcPr>
          <w:p w14:paraId="408C1D4A" w14:textId="77777777" w:rsidR="00170890" w:rsidRPr="00170890" w:rsidRDefault="00170890" w:rsidP="00170890">
            <w:pPr>
              <w:spacing w:before="100" w:after="100"/>
              <w:ind w:left="100" w:right="100"/>
              <w:rPr>
                <w:rFonts w:ascii="Times New Roman" w:hAnsi="Times New Roman" w:cs="Times New Roman"/>
                <w:sz w:val="16"/>
                <w:szCs w:val="16"/>
              </w:rPr>
            </w:pPr>
            <w:r w:rsidRPr="00170890">
              <w:rPr>
                <w:rFonts w:ascii="Times New Roman" w:eastAsia="Arial" w:hAnsi="Times New Roman" w:cs="Times New Roman"/>
                <w:color w:val="000000"/>
                <w:sz w:val="16"/>
                <w:szCs w:val="16"/>
              </w:rPr>
              <w:t>All</w:t>
            </w:r>
          </w:p>
        </w:tc>
        <w:tc>
          <w:tcPr>
            <w:tcW w:w="714" w:type="dxa"/>
            <w:shd w:val="clear" w:color="auto" w:fill="FFFFFF"/>
            <w:tcMar>
              <w:top w:w="0" w:type="dxa"/>
              <w:left w:w="0" w:type="dxa"/>
              <w:bottom w:w="0" w:type="dxa"/>
              <w:right w:w="0" w:type="dxa"/>
            </w:tcMar>
            <w:vAlign w:val="center"/>
            <w:hideMark/>
          </w:tcPr>
          <w:p w14:paraId="5A4C7B38"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136550 (113993-164373)</w:t>
            </w:r>
          </w:p>
        </w:tc>
        <w:tc>
          <w:tcPr>
            <w:tcW w:w="0" w:type="auto"/>
            <w:shd w:val="clear" w:color="auto" w:fill="FFFFFF"/>
            <w:tcMar>
              <w:top w:w="0" w:type="dxa"/>
              <w:left w:w="0" w:type="dxa"/>
              <w:bottom w:w="0" w:type="dxa"/>
              <w:right w:w="0" w:type="dxa"/>
            </w:tcMar>
            <w:vAlign w:val="center"/>
            <w:hideMark/>
          </w:tcPr>
          <w:p w14:paraId="431FFD4B"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134564 (112501-162956)</w:t>
            </w:r>
          </w:p>
        </w:tc>
        <w:tc>
          <w:tcPr>
            <w:tcW w:w="0" w:type="auto"/>
            <w:shd w:val="clear" w:color="auto" w:fill="FFFFFF"/>
            <w:tcMar>
              <w:top w:w="0" w:type="dxa"/>
              <w:left w:w="0" w:type="dxa"/>
              <w:bottom w:w="0" w:type="dxa"/>
              <w:right w:w="0" w:type="dxa"/>
            </w:tcMar>
            <w:vAlign w:val="center"/>
            <w:hideMark/>
          </w:tcPr>
          <w:p w14:paraId="3D44F9F1"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125449 (104948-151465)</w:t>
            </w:r>
          </w:p>
        </w:tc>
        <w:tc>
          <w:tcPr>
            <w:tcW w:w="0" w:type="auto"/>
            <w:shd w:val="clear" w:color="auto" w:fill="FFFFFF"/>
            <w:tcMar>
              <w:top w:w="0" w:type="dxa"/>
              <w:left w:w="0" w:type="dxa"/>
              <w:bottom w:w="0" w:type="dxa"/>
              <w:right w:w="0" w:type="dxa"/>
            </w:tcMar>
            <w:vAlign w:val="center"/>
            <w:hideMark/>
          </w:tcPr>
          <w:p w14:paraId="1A356845"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108881 (90713-131841)</w:t>
            </w:r>
          </w:p>
        </w:tc>
        <w:tc>
          <w:tcPr>
            <w:tcW w:w="0" w:type="auto"/>
            <w:shd w:val="clear" w:color="auto" w:fill="FFFFFF"/>
            <w:tcMar>
              <w:top w:w="0" w:type="dxa"/>
              <w:left w:w="0" w:type="dxa"/>
              <w:bottom w:w="0" w:type="dxa"/>
              <w:right w:w="0" w:type="dxa"/>
            </w:tcMar>
            <w:vAlign w:val="center"/>
            <w:hideMark/>
          </w:tcPr>
          <w:p w14:paraId="0DEDF11E"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109515 (91369-131887)</w:t>
            </w:r>
          </w:p>
        </w:tc>
        <w:tc>
          <w:tcPr>
            <w:tcW w:w="0" w:type="auto"/>
            <w:shd w:val="clear" w:color="auto" w:fill="FFFFFF"/>
            <w:tcMar>
              <w:top w:w="0" w:type="dxa"/>
              <w:left w:w="0" w:type="dxa"/>
              <w:bottom w:w="0" w:type="dxa"/>
              <w:right w:w="0" w:type="dxa"/>
            </w:tcMar>
            <w:vAlign w:val="center"/>
            <w:hideMark/>
          </w:tcPr>
          <w:p w14:paraId="7C47BB66"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113753 (94305-137825)</w:t>
            </w:r>
          </w:p>
        </w:tc>
        <w:tc>
          <w:tcPr>
            <w:tcW w:w="0" w:type="auto"/>
            <w:shd w:val="clear" w:color="auto" w:fill="FFFFFF"/>
            <w:tcMar>
              <w:top w:w="0" w:type="dxa"/>
              <w:left w:w="0" w:type="dxa"/>
              <w:bottom w:w="0" w:type="dxa"/>
              <w:right w:w="0" w:type="dxa"/>
            </w:tcMar>
            <w:vAlign w:val="center"/>
            <w:hideMark/>
          </w:tcPr>
          <w:p w14:paraId="66ED3E66"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113199 (93947-136643)</w:t>
            </w:r>
          </w:p>
        </w:tc>
        <w:tc>
          <w:tcPr>
            <w:tcW w:w="0" w:type="auto"/>
            <w:shd w:val="clear" w:color="auto" w:fill="FFFFFF"/>
            <w:tcMar>
              <w:top w:w="0" w:type="dxa"/>
              <w:left w:w="0" w:type="dxa"/>
              <w:bottom w:w="0" w:type="dxa"/>
              <w:right w:w="0" w:type="dxa"/>
            </w:tcMar>
            <w:vAlign w:val="center"/>
            <w:hideMark/>
          </w:tcPr>
          <w:p w14:paraId="367FC31F"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104531 (87617-126083)</w:t>
            </w:r>
          </w:p>
        </w:tc>
        <w:tc>
          <w:tcPr>
            <w:tcW w:w="0" w:type="auto"/>
            <w:shd w:val="clear" w:color="auto" w:fill="FFFFFF"/>
            <w:tcMar>
              <w:top w:w="0" w:type="dxa"/>
              <w:left w:w="0" w:type="dxa"/>
              <w:bottom w:w="0" w:type="dxa"/>
              <w:right w:w="0" w:type="dxa"/>
            </w:tcMar>
            <w:vAlign w:val="center"/>
            <w:hideMark/>
          </w:tcPr>
          <w:p w14:paraId="5E6D3D99"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103404 (86832-124058)</w:t>
            </w:r>
          </w:p>
        </w:tc>
        <w:tc>
          <w:tcPr>
            <w:tcW w:w="0" w:type="auto"/>
            <w:shd w:val="clear" w:color="auto" w:fill="FFFFFF"/>
            <w:tcMar>
              <w:top w:w="0" w:type="dxa"/>
              <w:left w:w="0" w:type="dxa"/>
              <w:bottom w:w="0" w:type="dxa"/>
              <w:right w:w="0" w:type="dxa"/>
            </w:tcMar>
            <w:vAlign w:val="center"/>
            <w:hideMark/>
          </w:tcPr>
          <w:p w14:paraId="1FE0FF69"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110479 (93004-131682)</w:t>
            </w:r>
          </w:p>
        </w:tc>
        <w:tc>
          <w:tcPr>
            <w:tcW w:w="0" w:type="auto"/>
            <w:shd w:val="clear" w:color="auto" w:fill="FFFFFF"/>
            <w:tcMar>
              <w:top w:w="0" w:type="dxa"/>
              <w:left w:w="0" w:type="dxa"/>
              <w:bottom w:w="0" w:type="dxa"/>
              <w:right w:w="0" w:type="dxa"/>
            </w:tcMar>
            <w:vAlign w:val="center"/>
            <w:hideMark/>
          </w:tcPr>
          <w:p w14:paraId="15B3170B"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124027 (104774-148102)</w:t>
            </w:r>
          </w:p>
        </w:tc>
        <w:tc>
          <w:tcPr>
            <w:tcW w:w="0" w:type="auto"/>
            <w:shd w:val="clear" w:color="auto" w:fill="FFFFFF"/>
            <w:tcMar>
              <w:top w:w="0" w:type="dxa"/>
              <w:left w:w="0" w:type="dxa"/>
              <w:bottom w:w="0" w:type="dxa"/>
              <w:right w:w="0" w:type="dxa"/>
            </w:tcMar>
            <w:vAlign w:val="center"/>
            <w:hideMark/>
          </w:tcPr>
          <w:p w14:paraId="1287C7CE"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149492 (125515-178227)</w:t>
            </w:r>
          </w:p>
        </w:tc>
        <w:tc>
          <w:tcPr>
            <w:tcW w:w="0" w:type="auto"/>
            <w:shd w:val="clear" w:color="auto" w:fill="FFFFFF"/>
            <w:tcMar>
              <w:top w:w="0" w:type="dxa"/>
              <w:left w:w="0" w:type="dxa"/>
              <w:bottom w:w="0" w:type="dxa"/>
              <w:right w:w="0" w:type="dxa"/>
            </w:tcMar>
            <w:vAlign w:val="center"/>
            <w:hideMark/>
          </w:tcPr>
          <w:p w14:paraId="7E08F642"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155568 (130300-184973)</w:t>
            </w:r>
          </w:p>
        </w:tc>
        <w:tc>
          <w:tcPr>
            <w:tcW w:w="0" w:type="auto"/>
            <w:shd w:val="clear" w:color="auto" w:fill="FFFFFF"/>
            <w:tcMar>
              <w:top w:w="0" w:type="dxa"/>
              <w:left w:w="0" w:type="dxa"/>
              <w:bottom w:w="0" w:type="dxa"/>
              <w:right w:w="0" w:type="dxa"/>
            </w:tcMar>
            <w:vAlign w:val="center"/>
            <w:hideMark/>
          </w:tcPr>
          <w:p w14:paraId="38DC4CAB"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158967 (133803-189152)</w:t>
            </w:r>
          </w:p>
        </w:tc>
      </w:tr>
      <w:tr w:rsidR="00170890" w:rsidRPr="00F35BB1" w14:paraId="761ABCEC" w14:textId="77777777" w:rsidTr="00170890">
        <w:trPr>
          <w:cantSplit/>
        </w:trPr>
        <w:tc>
          <w:tcPr>
            <w:tcW w:w="0" w:type="auto"/>
            <w:gridSpan w:val="15"/>
            <w:shd w:val="clear" w:color="auto" w:fill="FFFFFF"/>
            <w:tcMar>
              <w:top w:w="0" w:type="dxa"/>
              <w:left w:w="0" w:type="dxa"/>
              <w:bottom w:w="0" w:type="dxa"/>
              <w:right w:w="0" w:type="dxa"/>
            </w:tcMar>
            <w:vAlign w:val="center"/>
            <w:hideMark/>
          </w:tcPr>
          <w:p w14:paraId="2C77418E" w14:textId="77777777" w:rsidR="00170890" w:rsidRPr="00170890" w:rsidRDefault="00170890" w:rsidP="00170890">
            <w:pPr>
              <w:spacing w:before="100" w:after="100"/>
              <w:ind w:left="100" w:right="100"/>
              <w:rPr>
                <w:rFonts w:ascii="Times New Roman" w:hAnsi="Times New Roman" w:cs="Times New Roman"/>
                <w:b/>
                <w:bCs/>
                <w:sz w:val="18"/>
                <w:szCs w:val="18"/>
              </w:rPr>
            </w:pPr>
            <w:r w:rsidRPr="00170890">
              <w:rPr>
                <w:rFonts w:ascii="Times New Roman" w:eastAsia="Arial" w:hAnsi="Times New Roman" w:cs="Times New Roman"/>
                <w:b/>
                <w:bCs/>
                <w:color w:val="000000"/>
                <w:sz w:val="18"/>
                <w:szCs w:val="18"/>
              </w:rPr>
              <w:t>Both</w:t>
            </w:r>
          </w:p>
        </w:tc>
      </w:tr>
      <w:tr w:rsidR="00170890" w:rsidRPr="00F35BB1" w14:paraId="3718F029" w14:textId="77777777" w:rsidTr="00170890">
        <w:trPr>
          <w:cantSplit/>
        </w:trPr>
        <w:tc>
          <w:tcPr>
            <w:tcW w:w="705" w:type="dxa"/>
            <w:shd w:val="clear" w:color="auto" w:fill="FFFFFF"/>
            <w:tcMar>
              <w:top w:w="0" w:type="dxa"/>
              <w:left w:w="0" w:type="dxa"/>
              <w:bottom w:w="0" w:type="dxa"/>
              <w:right w:w="0" w:type="dxa"/>
            </w:tcMar>
            <w:vAlign w:val="center"/>
            <w:hideMark/>
          </w:tcPr>
          <w:p w14:paraId="7ACEAFDA" w14:textId="77777777" w:rsidR="00170890" w:rsidRPr="00170890" w:rsidRDefault="00170890" w:rsidP="00170890">
            <w:pPr>
              <w:spacing w:before="100" w:after="100"/>
              <w:ind w:left="100" w:right="100"/>
              <w:rPr>
                <w:rFonts w:ascii="Times New Roman" w:hAnsi="Times New Roman" w:cs="Times New Roman"/>
                <w:sz w:val="16"/>
                <w:szCs w:val="16"/>
              </w:rPr>
            </w:pPr>
            <w:r w:rsidRPr="00170890">
              <w:rPr>
                <w:rFonts w:ascii="Times New Roman" w:eastAsia="Arial" w:hAnsi="Times New Roman" w:cs="Times New Roman"/>
                <w:color w:val="000000"/>
                <w:sz w:val="16"/>
                <w:szCs w:val="16"/>
              </w:rPr>
              <w:t>15-24</w:t>
            </w:r>
          </w:p>
        </w:tc>
        <w:tc>
          <w:tcPr>
            <w:tcW w:w="714" w:type="dxa"/>
            <w:shd w:val="clear" w:color="auto" w:fill="FFFFFF"/>
            <w:tcMar>
              <w:top w:w="0" w:type="dxa"/>
              <w:left w:w="0" w:type="dxa"/>
              <w:bottom w:w="0" w:type="dxa"/>
              <w:right w:w="0" w:type="dxa"/>
            </w:tcMar>
            <w:vAlign w:val="center"/>
            <w:hideMark/>
          </w:tcPr>
          <w:p w14:paraId="663D43CA"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109061 (88382-135106)</w:t>
            </w:r>
          </w:p>
        </w:tc>
        <w:tc>
          <w:tcPr>
            <w:tcW w:w="0" w:type="auto"/>
            <w:shd w:val="clear" w:color="auto" w:fill="FFFFFF"/>
            <w:tcMar>
              <w:top w:w="0" w:type="dxa"/>
              <w:left w:w="0" w:type="dxa"/>
              <w:bottom w:w="0" w:type="dxa"/>
              <w:right w:w="0" w:type="dxa"/>
            </w:tcMar>
            <w:vAlign w:val="center"/>
            <w:hideMark/>
          </w:tcPr>
          <w:p w14:paraId="575E977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108424 (88365-134978)</w:t>
            </w:r>
          </w:p>
        </w:tc>
        <w:tc>
          <w:tcPr>
            <w:tcW w:w="0" w:type="auto"/>
            <w:shd w:val="clear" w:color="auto" w:fill="FFFFFF"/>
            <w:tcMar>
              <w:top w:w="0" w:type="dxa"/>
              <w:left w:w="0" w:type="dxa"/>
              <w:bottom w:w="0" w:type="dxa"/>
              <w:right w:w="0" w:type="dxa"/>
            </w:tcMar>
            <w:vAlign w:val="center"/>
            <w:hideMark/>
          </w:tcPr>
          <w:p w14:paraId="62E680F5"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102151 (83365-127081)</w:t>
            </w:r>
          </w:p>
        </w:tc>
        <w:tc>
          <w:tcPr>
            <w:tcW w:w="0" w:type="auto"/>
            <w:shd w:val="clear" w:color="auto" w:fill="FFFFFF"/>
            <w:tcMar>
              <w:top w:w="0" w:type="dxa"/>
              <w:left w:w="0" w:type="dxa"/>
              <w:bottom w:w="0" w:type="dxa"/>
              <w:right w:w="0" w:type="dxa"/>
            </w:tcMar>
            <w:vAlign w:val="center"/>
            <w:hideMark/>
          </w:tcPr>
          <w:p w14:paraId="3FEE1C15"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90437 (73241-111679)</w:t>
            </w:r>
          </w:p>
        </w:tc>
        <w:tc>
          <w:tcPr>
            <w:tcW w:w="0" w:type="auto"/>
            <w:shd w:val="clear" w:color="auto" w:fill="FFFFFF"/>
            <w:tcMar>
              <w:top w:w="0" w:type="dxa"/>
              <w:left w:w="0" w:type="dxa"/>
              <w:bottom w:w="0" w:type="dxa"/>
              <w:right w:w="0" w:type="dxa"/>
            </w:tcMar>
            <w:vAlign w:val="center"/>
            <w:hideMark/>
          </w:tcPr>
          <w:p w14:paraId="2CB82CBE"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91415 (74452-112637)</w:t>
            </w:r>
          </w:p>
        </w:tc>
        <w:tc>
          <w:tcPr>
            <w:tcW w:w="0" w:type="auto"/>
            <w:shd w:val="clear" w:color="auto" w:fill="FFFFFF"/>
            <w:tcMar>
              <w:top w:w="0" w:type="dxa"/>
              <w:left w:w="0" w:type="dxa"/>
              <w:bottom w:w="0" w:type="dxa"/>
              <w:right w:w="0" w:type="dxa"/>
            </w:tcMar>
            <w:vAlign w:val="center"/>
            <w:hideMark/>
          </w:tcPr>
          <w:p w14:paraId="30994A11"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96319 (77987-119827)</w:t>
            </w:r>
          </w:p>
        </w:tc>
        <w:tc>
          <w:tcPr>
            <w:tcW w:w="0" w:type="auto"/>
            <w:shd w:val="clear" w:color="auto" w:fill="FFFFFF"/>
            <w:tcMar>
              <w:top w:w="0" w:type="dxa"/>
              <w:left w:w="0" w:type="dxa"/>
              <w:bottom w:w="0" w:type="dxa"/>
              <w:right w:w="0" w:type="dxa"/>
            </w:tcMar>
            <w:vAlign w:val="center"/>
            <w:hideMark/>
          </w:tcPr>
          <w:p w14:paraId="03BB4E3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93178 (75819-114810)</w:t>
            </w:r>
          </w:p>
        </w:tc>
        <w:tc>
          <w:tcPr>
            <w:tcW w:w="0" w:type="auto"/>
            <w:shd w:val="clear" w:color="auto" w:fill="FFFFFF"/>
            <w:tcMar>
              <w:top w:w="0" w:type="dxa"/>
              <w:left w:w="0" w:type="dxa"/>
              <w:bottom w:w="0" w:type="dxa"/>
              <w:right w:w="0" w:type="dxa"/>
            </w:tcMar>
            <w:vAlign w:val="center"/>
            <w:hideMark/>
          </w:tcPr>
          <w:p w14:paraId="43B52864"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84146 (68266-103595)</w:t>
            </w:r>
          </w:p>
        </w:tc>
        <w:tc>
          <w:tcPr>
            <w:tcW w:w="0" w:type="auto"/>
            <w:shd w:val="clear" w:color="auto" w:fill="FFFFFF"/>
            <w:tcMar>
              <w:top w:w="0" w:type="dxa"/>
              <w:left w:w="0" w:type="dxa"/>
              <w:bottom w:w="0" w:type="dxa"/>
              <w:right w:w="0" w:type="dxa"/>
            </w:tcMar>
            <w:vAlign w:val="center"/>
            <w:hideMark/>
          </w:tcPr>
          <w:p w14:paraId="17DB60F1"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81633 (66510-100756)</w:t>
            </w:r>
          </w:p>
        </w:tc>
        <w:tc>
          <w:tcPr>
            <w:tcW w:w="0" w:type="auto"/>
            <w:shd w:val="clear" w:color="auto" w:fill="FFFFFF"/>
            <w:tcMar>
              <w:top w:w="0" w:type="dxa"/>
              <w:left w:w="0" w:type="dxa"/>
              <w:bottom w:w="0" w:type="dxa"/>
              <w:right w:w="0" w:type="dxa"/>
            </w:tcMar>
            <w:vAlign w:val="center"/>
            <w:hideMark/>
          </w:tcPr>
          <w:p w14:paraId="5622C482"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85937 (70050-105370)</w:t>
            </w:r>
          </w:p>
        </w:tc>
        <w:tc>
          <w:tcPr>
            <w:tcW w:w="0" w:type="auto"/>
            <w:shd w:val="clear" w:color="auto" w:fill="FFFFFF"/>
            <w:tcMar>
              <w:top w:w="0" w:type="dxa"/>
              <w:left w:w="0" w:type="dxa"/>
              <w:bottom w:w="0" w:type="dxa"/>
              <w:right w:w="0" w:type="dxa"/>
            </w:tcMar>
            <w:vAlign w:val="center"/>
            <w:hideMark/>
          </w:tcPr>
          <w:p w14:paraId="0ED98998"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93878 (77164-115802)</w:t>
            </w:r>
          </w:p>
        </w:tc>
        <w:tc>
          <w:tcPr>
            <w:tcW w:w="0" w:type="auto"/>
            <w:shd w:val="clear" w:color="auto" w:fill="FFFFFF"/>
            <w:tcMar>
              <w:top w:w="0" w:type="dxa"/>
              <w:left w:w="0" w:type="dxa"/>
              <w:bottom w:w="0" w:type="dxa"/>
              <w:right w:w="0" w:type="dxa"/>
            </w:tcMar>
            <w:vAlign w:val="center"/>
            <w:hideMark/>
          </w:tcPr>
          <w:p w14:paraId="4A8041F1"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109333 (88871-134759)</w:t>
            </w:r>
          </w:p>
        </w:tc>
        <w:tc>
          <w:tcPr>
            <w:tcW w:w="0" w:type="auto"/>
            <w:shd w:val="clear" w:color="auto" w:fill="FFFFFF"/>
            <w:tcMar>
              <w:top w:w="0" w:type="dxa"/>
              <w:left w:w="0" w:type="dxa"/>
              <w:bottom w:w="0" w:type="dxa"/>
              <w:right w:w="0" w:type="dxa"/>
            </w:tcMar>
            <w:vAlign w:val="center"/>
            <w:hideMark/>
          </w:tcPr>
          <w:p w14:paraId="356E9D75"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110151 (89788-135018)</w:t>
            </w:r>
          </w:p>
        </w:tc>
        <w:tc>
          <w:tcPr>
            <w:tcW w:w="0" w:type="auto"/>
            <w:shd w:val="clear" w:color="auto" w:fill="FFFFFF"/>
            <w:tcMar>
              <w:top w:w="0" w:type="dxa"/>
              <w:left w:w="0" w:type="dxa"/>
              <w:bottom w:w="0" w:type="dxa"/>
              <w:right w:w="0" w:type="dxa"/>
            </w:tcMar>
            <w:vAlign w:val="center"/>
            <w:hideMark/>
          </w:tcPr>
          <w:p w14:paraId="6F9B6259"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113514 (92628-140258)</w:t>
            </w:r>
          </w:p>
        </w:tc>
      </w:tr>
      <w:tr w:rsidR="00170890" w:rsidRPr="00F35BB1" w14:paraId="7E60D73A" w14:textId="77777777" w:rsidTr="00170890">
        <w:trPr>
          <w:cantSplit/>
        </w:trPr>
        <w:tc>
          <w:tcPr>
            <w:tcW w:w="705" w:type="dxa"/>
            <w:shd w:val="clear" w:color="auto" w:fill="FFFFFF"/>
            <w:tcMar>
              <w:top w:w="0" w:type="dxa"/>
              <w:left w:w="0" w:type="dxa"/>
              <w:bottom w:w="0" w:type="dxa"/>
              <w:right w:w="0" w:type="dxa"/>
            </w:tcMar>
            <w:vAlign w:val="center"/>
            <w:hideMark/>
          </w:tcPr>
          <w:p w14:paraId="52C22A3D" w14:textId="77777777" w:rsidR="00170890" w:rsidRPr="00170890" w:rsidRDefault="00170890" w:rsidP="00170890">
            <w:pPr>
              <w:spacing w:before="100" w:after="100"/>
              <w:ind w:left="100" w:right="100"/>
              <w:rPr>
                <w:rFonts w:ascii="Times New Roman" w:hAnsi="Times New Roman" w:cs="Times New Roman"/>
                <w:sz w:val="16"/>
                <w:szCs w:val="16"/>
              </w:rPr>
            </w:pPr>
            <w:r w:rsidRPr="00170890">
              <w:rPr>
                <w:rFonts w:ascii="Times New Roman" w:eastAsia="Arial" w:hAnsi="Times New Roman" w:cs="Times New Roman"/>
                <w:color w:val="000000"/>
                <w:sz w:val="16"/>
                <w:szCs w:val="16"/>
              </w:rPr>
              <w:t>25-39</w:t>
            </w:r>
          </w:p>
        </w:tc>
        <w:tc>
          <w:tcPr>
            <w:tcW w:w="714" w:type="dxa"/>
            <w:shd w:val="clear" w:color="auto" w:fill="FFFFFF"/>
            <w:tcMar>
              <w:top w:w="0" w:type="dxa"/>
              <w:left w:w="0" w:type="dxa"/>
              <w:bottom w:w="0" w:type="dxa"/>
              <w:right w:w="0" w:type="dxa"/>
            </w:tcMar>
            <w:vAlign w:val="center"/>
            <w:hideMark/>
          </w:tcPr>
          <w:p w14:paraId="7DDB3BBA"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52661 (43052-65215)</w:t>
            </w:r>
          </w:p>
        </w:tc>
        <w:tc>
          <w:tcPr>
            <w:tcW w:w="0" w:type="auto"/>
            <w:shd w:val="clear" w:color="auto" w:fill="FFFFFF"/>
            <w:tcMar>
              <w:top w:w="0" w:type="dxa"/>
              <w:left w:w="0" w:type="dxa"/>
              <w:bottom w:w="0" w:type="dxa"/>
              <w:right w:w="0" w:type="dxa"/>
            </w:tcMar>
            <w:vAlign w:val="center"/>
            <w:hideMark/>
          </w:tcPr>
          <w:p w14:paraId="5E8F390B"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50510 (41130-62288)</w:t>
            </w:r>
          </w:p>
        </w:tc>
        <w:tc>
          <w:tcPr>
            <w:tcW w:w="0" w:type="auto"/>
            <w:shd w:val="clear" w:color="auto" w:fill="FFFFFF"/>
            <w:tcMar>
              <w:top w:w="0" w:type="dxa"/>
              <w:left w:w="0" w:type="dxa"/>
              <w:bottom w:w="0" w:type="dxa"/>
              <w:right w:w="0" w:type="dxa"/>
            </w:tcMar>
            <w:vAlign w:val="center"/>
            <w:hideMark/>
          </w:tcPr>
          <w:p w14:paraId="378C392F"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45425 (37063-56054)</w:t>
            </w:r>
          </w:p>
        </w:tc>
        <w:tc>
          <w:tcPr>
            <w:tcW w:w="0" w:type="auto"/>
            <w:shd w:val="clear" w:color="auto" w:fill="FFFFFF"/>
            <w:tcMar>
              <w:top w:w="0" w:type="dxa"/>
              <w:left w:w="0" w:type="dxa"/>
              <w:bottom w:w="0" w:type="dxa"/>
              <w:right w:w="0" w:type="dxa"/>
            </w:tcMar>
            <w:vAlign w:val="center"/>
            <w:hideMark/>
          </w:tcPr>
          <w:p w14:paraId="197A7FEA"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38849 (31458-47976)</w:t>
            </w:r>
          </w:p>
        </w:tc>
        <w:tc>
          <w:tcPr>
            <w:tcW w:w="0" w:type="auto"/>
            <w:shd w:val="clear" w:color="auto" w:fill="FFFFFF"/>
            <w:tcMar>
              <w:top w:w="0" w:type="dxa"/>
              <w:left w:w="0" w:type="dxa"/>
              <w:bottom w:w="0" w:type="dxa"/>
              <w:right w:w="0" w:type="dxa"/>
            </w:tcMar>
            <w:vAlign w:val="center"/>
            <w:hideMark/>
          </w:tcPr>
          <w:p w14:paraId="0B8A048F"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38573 (31516-47732)</w:t>
            </w:r>
          </w:p>
        </w:tc>
        <w:tc>
          <w:tcPr>
            <w:tcW w:w="0" w:type="auto"/>
            <w:shd w:val="clear" w:color="auto" w:fill="FFFFFF"/>
            <w:tcMar>
              <w:top w:w="0" w:type="dxa"/>
              <w:left w:w="0" w:type="dxa"/>
              <w:bottom w:w="0" w:type="dxa"/>
              <w:right w:w="0" w:type="dxa"/>
            </w:tcMar>
            <w:vAlign w:val="center"/>
            <w:hideMark/>
          </w:tcPr>
          <w:p w14:paraId="48DD9F8A"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38828 (31700-47591)</w:t>
            </w:r>
          </w:p>
        </w:tc>
        <w:tc>
          <w:tcPr>
            <w:tcW w:w="0" w:type="auto"/>
            <w:shd w:val="clear" w:color="auto" w:fill="FFFFFF"/>
            <w:tcMar>
              <w:top w:w="0" w:type="dxa"/>
              <w:left w:w="0" w:type="dxa"/>
              <w:bottom w:w="0" w:type="dxa"/>
              <w:right w:w="0" w:type="dxa"/>
            </w:tcMar>
            <w:vAlign w:val="center"/>
            <w:hideMark/>
          </w:tcPr>
          <w:p w14:paraId="793E56CF"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42468 (34974-52005)</w:t>
            </w:r>
          </w:p>
        </w:tc>
        <w:tc>
          <w:tcPr>
            <w:tcW w:w="0" w:type="auto"/>
            <w:shd w:val="clear" w:color="auto" w:fill="FFFFFF"/>
            <w:tcMar>
              <w:top w:w="0" w:type="dxa"/>
              <w:left w:w="0" w:type="dxa"/>
              <w:bottom w:w="0" w:type="dxa"/>
              <w:right w:w="0" w:type="dxa"/>
            </w:tcMar>
            <w:vAlign w:val="center"/>
            <w:hideMark/>
          </w:tcPr>
          <w:p w14:paraId="67952FB1"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44054 (36204-53735)</w:t>
            </w:r>
          </w:p>
        </w:tc>
        <w:tc>
          <w:tcPr>
            <w:tcW w:w="0" w:type="auto"/>
            <w:shd w:val="clear" w:color="auto" w:fill="FFFFFF"/>
            <w:tcMar>
              <w:top w:w="0" w:type="dxa"/>
              <w:left w:w="0" w:type="dxa"/>
              <w:bottom w:w="0" w:type="dxa"/>
              <w:right w:w="0" w:type="dxa"/>
            </w:tcMar>
            <w:vAlign w:val="center"/>
            <w:hideMark/>
          </w:tcPr>
          <w:p w14:paraId="61539A1A"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47832 (39247-58486)</w:t>
            </w:r>
          </w:p>
        </w:tc>
        <w:tc>
          <w:tcPr>
            <w:tcW w:w="0" w:type="auto"/>
            <w:shd w:val="clear" w:color="auto" w:fill="FFFFFF"/>
            <w:tcMar>
              <w:top w:w="0" w:type="dxa"/>
              <w:left w:w="0" w:type="dxa"/>
              <w:bottom w:w="0" w:type="dxa"/>
              <w:right w:w="0" w:type="dxa"/>
            </w:tcMar>
            <w:vAlign w:val="center"/>
            <w:hideMark/>
          </w:tcPr>
          <w:p w14:paraId="5F4BBA80"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54925 (45318-67404)</w:t>
            </w:r>
          </w:p>
        </w:tc>
        <w:tc>
          <w:tcPr>
            <w:tcW w:w="0" w:type="auto"/>
            <w:shd w:val="clear" w:color="auto" w:fill="FFFFFF"/>
            <w:tcMar>
              <w:top w:w="0" w:type="dxa"/>
              <w:left w:w="0" w:type="dxa"/>
              <w:bottom w:w="0" w:type="dxa"/>
              <w:right w:w="0" w:type="dxa"/>
            </w:tcMar>
            <w:vAlign w:val="center"/>
            <w:hideMark/>
          </w:tcPr>
          <w:p w14:paraId="773E9F48"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66988 (55480-81641)</w:t>
            </w:r>
          </w:p>
        </w:tc>
        <w:tc>
          <w:tcPr>
            <w:tcW w:w="0" w:type="auto"/>
            <w:shd w:val="clear" w:color="auto" w:fill="FFFFFF"/>
            <w:tcMar>
              <w:top w:w="0" w:type="dxa"/>
              <w:left w:w="0" w:type="dxa"/>
              <w:bottom w:w="0" w:type="dxa"/>
              <w:right w:w="0" w:type="dxa"/>
            </w:tcMar>
            <w:vAlign w:val="center"/>
            <w:hideMark/>
          </w:tcPr>
          <w:p w14:paraId="387184BE"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83963 (68520-102407)</w:t>
            </w:r>
          </w:p>
        </w:tc>
        <w:tc>
          <w:tcPr>
            <w:tcW w:w="0" w:type="auto"/>
            <w:shd w:val="clear" w:color="auto" w:fill="FFFFFF"/>
            <w:tcMar>
              <w:top w:w="0" w:type="dxa"/>
              <w:left w:w="0" w:type="dxa"/>
              <w:bottom w:w="0" w:type="dxa"/>
              <w:right w:w="0" w:type="dxa"/>
            </w:tcMar>
            <w:vAlign w:val="center"/>
            <w:hideMark/>
          </w:tcPr>
          <w:p w14:paraId="75FE42F7"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92012 (75922-111791)</w:t>
            </w:r>
          </w:p>
        </w:tc>
        <w:tc>
          <w:tcPr>
            <w:tcW w:w="0" w:type="auto"/>
            <w:shd w:val="clear" w:color="auto" w:fill="FFFFFF"/>
            <w:tcMar>
              <w:top w:w="0" w:type="dxa"/>
              <w:left w:w="0" w:type="dxa"/>
              <w:bottom w:w="0" w:type="dxa"/>
              <w:right w:w="0" w:type="dxa"/>
            </w:tcMar>
            <w:vAlign w:val="center"/>
            <w:hideMark/>
          </w:tcPr>
          <w:p w14:paraId="365BE4AF"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93438 (77134-114129)</w:t>
            </w:r>
          </w:p>
        </w:tc>
      </w:tr>
      <w:tr w:rsidR="00170890" w:rsidRPr="00F35BB1" w14:paraId="0F2FE141" w14:textId="77777777" w:rsidTr="00170890">
        <w:trPr>
          <w:cantSplit/>
        </w:trPr>
        <w:tc>
          <w:tcPr>
            <w:tcW w:w="705" w:type="dxa"/>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642DBB1D" w14:textId="77777777" w:rsidR="00170890" w:rsidRPr="00170890" w:rsidRDefault="00170890" w:rsidP="00170890">
            <w:pPr>
              <w:spacing w:before="100" w:after="100"/>
              <w:ind w:left="100" w:right="100"/>
              <w:rPr>
                <w:rFonts w:ascii="Times New Roman" w:hAnsi="Times New Roman" w:cs="Times New Roman"/>
                <w:sz w:val="16"/>
                <w:szCs w:val="16"/>
              </w:rPr>
            </w:pPr>
            <w:r w:rsidRPr="00170890">
              <w:rPr>
                <w:rFonts w:ascii="Times New Roman" w:eastAsia="Arial" w:hAnsi="Times New Roman" w:cs="Times New Roman"/>
                <w:color w:val="000000"/>
                <w:sz w:val="16"/>
                <w:szCs w:val="16"/>
              </w:rPr>
              <w:t>All</w:t>
            </w:r>
          </w:p>
        </w:tc>
        <w:tc>
          <w:tcPr>
            <w:tcW w:w="714" w:type="dxa"/>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97028DE"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165216 (141728-194249)</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6EDCA49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162415 (139116-191652)</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1A3FE51"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150589 (129419-177013)</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B6036D4"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131660 (112453-154996)</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5242ED8"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132275 (113607-155712)</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825E769"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137987 (117195-162304)</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612BAA44"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138590 (118177-162411)</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632FEE1C"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130162 (112310-152536)</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0CE883B"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131802 (113861-153885)</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E4D1407"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144112 (124794-166502)</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E062D27"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164497 (142573-190331)</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DFF1E7D"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197072 (170597-229300)</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F417BD9"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206366 (178834-238733)</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E3916E4" w14:textId="77777777" w:rsidR="00170890" w:rsidRPr="00170890" w:rsidRDefault="00170890" w:rsidP="00170890">
            <w:pPr>
              <w:spacing w:before="100" w:after="100"/>
              <w:ind w:left="100" w:right="100"/>
              <w:rPr>
                <w:rFonts w:ascii="Times New Roman" w:hAnsi="Times New Roman" w:cs="Times New Roman"/>
                <w:sz w:val="14"/>
                <w:szCs w:val="14"/>
              </w:rPr>
            </w:pPr>
            <w:r w:rsidRPr="00170890">
              <w:rPr>
                <w:rFonts w:ascii="Times New Roman" w:eastAsia="Arial" w:hAnsi="Times New Roman" w:cs="Times New Roman"/>
                <w:color w:val="000000"/>
                <w:sz w:val="14"/>
                <w:szCs w:val="14"/>
              </w:rPr>
              <w:t>211867 (184167-245681)</w:t>
            </w:r>
          </w:p>
        </w:tc>
      </w:tr>
    </w:tbl>
    <w:p w14:paraId="3AE12579" w14:textId="477599A0" w:rsidR="00170890" w:rsidRPr="00170890" w:rsidRDefault="00170890" w:rsidP="00170890">
      <w:r w:rsidRPr="003C413E">
        <w:rPr>
          <w:rFonts w:ascii="Times New Roman" w:hAnsi="Times New Roman" w:cs="Times New Roman"/>
          <w:sz w:val="18"/>
          <w:szCs w:val="18"/>
        </w:rPr>
        <w:t xml:space="preserve">Note: </w:t>
      </w:r>
      <w:r>
        <w:rPr>
          <w:rFonts w:ascii="Times New Roman" w:hAnsi="Times New Roman" w:cs="Times New Roman"/>
          <w:sz w:val="18"/>
          <w:szCs w:val="18"/>
        </w:rPr>
        <w:t>Prevalent</w:t>
      </w:r>
      <w:r w:rsidRPr="003C413E">
        <w:rPr>
          <w:rFonts w:ascii="Times New Roman" w:hAnsi="Times New Roman" w:cs="Times New Roman"/>
          <w:sz w:val="18"/>
          <w:szCs w:val="18"/>
        </w:rPr>
        <w:t xml:space="preserve"> infections are the number of </w:t>
      </w:r>
      <w:r>
        <w:rPr>
          <w:rFonts w:ascii="Times New Roman" w:hAnsi="Times New Roman" w:cs="Times New Roman"/>
          <w:sz w:val="18"/>
          <w:szCs w:val="18"/>
        </w:rPr>
        <w:t>existing</w:t>
      </w:r>
      <w:r w:rsidRPr="003C413E">
        <w:rPr>
          <w:rFonts w:ascii="Times New Roman" w:hAnsi="Times New Roman" w:cs="Times New Roman"/>
          <w:sz w:val="18"/>
          <w:szCs w:val="18"/>
        </w:rPr>
        <w:t xml:space="preserve"> </w:t>
      </w:r>
      <w:r>
        <w:rPr>
          <w:rFonts w:ascii="Times New Roman" w:hAnsi="Times New Roman" w:cs="Times New Roman"/>
          <w:sz w:val="18"/>
          <w:szCs w:val="18"/>
        </w:rPr>
        <w:t xml:space="preserve">infections </w:t>
      </w:r>
      <w:r w:rsidRPr="003C413E">
        <w:rPr>
          <w:rFonts w:ascii="Times New Roman" w:hAnsi="Times New Roman" w:cs="Times New Roman"/>
          <w:sz w:val="18"/>
          <w:szCs w:val="18"/>
        </w:rPr>
        <w:t>in each calendar year.</w:t>
      </w:r>
      <w:r>
        <w:rPr>
          <w:rFonts w:ascii="Times New Roman" w:hAnsi="Times New Roman" w:cs="Times New Roman"/>
          <w:sz w:val="18"/>
          <w:szCs w:val="18"/>
        </w:rPr>
        <w:t xml:space="preserve"> Results shown are the median and 25</w:t>
      </w:r>
      <w:r w:rsidRPr="00450452">
        <w:rPr>
          <w:rFonts w:ascii="Times New Roman" w:hAnsi="Times New Roman" w:cs="Times New Roman"/>
          <w:sz w:val="18"/>
          <w:szCs w:val="18"/>
          <w:vertAlign w:val="superscript"/>
        </w:rPr>
        <w:t>th</w:t>
      </w:r>
      <w:r>
        <w:rPr>
          <w:rFonts w:ascii="Times New Roman" w:hAnsi="Times New Roman" w:cs="Times New Roman"/>
          <w:sz w:val="18"/>
          <w:szCs w:val="18"/>
        </w:rPr>
        <w:t>-75</w:t>
      </w:r>
      <w:r w:rsidRPr="00450452">
        <w:rPr>
          <w:rFonts w:ascii="Times New Roman" w:hAnsi="Times New Roman" w:cs="Times New Roman"/>
          <w:sz w:val="18"/>
          <w:szCs w:val="18"/>
          <w:vertAlign w:val="superscript"/>
        </w:rPr>
        <w:t>th</w:t>
      </w:r>
      <w:r>
        <w:rPr>
          <w:rFonts w:ascii="Times New Roman" w:hAnsi="Times New Roman" w:cs="Times New Roman"/>
          <w:sz w:val="18"/>
          <w:szCs w:val="18"/>
        </w:rPr>
        <w:t xml:space="preserve"> percentiles of the simulated distributions. </w:t>
      </w:r>
    </w:p>
    <w:p w14:paraId="6A9CD4FB" w14:textId="77777777" w:rsidR="00170890" w:rsidRPr="00170890" w:rsidRDefault="00170890" w:rsidP="00170890"/>
    <w:p w14:paraId="378B9591" w14:textId="77777777" w:rsidR="0029647C" w:rsidRPr="003C413E" w:rsidRDefault="0029647C" w:rsidP="00220CE3">
      <w:pPr>
        <w:pStyle w:val="Heading1"/>
        <w:rPr>
          <w:rFonts w:ascii="Times New Roman" w:hAnsi="Times New Roman" w:cs="Times New Roman"/>
        </w:rPr>
        <w:sectPr w:rsidR="0029647C" w:rsidRPr="003C413E" w:rsidSect="0029647C">
          <w:pgSz w:w="15840" w:h="12240" w:orient="landscape"/>
          <w:pgMar w:top="1440" w:right="1440" w:bottom="1440" w:left="1440" w:header="720" w:footer="720" w:gutter="0"/>
          <w:cols w:space="720"/>
          <w:docGrid w:linePitch="360"/>
        </w:sectPr>
      </w:pPr>
    </w:p>
    <w:p w14:paraId="67974E21" w14:textId="5869824D" w:rsidR="00971F31" w:rsidRPr="003C413E" w:rsidRDefault="00971F31" w:rsidP="00220CE3">
      <w:pPr>
        <w:pStyle w:val="Heading1"/>
        <w:rPr>
          <w:rFonts w:ascii="Times New Roman" w:hAnsi="Times New Roman" w:cs="Times New Roman"/>
        </w:rPr>
      </w:pPr>
      <w:bookmarkStart w:id="3" w:name="_Toc113956960"/>
      <w:r w:rsidRPr="003C413E">
        <w:rPr>
          <w:rFonts w:ascii="Times New Roman" w:hAnsi="Times New Roman" w:cs="Times New Roman"/>
        </w:rPr>
        <w:lastRenderedPageBreak/>
        <w:t>Sensitivity Analyses</w:t>
      </w:r>
      <w:bookmarkEnd w:id="3"/>
      <w:r w:rsidRPr="003C413E">
        <w:rPr>
          <w:rFonts w:ascii="Times New Roman" w:hAnsi="Times New Roman" w:cs="Times New Roman"/>
        </w:rPr>
        <w:t xml:space="preserve"> </w:t>
      </w:r>
    </w:p>
    <w:p w14:paraId="0EDACA08" w14:textId="77777777" w:rsidR="00CB202A" w:rsidRPr="003C413E" w:rsidRDefault="00CB202A" w:rsidP="00CB202A">
      <w:pPr>
        <w:rPr>
          <w:rFonts w:ascii="Times New Roman" w:hAnsi="Times New Roman" w:cs="Times New Roman"/>
        </w:rPr>
      </w:pPr>
    </w:p>
    <w:p w14:paraId="16E3494C" w14:textId="4EBA4D2B" w:rsidR="00CB202A" w:rsidRPr="003C413E" w:rsidRDefault="00CB202A" w:rsidP="00A83BC4">
      <w:pPr>
        <w:pStyle w:val="Heading2"/>
        <w:jc w:val="center"/>
        <w:rPr>
          <w:rFonts w:ascii="Times New Roman" w:hAnsi="Times New Roman" w:cs="Times New Roman"/>
          <w:b/>
          <w:bCs/>
        </w:rPr>
      </w:pPr>
      <w:bookmarkStart w:id="4" w:name="_Toc113956961"/>
      <w:r w:rsidRPr="003C413E">
        <w:rPr>
          <w:rFonts w:ascii="Times New Roman" w:hAnsi="Times New Roman" w:cs="Times New Roman"/>
          <w:b/>
          <w:bCs/>
        </w:rPr>
        <w:t xml:space="preserve">Figure </w:t>
      </w:r>
      <w:r w:rsidR="00A83BC4" w:rsidRPr="003C413E">
        <w:rPr>
          <w:rFonts w:ascii="Times New Roman" w:hAnsi="Times New Roman" w:cs="Times New Roman"/>
          <w:b/>
          <w:bCs/>
        </w:rPr>
        <w:t>S</w:t>
      </w:r>
      <w:r w:rsidRPr="003C413E">
        <w:rPr>
          <w:rFonts w:ascii="Times New Roman" w:hAnsi="Times New Roman" w:cs="Times New Roman"/>
          <w:b/>
          <w:bCs/>
        </w:rPr>
        <w:fldChar w:fldCharType="begin"/>
      </w:r>
      <w:r w:rsidRPr="003C413E">
        <w:rPr>
          <w:rFonts w:ascii="Times New Roman" w:hAnsi="Times New Roman" w:cs="Times New Roman"/>
          <w:b/>
          <w:bCs/>
        </w:rPr>
        <w:instrText xml:space="preserve"> SEQ Figure \* ARABIC </w:instrText>
      </w:r>
      <w:r w:rsidRPr="003C413E">
        <w:rPr>
          <w:rFonts w:ascii="Times New Roman" w:hAnsi="Times New Roman" w:cs="Times New Roman"/>
          <w:b/>
          <w:bCs/>
        </w:rPr>
        <w:fldChar w:fldCharType="separate"/>
      </w:r>
      <w:r w:rsidRPr="003C413E">
        <w:rPr>
          <w:rFonts w:ascii="Times New Roman" w:hAnsi="Times New Roman" w:cs="Times New Roman"/>
          <w:b/>
          <w:bCs/>
          <w:noProof/>
        </w:rPr>
        <w:t>1</w:t>
      </w:r>
      <w:r w:rsidRPr="003C413E">
        <w:rPr>
          <w:rFonts w:ascii="Times New Roman" w:hAnsi="Times New Roman" w:cs="Times New Roman"/>
          <w:b/>
          <w:bCs/>
        </w:rPr>
        <w:fldChar w:fldCharType="end"/>
      </w:r>
      <w:r w:rsidRPr="003C413E">
        <w:rPr>
          <w:rFonts w:ascii="Times New Roman" w:hAnsi="Times New Roman" w:cs="Times New Roman"/>
          <w:b/>
          <w:bCs/>
        </w:rPr>
        <w:t>: Varying vs. Static Screening Rate (σ)</w:t>
      </w:r>
      <w:bookmarkEnd w:id="4"/>
    </w:p>
    <w:p w14:paraId="4B0BF5E6" w14:textId="7CB79E91" w:rsidR="00CB202A" w:rsidRPr="003C413E" w:rsidRDefault="00CB202A" w:rsidP="00CB202A">
      <w:pPr>
        <w:jc w:val="center"/>
        <w:rPr>
          <w:rFonts w:ascii="Times New Roman" w:hAnsi="Times New Roman" w:cs="Times New Roman"/>
        </w:rPr>
      </w:pPr>
      <w:r w:rsidRPr="003C413E">
        <w:rPr>
          <w:rFonts w:ascii="Times New Roman" w:hAnsi="Times New Roman" w:cs="Times New Roman"/>
          <w:sz w:val="18"/>
          <w:szCs w:val="18"/>
        </w:rPr>
        <w:t>Compares</w:t>
      </w:r>
      <w:r w:rsidR="00E10292" w:rsidRPr="003C413E">
        <w:rPr>
          <w:rFonts w:ascii="Times New Roman" w:hAnsi="Times New Roman" w:cs="Times New Roman"/>
          <w:sz w:val="18"/>
          <w:szCs w:val="18"/>
        </w:rPr>
        <w:t xml:space="preserve"> varying rate to counterfactual where rates are unchanged since 2006</w:t>
      </w:r>
    </w:p>
    <w:p w14:paraId="11D5E22C" w14:textId="77777777" w:rsidR="00CB202A" w:rsidRPr="003C413E" w:rsidRDefault="00CB202A" w:rsidP="00CB202A">
      <w:pPr>
        <w:jc w:val="center"/>
        <w:rPr>
          <w:rFonts w:ascii="Times New Roman" w:hAnsi="Times New Roman" w:cs="Times New Roman"/>
        </w:rPr>
      </w:pPr>
      <w:r w:rsidRPr="003C413E">
        <w:rPr>
          <w:rFonts w:ascii="Times New Roman" w:hAnsi="Times New Roman" w:cs="Times New Roman"/>
          <w:noProof/>
        </w:rPr>
        <w:drawing>
          <wp:inline distT="0" distB="0" distL="0" distR="0" wp14:anchorId="57448DC4" wp14:editId="77B33F01">
            <wp:extent cx="5510151" cy="4132614"/>
            <wp:effectExtent l="0" t="0" r="0" b="127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40268" cy="4155202"/>
                    </a:xfrm>
                    <a:prstGeom prst="rect">
                      <a:avLst/>
                    </a:prstGeom>
                  </pic:spPr>
                </pic:pic>
              </a:graphicData>
            </a:graphic>
          </wp:inline>
        </w:drawing>
      </w:r>
    </w:p>
    <w:p w14:paraId="2B5B851A" w14:textId="77777777" w:rsidR="006175AA" w:rsidRPr="003C413E" w:rsidRDefault="006175AA" w:rsidP="00CB202A">
      <w:pPr>
        <w:pStyle w:val="Caption"/>
        <w:keepNext/>
        <w:jc w:val="center"/>
        <w:rPr>
          <w:rFonts w:ascii="Times New Roman" w:hAnsi="Times New Roman" w:cs="Times New Roman"/>
          <w:color w:val="auto"/>
          <w:sz w:val="22"/>
          <w:szCs w:val="22"/>
        </w:rPr>
      </w:pPr>
    </w:p>
    <w:p w14:paraId="28AE836E" w14:textId="77777777" w:rsidR="006175AA" w:rsidRPr="003C413E" w:rsidRDefault="006175AA" w:rsidP="006175AA">
      <w:pPr>
        <w:rPr>
          <w:rFonts w:ascii="Times New Roman" w:hAnsi="Times New Roman" w:cs="Times New Roman"/>
        </w:rPr>
      </w:pPr>
    </w:p>
    <w:p w14:paraId="517E450D" w14:textId="77777777" w:rsidR="006175AA" w:rsidRPr="003C413E" w:rsidRDefault="006175AA" w:rsidP="006175AA">
      <w:pPr>
        <w:rPr>
          <w:rFonts w:ascii="Times New Roman" w:hAnsi="Times New Roman" w:cs="Times New Roman"/>
        </w:rPr>
      </w:pPr>
    </w:p>
    <w:p w14:paraId="55AE2324" w14:textId="77777777" w:rsidR="006175AA" w:rsidRPr="003C413E" w:rsidRDefault="006175AA" w:rsidP="006175AA">
      <w:pPr>
        <w:rPr>
          <w:rFonts w:ascii="Times New Roman" w:hAnsi="Times New Roman" w:cs="Times New Roman"/>
        </w:rPr>
      </w:pPr>
    </w:p>
    <w:p w14:paraId="1BE22406" w14:textId="77777777" w:rsidR="006175AA" w:rsidRPr="003C413E" w:rsidRDefault="006175AA" w:rsidP="006175AA">
      <w:pPr>
        <w:rPr>
          <w:rFonts w:ascii="Times New Roman" w:hAnsi="Times New Roman" w:cs="Times New Roman"/>
        </w:rPr>
      </w:pPr>
    </w:p>
    <w:p w14:paraId="2B44BCCE" w14:textId="77777777" w:rsidR="006175AA" w:rsidRPr="003C413E" w:rsidRDefault="006175AA" w:rsidP="006175AA">
      <w:pPr>
        <w:rPr>
          <w:rFonts w:ascii="Times New Roman" w:hAnsi="Times New Roman" w:cs="Times New Roman"/>
        </w:rPr>
      </w:pPr>
    </w:p>
    <w:p w14:paraId="71110A0E" w14:textId="77777777" w:rsidR="006175AA" w:rsidRDefault="006175AA" w:rsidP="006175AA">
      <w:pPr>
        <w:rPr>
          <w:rFonts w:ascii="Times New Roman" w:hAnsi="Times New Roman" w:cs="Times New Roman"/>
        </w:rPr>
      </w:pPr>
    </w:p>
    <w:p w14:paraId="22FA6DC8" w14:textId="77777777" w:rsidR="003C413E" w:rsidRPr="003C413E" w:rsidRDefault="003C413E" w:rsidP="006175AA">
      <w:pPr>
        <w:rPr>
          <w:rFonts w:ascii="Times New Roman" w:hAnsi="Times New Roman" w:cs="Times New Roman"/>
        </w:rPr>
      </w:pPr>
    </w:p>
    <w:p w14:paraId="7B667626" w14:textId="77777777" w:rsidR="006175AA" w:rsidRPr="003C413E" w:rsidRDefault="006175AA" w:rsidP="006175AA">
      <w:pPr>
        <w:rPr>
          <w:rFonts w:ascii="Times New Roman" w:hAnsi="Times New Roman" w:cs="Times New Roman"/>
        </w:rPr>
      </w:pPr>
    </w:p>
    <w:p w14:paraId="47142E3C" w14:textId="77777777" w:rsidR="006175AA" w:rsidRPr="003C413E" w:rsidRDefault="006175AA" w:rsidP="006175AA">
      <w:pPr>
        <w:rPr>
          <w:rFonts w:ascii="Times New Roman" w:hAnsi="Times New Roman" w:cs="Times New Roman"/>
        </w:rPr>
      </w:pPr>
    </w:p>
    <w:p w14:paraId="555264A3" w14:textId="5C2F5CE3" w:rsidR="00CB202A" w:rsidRPr="003C413E" w:rsidRDefault="00CB202A" w:rsidP="00A83BC4">
      <w:pPr>
        <w:pStyle w:val="Heading2"/>
        <w:jc w:val="center"/>
        <w:rPr>
          <w:rFonts w:ascii="Times New Roman" w:hAnsi="Times New Roman" w:cs="Times New Roman"/>
          <w:b/>
          <w:bCs/>
        </w:rPr>
      </w:pPr>
      <w:bookmarkStart w:id="5" w:name="_Toc113956962"/>
      <w:r w:rsidRPr="003C413E">
        <w:rPr>
          <w:rFonts w:ascii="Times New Roman" w:hAnsi="Times New Roman" w:cs="Times New Roman"/>
          <w:b/>
          <w:bCs/>
        </w:rPr>
        <w:lastRenderedPageBreak/>
        <w:t xml:space="preserve">Figure </w:t>
      </w:r>
      <w:r w:rsidR="00A83BC4" w:rsidRPr="003C413E">
        <w:rPr>
          <w:rFonts w:ascii="Times New Roman" w:hAnsi="Times New Roman" w:cs="Times New Roman"/>
          <w:b/>
          <w:bCs/>
        </w:rPr>
        <w:t>S</w:t>
      </w:r>
      <w:r w:rsidRPr="003C413E">
        <w:rPr>
          <w:rFonts w:ascii="Times New Roman" w:hAnsi="Times New Roman" w:cs="Times New Roman"/>
          <w:b/>
          <w:bCs/>
        </w:rPr>
        <w:fldChar w:fldCharType="begin"/>
      </w:r>
      <w:r w:rsidRPr="003C413E">
        <w:rPr>
          <w:rFonts w:ascii="Times New Roman" w:hAnsi="Times New Roman" w:cs="Times New Roman"/>
          <w:b/>
          <w:bCs/>
        </w:rPr>
        <w:instrText xml:space="preserve"> SEQ Figure \* ARABIC </w:instrText>
      </w:r>
      <w:r w:rsidRPr="003C413E">
        <w:rPr>
          <w:rFonts w:ascii="Times New Roman" w:hAnsi="Times New Roman" w:cs="Times New Roman"/>
          <w:b/>
          <w:bCs/>
        </w:rPr>
        <w:fldChar w:fldCharType="separate"/>
      </w:r>
      <w:r w:rsidRPr="003C413E">
        <w:rPr>
          <w:rFonts w:ascii="Times New Roman" w:hAnsi="Times New Roman" w:cs="Times New Roman"/>
          <w:b/>
          <w:bCs/>
          <w:noProof/>
        </w:rPr>
        <w:t>2</w:t>
      </w:r>
      <w:r w:rsidRPr="003C413E">
        <w:rPr>
          <w:rFonts w:ascii="Times New Roman" w:hAnsi="Times New Roman" w:cs="Times New Roman"/>
          <w:b/>
          <w:bCs/>
        </w:rPr>
        <w:fldChar w:fldCharType="end"/>
      </w:r>
      <w:r w:rsidRPr="003C413E">
        <w:rPr>
          <w:rFonts w:ascii="Times New Roman" w:hAnsi="Times New Roman" w:cs="Times New Roman"/>
          <w:b/>
          <w:bCs/>
        </w:rPr>
        <w:t>: Varying vs. Static Case Reporting Rate (ρ)</w:t>
      </w:r>
      <w:bookmarkEnd w:id="5"/>
    </w:p>
    <w:p w14:paraId="30CD7F77" w14:textId="2457B2E6" w:rsidR="00A127EB" w:rsidRPr="003C413E" w:rsidRDefault="00A127EB" w:rsidP="00A127EB">
      <w:pPr>
        <w:jc w:val="center"/>
        <w:rPr>
          <w:rFonts w:ascii="Times New Roman" w:hAnsi="Times New Roman" w:cs="Times New Roman"/>
          <w:sz w:val="18"/>
          <w:szCs w:val="18"/>
        </w:rPr>
      </w:pPr>
      <w:r w:rsidRPr="003C413E">
        <w:rPr>
          <w:rFonts w:ascii="Times New Roman" w:hAnsi="Times New Roman" w:cs="Times New Roman"/>
          <w:sz w:val="18"/>
          <w:szCs w:val="18"/>
        </w:rPr>
        <w:t xml:space="preserve">Compares </w:t>
      </w:r>
      <w:r w:rsidR="006175AA" w:rsidRPr="003C413E">
        <w:rPr>
          <w:rFonts w:ascii="Times New Roman" w:hAnsi="Times New Roman" w:cs="Times New Roman"/>
          <w:sz w:val="18"/>
          <w:szCs w:val="18"/>
        </w:rPr>
        <w:t>varying rate to counterfactual of 95% case reporting rate post-ELR implementation</w:t>
      </w:r>
    </w:p>
    <w:p w14:paraId="693BE67C" w14:textId="3E77B7E0" w:rsidR="00CB202A" w:rsidRPr="003C413E" w:rsidRDefault="00CB202A" w:rsidP="00CB202A">
      <w:pPr>
        <w:jc w:val="center"/>
        <w:rPr>
          <w:rFonts w:ascii="Times New Roman" w:hAnsi="Times New Roman" w:cs="Times New Roman"/>
        </w:rPr>
      </w:pPr>
      <w:r w:rsidRPr="003C413E">
        <w:rPr>
          <w:rFonts w:ascii="Times New Roman" w:hAnsi="Times New Roman" w:cs="Times New Roman"/>
          <w:noProof/>
        </w:rPr>
        <w:drawing>
          <wp:inline distT="0" distB="0" distL="0" distR="0" wp14:anchorId="0DB431FB" wp14:editId="538415E1">
            <wp:extent cx="5391397" cy="4043547"/>
            <wp:effectExtent l="0" t="0" r="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11834" cy="4058875"/>
                    </a:xfrm>
                    <a:prstGeom prst="rect">
                      <a:avLst/>
                    </a:prstGeom>
                  </pic:spPr>
                </pic:pic>
              </a:graphicData>
            </a:graphic>
          </wp:inline>
        </w:drawing>
      </w:r>
    </w:p>
    <w:p w14:paraId="1C854512" w14:textId="77777777" w:rsidR="00066428" w:rsidRPr="003C413E" w:rsidRDefault="00066428" w:rsidP="00066428">
      <w:pPr>
        <w:rPr>
          <w:rFonts w:ascii="Times New Roman" w:hAnsi="Times New Roman" w:cs="Times New Roman"/>
        </w:rPr>
      </w:pPr>
    </w:p>
    <w:p w14:paraId="7CD380D2" w14:textId="77777777" w:rsidR="00066428" w:rsidRPr="003C413E" w:rsidRDefault="00066428" w:rsidP="00066428">
      <w:pPr>
        <w:rPr>
          <w:rFonts w:ascii="Times New Roman" w:hAnsi="Times New Roman" w:cs="Times New Roman"/>
        </w:rPr>
      </w:pPr>
    </w:p>
    <w:p w14:paraId="39428724" w14:textId="77777777" w:rsidR="00066428" w:rsidRPr="003C413E" w:rsidRDefault="00066428" w:rsidP="00066428">
      <w:pPr>
        <w:rPr>
          <w:rFonts w:ascii="Times New Roman" w:hAnsi="Times New Roman" w:cs="Times New Roman"/>
        </w:rPr>
      </w:pPr>
    </w:p>
    <w:p w14:paraId="73419EA6" w14:textId="77777777" w:rsidR="00066428" w:rsidRPr="003C413E" w:rsidRDefault="00066428" w:rsidP="00066428">
      <w:pPr>
        <w:rPr>
          <w:rFonts w:ascii="Times New Roman" w:hAnsi="Times New Roman" w:cs="Times New Roman"/>
        </w:rPr>
      </w:pPr>
    </w:p>
    <w:p w14:paraId="6A7B8D51" w14:textId="77777777" w:rsidR="00066428" w:rsidRPr="003C413E" w:rsidRDefault="00066428" w:rsidP="00066428">
      <w:pPr>
        <w:rPr>
          <w:rFonts w:ascii="Times New Roman" w:hAnsi="Times New Roman" w:cs="Times New Roman"/>
        </w:rPr>
      </w:pPr>
    </w:p>
    <w:p w14:paraId="31E7116E" w14:textId="77777777" w:rsidR="00066428" w:rsidRPr="003C413E" w:rsidRDefault="00066428" w:rsidP="00066428">
      <w:pPr>
        <w:rPr>
          <w:rFonts w:ascii="Times New Roman" w:hAnsi="Times New Roman" w:cs="Times New Roman"/>
        </w:rPr>
      </w:pPr>
    </w:p>
    <w:p w14:paraId="44622488" w14:textId="77777777" w:rsidR="00066428" w:rsidRPr="003C413E" w:rsidRDefault="00066428" w:rsidP="00066428">
      <w:pPr>
        <w:rPr>
          <w:rFonts w:ascii="Times New Roman" w:hAnsi="Times New Roman" w:cs="Times New Roman"/>
        </w:rPr>
      </w:pPr>
    </w:p>
    <w:p w14:paraId="685600FE" w14:textId="77777777" w:rsidR="00066428" w:rsidRPr="003C413E" w:rsidRDefault="00066428" w:rsidP="00066428">
      <w:pPr>
        <w:rPr>
          <w:rFonts w:ascii="Times New Roman" w:hAnsi="Times New Roman" w:cs="Times New Roman"/>
        </w:rPr>
      </w:pPr>
    </w:p>
    <w:p w14:paraId="7A0AD011" w14:textId="77777777" w:rsidR="00066428" w:rsidRPr="003C413E" w:rsidRDefault="00066428" w:rsidP="00066428">
      <w:pPr>
        <w:rPr>
          <w:rFonts w:ascii="Times New Roman" w:hAnsi="Times New Roman" w:cs="Times New Roman"/>
        </w:rPr>
      </w:pPr>
    </w:p>
    <w:p w14:paraId="3CCD249A" w14:textId="77777777" w:rsidR="00066428" w:rsidRPr="003C413E" w:rsidRDefault="00066428" w:rsidP="00066428">
      <w:pPr>
        <w:rPr>
          <w:rFonts w:ascii="Times New Roman" w:hAnsi="Times New Roman" w:cs="Times New Roman"/>
        </w:rPr>
      </w:pPr>
    </w:p>
    <w:p w14:paraId="5AD45921" w14:textId="77777777" w:rsidR="00066428" w:rsidRPr="003C413E" w:rsidRDefault="00066428" w:rsidP="00066428">
      <w:pPr>
        <w:rPr>
          <w:rFonts w:ascii="Times New Roman" w:hAnsi="Times New Roman" w:cs="Times New Roman"/>
        </w:rPr>
      </w:pPr>
    </w:p>
    <w:p w14:paraId="35E3C0AB" w14:textId="77777777" w:rsidR="00066428" w:rsidRPr="003C413E" w:rsidRDefault="00066428" w:rsidP="00066428">
      <w:pPr>
        <w:rPr>
          <w:rFonts w:ascii="Times New Roman" w:hAnsi="Times New Roman" w:cs="Times New Roman"/>
        </w:rPr>
      </w:pPr>
      <w:r w:rsidRPr="003C413E">
        <w:rPr>
          <w:rFonts w:ascii="Times New Roman" w:hAnsi="Times New Roman" w:cs="Times New Roman"/>
        </w:rPr>
        <w:br/>
      </w:r>
      <w:r w:rsidRPr="003C413E">
        <w:rPr>
          <w:rFonts w:ascii="Times New Roman" w:hAnsi="Times New Roman" w:cs="Times New Roman"/>
        </w:rPr>
        <w:br/>
      </w:r>
    </w:p>
    <w:p w14:paraId="2FB0E74E" w14:textId="75C8DD6E" w:rsidR="00717A61" w:rsidRPr="003C413E" w:rsidRDefault="00717A61" w:rsidP="00C06042">
      <w:pPr>
        <w:pStyle w:val="Heading1"/>
        <w:rPr>
          <w:rFonts w:ascii="Times New Roman" w:hAnsi="Times New Roman" w:cs="Times New Roman"/>
        </w:rPr>
      </w:pPr>
      <w:bookmarkStart w:id="6" w:name="_Toc113956963"/>
      <w:r w:rsidRPr="003C413E">
        <w:rPr>
          <w:rFonts w:ascii="Times New Roman" w:hAnsi="Times New Roman" w:cs="Times New Roman"/>
        </w:rPr>
        <w:lastRenderedPageBreak/>
        <w:t>Modeling Framework</w:t>
      </w:r>
      <w:bookmarkEnd w:id="6"/>
    </w:p>
    <w:p w14:paraId="30A67575" w14:textId="556811D9" w:rsidR="00717A61" w:rsidRPr="003C413E" w:rsidRDefault="002B5477" w:rsidP="00536DE1">
      <w:pPr>
        <w:pStyle w:val="Heading2"/>
        <w:spacing w:line="360" w:lineRule="auto"/>
        <w:rPr>
          <w:rFonts w:ascii="Times New Roman" w:hAnsi="Times New Roman" w:cs="Times New Roman"/>
        </w:rPr>
      </w:pPr>
      <w:bookmarkStart w:id="7" w:name="_Toc113956964"/>
      <w:r w:rsidRPr="003C413E">
        <w:rPr>
          <w:rFonts w:ascii="Times New Roman" w:hAnsi="Times New Roman" w:cs="Times New Roman"/>
        </w:rPr>
        <w:t>Overview</w:t>
      </w:r>
      <w:bookmarkEnd w:id="7"/>
      <w:r w:rsidRPr="003C413E">
        <w:rPr>
          <w:rFonts w:ascii="Times New Roman" w:hAnsi="Times New Roman" w:cs="Times New Roman"/>
        </w:rPr>
        <w:t xml:space="preserve"> </w:t>
      </w:r>
    </w:p>
    <w:p w14:paraId="0DEA0B5B" w14:textId="3817C4D5"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Our modeling framework accounts for how</w:t>
      </w:r>
      <w:r w:rsidR="001A51F4">
        <w:rPr>
          <w:rFonts w:ascii="Times New Roman" w:hAnsi="Times New Roman" w:cs="Times New Roman"/>
          <w:color w:val="000000"/>
        </w:rPr>
        <w:t xml:space="preserve"> symptoms due to infection with</w:t>
      </w:r>
      <w:r w:rsidRPr="003C413E">
        <w:rPr>
          <w:rFonts w:ascii="Times New Roman" w:hAnsi="Times New Roman" w:cs="Times New Roman"/>
          <w:color w:val="000000"/>
        </w:rPr>
        <w:t xml:space="preserve"> </w:t>
      </w:r>
      <w:r w:rsidRPr="003C413E">
        <w:rPr>
          <w:rFonts w:ascii="Times New Roman" w:hAnsi="Times New Roman" w:cs="Times New Roman"/>
          <w:i/>
          <w:iCs/>
          <w:color w:val="000000"/>
        </w:rPr>
        <w:t>Neisseria gonorrhea</w:t>
      </w:r>
      <w:r w:rsidR="0023168C" w:rsidRPr="003C413E">
        <w:rPr>
          <w:rFonts w:ascii="Times New Roman" w:hAnsi="Times New Roman" w:cs="Times New Roman"/>
          <w:color w:val="000000"/>
        </w:rPr>
        <w:t xml:space="preserve"> </w:t>
      </w:r>
      <w:r w:rsidRPr="003C413E">
        <w:rPr>
          <w:rFonts w:ascii="Times New Roman" w:hAnsi="Times New Roman" w:cs="Times New Roman"/>
          <w:color w:val="000000"/>
        </w:rPr>
        <w:t>(GC) differentially affect both recovery and being reported as a diagnosed case. Those</w:t>
      </w:r>
      <w:r w:rsidR="0023168C" w:rsidRPr="003C413E">
        <w:rPr>
          <w:rFonts w:ascii="Times New Roman" w:hAnsi="Times New Roman" w:cs="Times New Roman"/>
          <w:color w:val="000000"/>
        </w:rPr>
        <w:t xml:space="preserve"> </w:t>
      </w:r>
      <w:r w:rsidRPr="003C413E">
        <w:rPr>
          <w:rFonts w:ascii="Times New Roman" w:hAnsi="Times New Roman" w:cs="Times New Roman"/>
          <w:color w:val="000000"/>
        </w:rPr>
        <w:t>with an asymptomatic infection will be less likely to be tested for infection, and thus less likely</w:t>
      </w:r>
      <w:r w:rsidR="0023168C" w:rsidRPr="003C413E">
        <w:rPr>
          <w:rFonts w:ascii="Times New Roman" w:hAnsi="Times New Roman" w:cs="Times New Roman"/>
          <w:color w:val="000000"/>
        </w:rPr>
        <w:t xml:space="preserve"> </w:t>
      </w:r>
      <w:r w:rsidRPr="003C413E">
        <w:rPr>
          <w:rFonts w:ascii="Times New Roman" w:hAnsi="Times New Roman" w:cs="Times New Roman"/>
          <w:color w:val="000000"/>
        </w:rPr>
        <w:t>to be a reported case. This framework mathematically</w:t>
      </w:r>
      <w:r w:rsidR="0023168C" w:rsidRPr="003C413E">
        <w:rPr>
          <w:rFonts w:ascii="Times New Roman" w:hAnsi="Times New Roman" w:cs="Times New Roman"/>
          <w:color w:val="000000"/>
        </w:rPr>
        <w:t xml:space="preserve"> </w:t>
      </w:r>
      <w:r w:rsidRPr="003C413E">
        <w:rPr>
          <w:rFonts w:ascii="Times New Roman" w:hAnsi="Times New Roman" w:cs="Times New Roman"/>
          <w:color w:val="000000"/>
        </w:rPr>
        <w:t>describes the natural history of infection,</w:t>
      </w:r>
      <w:r w:rsidR="0023168C" w:rsidRPr="003C413E">
        <w:rPr>
          <w:rFonts w:ascii="Times New Roman" w:hAnsi="Times New Roman" w:cs="Times New Roman"/>
          <w:color w:val="000000"/>
        </w:rPr>
        <w:t xml:space="preserve"> </w:t>
      </w:r>
      <w:r w:rsidRPr="003C413E">
        <w:rPr>
          <w:rFonts w:ascii="Times New Roman" w:hAnsi="Times New Roman" w:cs="Times New Roman"/>
          <w:color w:val="000000"/>
        </w:rPr>
        <w:t>how cases are reported, what is represented by prevalence</w:t>
      </w:r>
      <w:r w:rsidR="0023168C" w:rsidRPr="003C413E">
        <w:rPr>
          <w:rFonts w:ascii="Times New Roman" w:hAnsi="Times New Roman" w:cs="Times New Roman"/>
          <w:color w:val="000000"/>
        </w:rPr>
        <w:t xml:space="preserve"> </w:t>
      </w:r>
      <w:r w:rsidRPr="003C413E">
        <w:rPr>
          <w:rFonts w:ascii="Times New Roman" w:hAnsi="Times New Roman" w:cs="Times New Roman"/>
          <w:color w:val="000000"/>
        </w:rPr>
        <w:t>estimates, and population sizes. These</w:t>
      </w:r>
      <w:r w:rsidR="0023168C" w:rsidRPr="003C413E">
        <w:rPr>
          <w:rFonts w:ascii="Times New Roman" w:hAnsi="Times New Roman" w:cs="Times New Roman"/>
          <w:color w:val="000000"/>
        </w:rPr>
        <w:t xml:space="preserve"> </w:t>
      </w:r>
      <w:r w:rsidRPr="003C413E">
        <w:rPr>
          <w:rFonts w:ascii="Times New Roman" w:hAnsi="Times New Roman" w:cs="Times New Roman"/>
          <w:color w:val="000000"/>
        </w:rPr>
        <w:t>equations and descriptions follow.</w:t>
      </w:r>
    </w:p>
    <w:p w14:paraId="66C25455"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482A3C83" w14:textId="3EA26ED9" w:rsidR="00717A61" w:rsidRPr="003C413E" w:rsidRDefault="00717A61" w:rsidP="00536DE1">
      <w:pPr>
        <w:pStyle w:val="Heading2"/>
        <w:spacing w:line="360" w:lineRule="auto"/>
        <w:rPr>
          <w:rFonts w:ascii="Times New Roman" w:hAnsi="Times New Roman" w:cs="Times New Roman"/>
        </w:rPr>
      </w:pPr>
      <w:bookmarkStart w:id="8" w:name="_Toc113956965"/>
      <w:r w:rsidRPr="003C413E">
        <w:rPr>
          <w:rFonts w:ascii="Times New Roman" w:hAnsi="Times New Roman" w:cs="Times New Roman"/>
        </w:rPr>
        <w:t>GC Natural history</w:t>
      </w:r>
      <w:bookmarkEnd w:id="8"/>
    </w:p>
    <w:p w14:paraId="44CBA9E0" w14:textId="4347AFCC" w:rsidR="00717A61" w:rsidRPr="003C413E" w:rsidRDefault="00894EBF"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We elaborate</w:t>
      </w:r>
      <w:r w:rsidR="00717A61" w:rsidRPr="003C413E">
        <w:rPr>
          <w:rFonts w:ascii="Times New Roman" w:hAnsi="Times New Roman" w:cs="Times New Roman"/>
          <w:color w:val="000000"/>
        </w:rPr>
        <w:t xml:space="preserve"> upon the general SIS model. We assume</w:t>
      </w:r>
      <w:r w:rsidR="002B5477" w:rsidRPr="003C413E">
        <w:rPr>
          <w:rFonts w:ascii="Times New Roman" w:hAnsi="Times New Roman" w:cs="Times New Roman"/>
          <w:color w:val="000000"/>
        </w:rPr>
        <w:t xml:space="preserve"> </w:t>
      </w:r>
      <w:r w:rsidR="00717A61" w:rsidRPr="003C413E">
        <w:rPr>
          <w:rFonts w:ascii="Times New Roman" w:hAnsi="Times New Roman" w:cs="Times New Roman"/>
          <w:color w:val="000000"/>
        </w:rPr>
        <w:t>three</w:t>
      </w:r>
      <w:r w:rsidR="00D50978" w:rsidRPr="003C413E">
        <w:rPr>
          <w:rFonts w:ascii="Times New Roman" w:hAnsi="Times New Roman" w:cs="Times New Roman"/>
          <w:color w:val="000000"/>
        </w:rPr>
        <w:t xml:space="preserve"> </w:t>
      </w:r>
      <w:r w:rsidR="00717A61" w:rsidRPr="003C413E">
        <w:rPr>
          <w:rFonts w:ascii="Times New Roman" w:hAnsi="Times New Roman" w:cs="Times New Roman"/>
          <w:color w:val="000000"/>
        </w:rPr>
        <w:t>possible states of infection: uninfected (U), asymptomatic</w:t>
      </w:r>
      <w:r w:rsidR="000C487E">
        <w:rPr>
          <w:rFonts w:ascii="Times New Roman" w:hAnsi="Times New Roman" w:cs="Times New Roman"/>
          <w:color w:val="000000"/>
        </w:rPr>
        <w:t>ally</w:t>
      </w:r>
      <w:r w:rsidR="00717A61" w:rsidRPr="003C413E">
        <w:rPr>
          <w:rFonts w:ascii="Times New Roman" w:hAnsi="Times New Roman" w:cs="Times New Roman"/>
          <w:color w:val="000000"/>
        </w:rPr>
        <w:t xml:space="preserve"> infected (A), and symptomatic</w:t>
      </w:r>
      <w:r w:rsidR="000C487E">
        <w:rPr>
          <w:rFonts w:ascii="Times New Roman" w:hAnsi="Times New Roman" w:cs="Times New Roman"/>
          <w:color w:val="000000"/>
        </w:rPr>
        <w:t>ally</w:t>
      </w:r>
      <w:r w:rsidR="002B5477" w:rsidRPr="003C413E">
        <w:rPr>
          <w:rFonts w:ascii="Times New Roman" w:hAnsi="Times New Roman" w:cs="Times New Roman"/>
          <w:color w:val="000000"/>
        </w:rPr>
        <w:t xml:space="preserve"> </w:t>
      </w:r>
      <w:r w:rsidR="00717A61" w:rsidRPr="003C413E">
        <w:rPr>
          <w:rFonts w:ascii="Times New Roman" w:hAnsi="Times New Roman" w:cs="Times New Roman"/>
          <w:color w:val="000000"/>
        </w:rPr>
        <w:t>infected (S). All</w:t>
      </w:r>
      <w:r w:rsidR="002B5477" w:rsidRPr="003C413E">
        <w:rPr>
          <w:rFonts w:ascii="Times New Roman" w:hAnsi="Times New Roman" w:cs="Times New Roman"/>
          <w:color w:val="000000"/>
        </w:rPr>
        <w:t xml:space="preserve"> </w:t>
      </w:r>
      <w:r w:rsidR="00717A61" w:rsidRPr="003C413E">
        <w:rPr>
          <w:rFonts w:ascii="Times New Roman" w:hAnsi="Times New Roman" w:cs="Times New Roman"/>
          <w:color w:val="000000"/>
        </w:rPr>
        <w:t>people must be in one of these three states. We consider four mechanisms: 1) infection,</w:t>
      </w:r>
      <w:r w:rsidR="002B5477" w:rsidRPr="003C413E">
        <w:rPr>
          <w:rFonts w:ascii="Times New Roman" w:hAnsi="Times New Roman" w:cs="Times New Roman"/>
          <w:color w:val="000000"/>
        </w:rPr>
        <w:t xml:space="preserve"> </w:t>
      </w:r>
      <w:r w:rsidR="00717A61" w:rsidRPr="003C413E">
        <w:rPr>
          <w:rFonts w:ascii="Times New Roman" w:hAnsi="Times New Roman" w:cs="Times New Roman"/>
          <w:color w:val="000000"/>
        </w:rPr>
        <w:t>2) recovery as a</w:t>
      </w:r>
      <w:r w:rsidR="00D50978" w:rsidRPr="003C413E">
        <w:rPr>
          <w:rFonts w:ascii="Times New Roman" w:hAnsi="Times New Roman" w:cs="Times New Roman"/>
          <w:color w:val="000000"/>
        </w:rPr>
        <w:t xml:space="preserve"> </w:t>
      </w:r>
      <w:r w:rsidR="00717A61" w:rsidRPr="003C413E">
        <w:rPr>
          <w:rFonts w:ascii="Times New Roman" w:hAnsi="Times New Roman" w:cs="Times New Roman"/>
          <w:color w:val="000000"/>
        </w:rPr>
        <w:t>result of natural clearance, 3) recovery as a result of background screening,</w:t>
      </w:r>
      <w:r w:rsidR="002B5477" w:rsidRPr="003C413E">
        <w:rPr>
          <w:rFonts w:ascii="Times New Roman" w:hAnsi="Times New Roman" w:cs="Times New Roman"/>
          <w:color w:val="000000"/>
        </w:rPr>
        <w:t xml:space="preserve"> </w:t>
      </w:r>
      <w:r w:rsidR="00717A61" w:rsidRPr="003C413E">
        <w:rPr>
          <w:rFonts w:ascii="Times New Roman" w:hAnsi="Times New Roman" w:cs="Times New Roman"/>
          <w:color w:val="000000"/>
        </w:rPr>
        <w:t>and 4) recovery as a result of</w:t>
      </w:r>
      <w:r w:rsidR="00D50978" w:rsidRPr="003C413E">
        <w:rPr>
          <w:rFonts w:ascii="Times New Roman" w:hAnsi="Times New Roman" w:cs="Times New Roman"/>
          <w:color w:val="000000"/>
        </w:rPr>
        <w:t xml:space="preserve"> </w:t>
      </w:r>
      <w:r w:rsidR="00717A61" w:rsidRPr="003C413E">
        <w:rPr>
          <w:rFonts w:ascii="Times New Roman" w:hAnsi="Times New Roman" w:cs="Times New Roman"/>
          <w:color w:val="000000"/>
        </w:rPr>
        <w:t>symptomatic treatment seeking. These are described in more detail</w:t>
      </w:r>
      <w:r w:rsidR="002B5477" w:rsidRPr="003C413E">
        <w:rPr>
          <w:rFonts w:ascii="Times New Roman" w:hAnsi="Times New Roman" w:cs="Times New Roman"/>
          <w:color w:val="000000"/>
        </w:rPr>
        <w:t xml:space="preserve"> </w:t>
      </w:r>
      <w:r w:rsidR="00717A61" w:rsidRPr="003C413E">
        <w:rPr>
          <w:rFonts w:ascii="Times New Roman" w:hAnsi="Times New Roman" w:cs="Times New Roman"/>
          <w:color w:val="000000"/>
        </w:rPr>
        <w:t>below.</w:t>
      </w:r>
    </w:p>
    <w:p w14:paraId="5440CAD1"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54B1A8F6" w14:textId="77777777" w:rsidR="00717A61" w:rsidRPr="003C413E" w:rsidRDefault="00717A61" w:rsidP="00536DE1">
      <w:pPr>
        <w:pStyle w:val="Heading2"/>
        <w:spacing w:line="360" w:lineRule="auto"/>
        <w:rPr>
          <w:rFonts w:ascii="Times New Roman" w:hAnsi="Times New Roman" w:cs="Times New Roman"/>
        </w:rPr>
      </w:pPr>
      <w:bookmarkStart w:id="9" w:name="_Toc113956966"/>
      <w:r w:rsidRPr="003C413E">
        <w:rPr>
          <w:rFonts w:ascii="Times New Roman" w:hAnsi="Times New Roman" w:cs="Times New Roman"/>
        </w:rPr>
        <w:t>Infection</w:t>
      </w:r>
      <w:bookmarkEnd w:id="9"/>
    </w:p>
    <w:p w14:paraId="7211027E" w14:textId="04374696"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 xml:space="preserve">Uninfected people acquire infection at rate </w:t>
      </w:r>
      <w:r w:rsidR="002B5477" w:rsidRPr="003C413E">
        <w:rPr>
          <w:rFonts w:ascii="Times New Roman" w:hAnsi="Times New Roman" w:cs="Times New Roman"/>
          <w:i/>
          <w:iCs/>
          <w:color w:val="000000"/>
        </w:rPr>
        <w:t>λ</w:t>
      </w:r>
      <w:r w:rsidRPr="003C413E">
        <w:rPr>
          <w:rFonts w:ascii="Times New Roman" w:hAnsi="Times New Roman" w:cs="Times New Roman"/>
          <w:color w:val="000000"/>
        </w:rPr>
        <w:t>, also known as the force of infection. Here, we</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make a</w:t>
      </w:r>
      <w:r w:rsidR="00C64124" w:rsidRPr="003C413E">
        <w:rPr>
          <w:rFonts w:ascii="Times New Roman" w:hAnsi="Times New Roman" w:cs="Times New Roman"/>
          <w:color w:val="000000"/>
        </w:rPr>
        <w:t xml:space="preserve"> </w:t>
      </w:r>
      <w:r w:rsidRPr="003C413E">
        <w:rPr>
          <w:rFonts w:ascii="Times New Roman" w:hAnsi="Times New Roman" w:cs="Times New Roman"/>
          <w:color w:val="000000"/>
        </w:rPr>
        <w:t>simplifying assumption, that the force of infection is constant, which is consistent with</w:t>
      </w:r>
      <w:r w:rsidR="00C64124" w:rsidRPr="003C413E">
        <w:rPr>
          <w:rFonts w:ascii="Times New Roman" w:hAnsi="Times New Roman" w:cs="Times New Roman"/>
          <w:color w:val="000000"/>
        </w:rPr>
        <w:t xml:space="preserve"> </w:t>
      </w:r>
      <w:r w:rsidRPr="003C413E">
        <w:rPr>
          <w:rFonts w:ascii="Times New Roman" w:hAnsi="Times New Roman" w:cs="Times New Roman"/>
          <w:color w:val="000000"/>
        </w:rPr>
        <w:t>our assumption of</w:t>
      </w:r>
      <w:r w:rsidR="00C64124" w:rsidRPr="003C413E">
        <w:rPr>
          <w:rFonts w:ascii="Times New Roman" w:hAnsi="Times New Roman" w:cs="Times New Roman"/>
          <w:color w:val="000000"/>
        </w:rPr>
        <w:t xml:space="preserve"> </w:t>
      </w:r>
      <w:r w:rsidRPr="003C413E">
        <w:rPr>
          <w:rFonts w:ascii="Times New Roman" w:hAnsi="Times New Roman" w:cs="Times New Roman"/>
          <w:color w:val="000000"/>
        </w:rPr>
        <w:t>steady state dynamics overall described in more detail below. A proportion</w:t>
      </w:r>
      <w:r w:rsidR="00C64124" w:rsidRPr="003C413E">
        <w:rPr>
          <w:rFonts w:ascii="Times New Roman" w:hAnsi="Times New Roman" w:cs="Times New Roman"/>
          <w:color w:val="000000"/>
        </w:rPr>
        <w:t xml:space="preserve"> </w:t>
      </w:r>
      <w:r w:rsidRPr="003C413E">
        <w:rPr>
          <w:rFonts w:ascii="Times New Roman" w:hAnsi="Times New Roman" w:cs="Times New Roman"/>
          <w:color w:val="000000"/>
        </w:rPr>
        <w:t>of newly infected people (</w:t>
      </w:r>
      <m:oMath>
        <m:r>
          <w:rPr>
            <w:rFonts w:ascii="Cambria Math" w:hAnsi="Cambria Math" w:cs="Times New Roman"/>
            <w:color w:val="000000"/>
          </w:rPr>
          <m:t>β</m:t>
        </m:r>
      </m:oMath>
      <w:r w:rsidRPr="003C413E">
        <w:rPr>
          <w:rFonts w:ascii="Times New Roman" w:hAnsi="Times New Roman" w:cs="Times New Roman"/>
          <w:color w:val="000000"/>
        </w:rPr>
        <w:t>)</w:t>
      </w:r>
      <w:r w:rsidR="00C64124" w:rsidRPr="003C413E">
        <w:rPr>
          <w:rFonts w:ascii="Times New Roman" w:hAnsi="Times New Roman" w:cs="Times New Roman"/>
          <w:color w:val="000000"/>
        </w:rPr>
        <w:t xml:space="preserve"> </w:t>
      </w:r>
      <w:r w:rsidRPr="003C413E">
        <w:rPr>
          <w:rFonts w:ascii="Times New Roman" w:hAnsi="Times New Roman" w:cs="Times New Roman"/>
          <w:color w:val="000000"/>
        </w:rPr>
        <w:t xml:space="preserve">develop </w:t>
      </w:r>
      <w:r w:rsidR="00B85D12">
        <w:rPr>
          <w:rFonts w:ascii="Times New Roman" w:hAnsi="Times New Roman" w:cs="Times New Roman"/>
          <w:color w:val="000000"/>
        </w:rPr>
        <w:t>a</w:t>
      </w:r>
      <w:r w:rsidRPr="003C413E">
        <w:rPr>
          <w:rFonts w:ascii="Times New Roman" w:hAnsi="Times New Roman" w:cs="Times New Roman"/>
          <w:color w:val="000000"/>
        </w:rPr>
        <w:t>symptomatic infection, and a complementary proportion</w:t>
      </w:r>
      <w:r w:rsidR="00C64124" w:rsidRPr="003C413E">
        <w:rPr>
          <w:rFonts w:ascii="Times New Roman" w:hAnsi="Times New Roman" w:cs="Times New Roman"/>
          <w:color w:val="000000"/>
        </w:rPr>
        <w:t xml:space="preserve"> </w:t>
      </w:r>
      <m:oMath>
        <m:r>
          <w:rPr>
            <w:rFonts w:ascii="Cambria Math" w:hAnsi="Cambria Math" w:cs="Times New Roman"/>
            <w:color w:val="000000"/>
          </w:rPr>
          <m:t>(1-β)</m:t>
        </m:r>
      </m:oMath>
      <w:r w:rsidRPr="003C413E">
        <w:rPr>
          <w:rFonts w:ascii="Times New Roman" w:hAnsi="Times New Roman" w:cs="Times New Roman"/>
          <w:color w:val="000000"/>
        </w:rPr>
        <w:t xml:space="preserve"> develop symptomatic infection.</w:t>
      </w:r>
    </w:p>
    <w:p w14:paraId="11999875"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4C7A7D92" w14:textId="77777777" w:rsidR="00717A61" w:rsidRPr="003C413E" w:rsidRDefault="00717A61" w:rsidP="00536DE1">
      <w:pPr>
        <w:pStyle w:val="Heading2"/>
        <w:spacing w:line="360" w:lineRule="auto"/>
        <w:rPr>
          <w:rFonts w:ascii="Times New Roman" w:hAnsi="Times New Roman" w:cs="Times New Roman"/>
        </w:rPr>
      </w:pPr>
      <w:bookmarkStart w:id="10" w:name="_Toc113956967"/>
      <w:r w:rsidRPr="003C413E">
        <w:rPr>
          <w:rFonts w:ascii="Times New Roman" w:hAnsi="Times New Roman" w:cs="Times New Roman"/>
        </w:rPr>
        <w:t>Recovery as a result of natural clearance</w:t>
      </w:r>
      <w:bookmarkEnd w:id="10"/>
    </w:p>
    <w:p w14:paraId="5C13DDF4" w14:textId="2E53EE66"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Infected people (regardless of symptoms) can recover from infection due to natural clearance.</w:t>
      </w:r>
      <w:r w:rsidR="00733586" w:rsidRPr="003C413E">
        <w:rPr>
          <w:rFonts w:ascii="Times New Roman" w:hAnsi="Times New Roman" w:cs="Times New Roman"/>
          <w:color w:val="000000"/>
        </w:rPr>
        <w:t xml:space="preserve"> </w:t>
      </w:r>
      <w:r w:rsidRPr="003C413E">
        <w:rPr>
          <w:rFonts w:ascii="Times New Roman" w:hAnsi="Times New Roman" w:cs="Times New Roman"/>
          <w:color w:val="000000"/>
        </w:rPr>
        <w:t>This</w:t>
      </w:r>
      <w:r w:rsidR="00733586" w:rsidRPr="003C413E">
        <w:rPr>
          <w:rFonts w:ascii="Times New Roman" w:hAnsi="Times New Roman" w:cs="Times New Roman"/>
          <w:color w:val="000000"/>
        </w:rPr>
        <w:t xml:space="preserve"> </w:t>
      </w:r>
      <w:r w:rsidRPr="003C413E">
        <w:rPr>
          <w:rFonts w:ascii="Times New Roman" w:hAnsi="Times New Roman" w:cs="Times New Roman"/>
          <w:color w:val="000000"/>
        </w:rPr>
        <w:t xml:space="preserve">occurs at rate </w:t>
      </w:r>
      <w:r w:rsidRPr="003C413E">
        <w:rPr>
          <w:rFonts w:ascii="Times New Roman" w:hAnsi="Times New Roman" w:cs="Times New Roman"/>
          <w:i/>
          <w:iCs/>
          <w:color w:val="000000"/>
        </w:rPr>
        <w:t>ψ</w:t>
      </w:r>
      <w:r w:rsidRPr="003C413E">
        <w:rPr>
          <w:rFonts w:ascii="Times New Roman" w:hAnsi="Times New Roman" w:cs="Times New Roman"/>
          <w:color w:val="000000"/>
        </w:rPr>
        <w:t>, which is the inverse duration of time to natural clearance.</w:t>
      </w:r>
    </w:p>
    <w:p w14:paraId="0136B176"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2A42AAD9" w14:textId="77777777" w:rsidR="00717A61" w:rsidRPr="003C413E" w:rsidRDefault="00717A61" w:rsidP="00536DE1">
      <w:pPr>
        <w:pStyle w:val="Heading2"/>
        <w:spacing w:line="360" w:lineRule="auto"/>
        <w:rPr>
          <w:rFonts w:ascii="Times New Roman" w:hAnsi="Times New Roman" w:cs="Times New Roman"/>
        </w:rPr>
      </w:pPr>
      <w:bookmarkStart w:id="11" w:name="_Toc113956968"/>
      <w:r w:rsidRPr="003C413E">
        <w:rPr>
          <w:rFonts w:ascii="Times New Roman" w:hAnsi="Times New Roman" w:cs="Times New Roman"/>
        </w:rPr>
        <w:t>Recovery as a result of symptomatic treatment seeking</w:t>
      </w:r>
      <w:bookmarkEnd w:id="11"/>
    </w:p>
    <w:p w14:paraId="750D3A02" w14:textId="02E6FAA5" w:rsidR="002B5477"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 xml:space="preserve">Those with symptomatic infection are likely to seek medical care at a rapid rate. Assuming </w:t>
      </w:r>
    </w:p>
    <w:p w14:paraId="3E515B32" w14:textId="3245957A" w:rsidR="002B5477" w:rsidRPr="003C413E" w:rsidRDefault="00717A61" w:rsidP="00536DE1">
      <w:pPr>
        <w:autoSpaceDE w:val="0"/>
        <w:autoSpaceDN w:val="0"/>
        <w:adjustRightInd w:val="0"/>
        <w:spacing w:after="0" w:line="360" w:lineRule="auto"/>
        <w:rPr>
          <w:rFonts w:ascii="Times New Roman" w:hAnsi="Times New Roman" w:cs="Times New Roman"/>
          <w:color w:val="000000"/>
        </w:rPr>
      </w:pPr>
      <w:r w:rsidRPr="003C413E">
        <w:rPr>
          <w:rFonts w:ascii="Times New Roman" w:hAnsi="Times New Roman" w:cs="Times New Roman"/>
          <w:color w:val="000000"/>
        </w:rPr>
        <w:t>perfect test</w:t>
      </w:r>
      <w:r w:rsidR="009B339E">
        <w:rPr>
          <w:rFonts w:ascii="Times New Roman" w:hAnsi="Times New Roman" w:cs="Times New Roman"/>
          <w:color w:val="000000"/>
        </w:rPr>
        <w:t xml:space="preserve"> characteristics</w:t>
      </w:r>
      <w:r w:rsidRPr="003C413E">
        <w:rPr>
          <w:rFonts w:ascii="Times New Roman" w:hAnsi="Times New Roman" w:cs="Times New Roman"/>
          <w:color w:val="000000"/>
        </w:rPr>
        <w:t xml:space="preserve"> (i.e., 100% sensitivity and specificity), and assuming all who test positive are treated</w:t>
      </w:r>
      <w:r w:rsidR="00DD609C">
        <w:rPr>
          <w:rFonts w:ascii="Times New Roman" w:hAnsi="Times New Roman" w:cs="Times New Roman"/>
          <w:color w:val="000000"/>
        </w:rPr>
        <w:t xml:space="preserve"> </w:t>
      </w:r>
      <w:r w:rsidRPr="003C413E">
        <w:rPr>
          <w:rFonts w:ascii="Times New Roman" w:hAnsi="Times New Roman" w:cs="Times New Roman"/>
          <w:color w:val="000000"/>
        </w:rPr>
        <w:t>effectively (no treatment failure) the rate of symptomatic treatment seeking (</w:t>
      </w:r>
      <w:r w:rsidR="002B5477" w:rsidRPr="003C413E">
        <w:rPr>
          <w:rFonts w:ascii="Times New Roman" w:hAnsi="Times New Roman" w:cs="Times New Roman"/>
          <w:i/>
          <w:iCs/>
          <w:color w:val="000000"/>
        </w:rPr>
        <w:t>τ</w:t>
      </w:r>
      <w:r w:rsidRPr="003C413E">
        <w:rPr>
          <w:rFonts w:ascii="Times New Roman" w:hAnsi="Times New Roman" w:cs="Times New Roman"/>
          <w:color w:val="000000"/>
        </w:rPr>
        <w:t>) is equivalent to the</w:t>
      </w:r>
    </w:p>
    <w:p w14:paraId="5DD9518D" w14:textId="13A8B843"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r w:rsidRPr="003C413E">
        <w:rPr>
          <w:rFonts w:ascii="Times New Roman" w:hAnsi="Times New Roman" w:cs="Times New Roman"/>
          <w:color w:val="000000"/>
        </w:rPr>
        <w:lastRenderedPageBreak/>
        <w:t xml:space="preserve">rate of recovery </w:t>
      </w:r>
      <w:r w:rsidR="001D3E34" w:rsidRPr="003C413E">
        <w:rPr>
          <w:rFonts w:ascii="Times New Roman" w:hAnsi="Times New Roman" w:cs="Times New Roman"/>
          <w:color w:val="000000"/>
        </w:rPr>
        <w:t xml:space="preserve">due to </w:t>
      </w:r>
      <w:r w:rsidRPr="003C413E">
        <w:rPr>
          <w:rFonts w:ascii="Times New Roman" w:hAnsi="Times New Roman" w:cs="Times New Roman"/>
          <w:color w:val="000000"/>
        </w:rPr>
        <w:t>this process.</w:t>
      </w:r>
      <w:r w:rsidR="002B3687" w:rsidRPr="003C413E">
        <w:rPr>
          <w:rFonts w:ascii="Times New Roman" w:hAnsi="Times New Roman" w:cs="Times New Roman"/>
          <w:color w:val="000000"/>
        </w:rPr>
        <w:t xml:space="preserve"> Highly </w:t>
      </w:r>
      <w:r w:rsidR="001D3E34" w:rsidRPr="003C413E">
        <w:rPr>
          <w:rFonts w:ascii="Times New Roman" w:hAnsi="Times New Roman" w:cs="Times New Roman"/>
          <w:color w:val="000000"/>
        </w:rPr>
        <w:t>sensitive</w:t>
      </w:r>
      <w:r w:rsidR="002B3687" w:rsidRPr="003C413E">
        <w:rPr>
          <w:rFonts w:ascii="Times New Roman" w:hAnsi="Times New Roman" w:cs="Times New Roman"/>
          <w:color w:val="000000"/>
        </w:rPr>
        <w:t xml:space="preserve"> and specific </w:t>
      </w:r>
      <w:r w:rsidR="00945894">
        <w:rPr>
          <w:rFonts w:ascii="Times New Roman" w:hAnsi="Times New Roman" w:cs="Times New Roman"/>
          <w:color w:val="000000"/>
        </w:rPr>
        <w:t xml:space="preserve">nucleic acid amplification </w:t>
      </w:r>
      <w:r w:rsidR="002B3687" w:rsidRPr="003C413E">
        <w:rPr>
          <w:rFonts w:ascii="Times New Roman" w:hAnsi="Times New Roman" w:cs="Times New Roman"/>
          <w:color w:val="000000"/>
        </w:rPr>
        <w:t>tests</w:t>
      </w:r>
      <w:r w:rsidR="00945894">
        <w:rPr>
          <w:rFonts w:ascii="Times New Roman" w:hAnsi="Times New Roman" w:cs="Times New Roman"/>
          <w:color w:val="000000"/>
        </w:rPr>
        <w:t xml:space="preserve"> (</w:t>
      </w:r>
      <w:r w:rsidR="00945894" w:rsidRPr="003C413E">
        <w:rPr>
          <w:rFonts w:ascii="Times New Roman" w:hAnsi="Times New Roman" w:cs="Times New Roman"/>
          <w:color w:val="000000"/>
        </w:rPr>
        <w:t>NAAT</w:t>
      </w:r>
      <w:r w:rsidR="00945894">
        <w:rPr>
          <w:rFonts w:ascii="Times New Roman" w:hAnsi="Times New Roman" w:cs="Times New Roman"/>
          <w:color w:val="000000"/>
        </w:rPr>
        <w:t>s) were</w:t>
      </w:r>
      <w:r w:rsidR="002B3687" w:rsidRPr="003C413E">
        <w:rPr>
          <w:rFonts w:ascii="Times New Roman" w:hAnsi="Times New Roman" w:cs="Times New Roman"/>
          <w:color w:val="000000"/>
        </w:rPr>
        <w:t xml:space="preserve"> available for the duration of </w:t>
      </w:r>
      <w:r w:rsidR="00945894">
        <w:rPr>
          <w:rFonts w:ascii="Times New Roman" w:hAnsi="Times New Roman" w:cs="Times New Roman"/>
          <w:color w:val="000000"/>
        </w:rPr>
        <w:t>our study</w:t>
      </w:r>
      <w:r w:rsidR="00945894" w:rsidRPr="003C413E">
        <w:rPr>
          <w:rFonts w:ascii="Times New Roman" w:hAnsi="Times New Roman" w:cs="Times New Roman"/>
          <w:color w:val="000000"/>
        </w:rPr>
        <w:t xml:space="preserve"> </w:t>
      </w:r>
      <w:r w:rsidR="002B3687" w:rsidRPr="003C413E">
        <w:rPr>
          <w:rFonts w:ascii="Times New Roman" w:hAnsi="Times New Roman" w:cs="Times New Roman"/>
          <w:color w:val="000000"/>
        </w:rPr>
        <w:t>period, so we make this assumptio</w:t>
      </w:r>
      <w:r w:rsidR="00C54023" w:rsidRPr="003C413E">
        <w:rPr>
          <w:rFonts w:ascii="Times New Roman" w:hAnsi="Times New Roman" w:cs="Times New Roman"/>
          <w:color w:val="000000"/>
        </w:rPr>
        <w:t xml:space="preserve">n because it dramatically simplifies the </w:t>
      </w:r>
      <w:r w:rsidR="001D3E34" w:rsidRPr="003C413E">
        <w:rPr>
          <w:rFonts w:ascii="Times New Roman" w:hAnsi="Times New Roman" w:cs="Times New Roman"/>
          <w:color w:val="000000"/>
        </w:rPr>
        <w:t xml:space="preserve">equation solving described below. </w:t>
      </w:r>
    </w:p>
    <w:p w14:paraId="751A8727"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15BFE9D1" w14:textId="4433677F" w:rsidR="00717A61" w:rsidRPr="003C413E" w:rsidRDefault="00717A61" w:rsidP="00536DE1">
      <w:pPr>
        <w:pStyle w:val="Heading2"/>
        <w:spacing w:line="360" w:lineRule="auto"/>
        <w:rPr>
          <w:rFonts w:ascii="Times New Roman" w:hAnsi="Times New Roman" w:cs="Times New Roman"/>
        </w:rPr>
      </w:pPr>
      <w:bookmarkStart w:id="12" w:name="_Toc113956969"/>
      <w:r w:rsidRPr="003C413E">
        <w:rPr>
          <w:rFonts w:ascii="Times New Roman" w:hAnsi="Times New Roman" w:cs="Times New Roman"/>
        </w:rPr>
        <w:t xml:space="preserve">Recovery </w:t>
      </w:r>
      <w:r w:rsidR="001D3E34" w:rsidRPr="003C413E">
        <w:rPr>
          <w:rFonts w:ascii="Times New Roman" w:hAnsi="Times New Roman" w:cs="Times New Roman"/>
        </w:rPr>
        <w:t>due to</w:t>
      </w:r>
      <w:r w:rsidRPr="003C413E">
        <w:rPr>
          <w:rFonts w:ascii="Times New Roman" w:hAnsi="Times New Roman" w:cs="Times New Roman"/>
        </w:rPr>
        <w:t xml:space="preserve"> background screening</w:t>
      </w:r>
      <w:bookmarkEnd w:id="12"/>
      <w:r w:rsidR="001D3E34" w:rsidRPr="003C413E">
        <w:rPr>
          <w:rFonts w:ascii="Times New Roman" w:hAnsi="Times New Roman" w:cs="Times New Roman"/>
        </w:rPr>
        <w:t xml:space="preserve"> </w:t>
      </w:r>
    </w:p>
    <w:p w14:paraId="0C1DCB28" w14:textId="4808C328"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Recovery from background screening can occur in both the symptomatically and asymptomatically</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 xml:space="preserve">infected. Background screening is meant to </w:t>
      </w:r>
      <w:r w:rsidR="00A732C6">
        <w:rPr>
          <w:rFonts w:ascii="Times New Roman" w:hAnsi="Times New Roman" w:cs="Times New Roman"/>
          <w:color w:val="000000"/>
        </w:rPr>
        <w:t>describe</w:t>
      </w:r>
      <w:r w:rsidRPr="003C413E">
        <w:rPr>
          <w:rFonts w:ascii="Times New Roman" w:hAnsi="Times New Roman" w:cs="Times New Roman"/>
          <w:color w:val="000000"/>
        </w:rPr>
        <w:t xml:space="preserve"> screening in the absence of symptoms</w:t>
      </w:r>
      <w:r w:rsidR="002B5477" w:rsidRPr="003C413E">
        <w:rPr>
          <w:rFonts w:ascii="Times New Roman" w:hAnsi="Times New Roman" w:cs="Times New Roman"/>
          <w:color w:val="000000"/>
        </w:rPr>
        <w:t xml:space="preserve"> </w:t>
      </w:r>
      <w:r w:rsidR="00001B5B">
        <w:rPr>
          <w:rFonts w:ascii="Times New Roman" w:hAnsi="Times New Roman" w:cs="Times New Roman"/>
          <w:color w:val="000000"/>
        </w:rPr>
        <w:t>of</w:t>
      </w:r>
      <w:r w:rsidR="00001B5B" w:rsidRPr="003C413E">
        <w:rPr>
          <w:rFonts w:ascii="Times New Roman" w:hAnsi="Times New Roman" w:cs="Times New Roman"/>
          <w:color w:val="000000"/>
        </w:rPr>
        <w:t xml:space="preserve"> </w:t>
      </w:r>
      <w:r w:rsidRPr="003C413E">
        <w:rPr>
          <w:rFonts w:ascii="Times New Roman" w:hAnsi="Times New Roman" w:cs="Times New Roman"/>
          <w:color w:val="000000"/>
        </w:rPr>
        <w:t>all</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 xml:space="preserve">people within a given subpopulation </w:t>
      </w:r>
      <w:r w:rsidR="00001B5B">
        <w:rPr>
          <w:rFonts w:ascii="Times New Roman" w:hAnsi="Times New Roman" w:cs="Times New Roman"/>
          <w:color w:val="000000"/>
        </w:rPr>
        <w:t>(or representative sample)</w:t>
      </w:r>
      <w:r w:rsidR="001D3E34" w:rsidRPr="003C413E">
        <w:rPr>
          <w:rFonts w:ascii="Times New Roman" w:hAnsi="Times New Roman" w:cs="Times New Roman"/>
          <w:color w:val="000000"/>
        </w:rPr>
        <w:t xml:space="preserve">. </w:t>
      </w:r>
      <w:r w:rsidRPr="003C413E">
        <w:rPr>
          <w:rFonts w:ascii="Times New Roman" w:hAnsi="Times New Roman" w:cs="Times New Roman"/>
          <w:color w:val="000000"/>
        </w:rPr>
        <w:t>Subpopulations will have screening rates specific to them. Within a subpopulation,</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the screening rate is</w:t>
      </w:r>
      <w:r w:rsidR="002B5477" w:rsidRPr="003C413E">
        <w:rPr>
          <w:rFonts w:ascii="Times New Roman" w:hAnsi="Times New Roman" w:cs="Times New Roman"/>
          <w:color w:val="000000"/>
        </w:rPr>
        <w:t xml:space="preserve"> </w:t>
      </w:r>
      <w:r w:rsidR="00824763">
        <w:rPr>
          <w:rFonts w:ascii="Times New Roman" w:hAnsi="Times New Roman" w:cs="Times New Roman"/>
          <w:color w:val="000000"/>
        </w:rPr>
        <w:t xml:space="preserve">considered </w:t>
      </w:r>
      <w:r w:rsidRPr="003C413E">
        <w:rPr>
          <w:rFonts w:ascii="Times New Roman" w:hAnsi="Times New Roman" w:cs="Times New Roman"/>
          <w:color w:val="000000"/>
        </w:rPr>
        <w:t>homogeneous, and averaged across all who comprise th</w:t>
      </w:r>
      <w:r w:rsidR="00824763">
        <w:rPr>
          <w:rFonts w:ascii="Times New Roman" w:hAnsi="Times New Roman" w:cs="Times New Roman"/>
          <w:color w:val="000000"/>
        </w:rPr>
        <w:t>e</w:t>
      </w:r>
      <w:r w:rsidRPr="003C413E">
        <w:rPr>
          <w:rFonts w:ascii="Times New Roman" w:hAnsi="Times New Roman" w:cs="Times New Roman"/>
          <w:color w:val="000000"/>
        </w:rPr>
        <w:t xml:space="preserve"> subpopulation.</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Assuming perfect test</w:t>
      </w:r>
      <w:r w:rsidR="000B4513">
        <w:rPr>
          <w:rFonts w:ascii="Times New Roman" w:hAnsi="Times New Roman" w:cs="Times New Roman"/>
          <w:color w:val="000000"/>
        </w:rPr>
        <w:t xml:space="preserve"> characteristics</w:t>
      </w:r>
      <w:r w:rsidRPr="003C413E">
        <w:rPr>
          <w:rFonts w:ascii="Times New Roman" w:hAnsi="Times New Roman" w:cs="Times New Roman"/>
          <w:color w:val="000000"/>
        </w:rPr>
        <w:t xml:space="preserve"> (i.e., 100% sensitivity and specificity), and assuming all who test positive</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are treated effectively (no treatment</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failure) the rate of screening the asymptomatically infected</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people (</w:t>
      </w:r>
      <w:r w:rsidR="002B5477" w:rsidRPr="003C413E">
        <w:rPr>
          <w:rFonts w:ascii="Times New Roman" w:hAnsi="Times New Roman" w:cs="Times New Roman"/>
          <w:i/>
          <w:iCs/>
          <w:color w:val="000000"/>
        </w:rPr>
        <w:t>σ</w:t>
      </w:r>
      <w:r w:rsidRPr="003C413E">
        <w:rPr>
          <w:rFonts w:ascii="Times New Roman" w:hAnsi="Times New Roman" w:cs="Times New Roman"/>
          <w:color w:val="000000"/>
        </w:rPr>
        <w:t>) is the rate of recovery in this group.</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Those who are symptomatically infected may also</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experience background screening, in addition to their</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symptom-related treatment seeking, though</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it is likely that the rate of background screening is much</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slower than the other rate. As a result,</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the symptomatically infected people also recover at the rate at</w:t>
      </w:r>
      <w:r w:rsidR="002B5477" w:rsidRPr="003C413E">
        <w:rPr>
          <w:rFonts w:ascii="Times New Roman" w:hAnsi="Times New Roman" w:cs="Times New Roman"/>
          <w:color w:val="000000"/>
        </w:rPr>
        <w:t xml:space="preserve"> </w:t>
      </w:r>
      <w:r w:rsidRPr="003C413E">
        <w:rPr>
          <w:rFonts w:ascii="Times New Roman" w:hAnsi="Times New Roman" w:cs="Times New Roman"/>
          <w:color w:val="000000"/>
        </w:rPr>
        <w:t>which they are screened (</w:t>
      </w:r>
      <w:r w:rsidR="002B5477" w:rsidRPr="003C413E">
        <w:rPr>
          <w:rFonts w:ascii="Times New Roman" w:hAnsi="Times New Roman" w:cs="Times New Roman"/>
          <w:i/>
          <w:iCs/>
          <w:color w:val="000000"/>
        </w:rPr>
        <w:t>σ</w:t>
      </w:r>
      <w:r w:rsidRPr="003C413E">
        <w:rPr>
          <w:rFonts w:ascii="Times New Roman" w:hAnsi="Times New Roman" w:cs="Times New Roman"/>
          <w:color w:val="000000"/>
        </w:rPr>
        <w:t>).</w:t>
      </w:r>
    </w:p>
    <w:p w14:paraId="6E077E44"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3083F482" w14:textId="4D64F3CD" w:rsidR="00717A61" w:rsidRPr="003C413E" w:rsidRDefault="00717A61" w:rsidP="00536DE1">
      <w:pPr>
        <w:pStyle w:val="Heading2"/>
        <w:spacing w:line="360" w:lineRule="auto"/>
        <w:rPr>
          <w:rFonts w:ascii="Times New Roman" w:hAnsi="Times New Roman" w:cs="Times New Roman"/>
        </w:rPr>
      </w:pPr>
      <w:bookmarkStart w:id="13" w:name="_Toc113956970"/>
      <w:r w:rsidRPr="003C413E">
        <w:rPr>
          <w:rFonts w:ascii="Times New Roman" w:hAnsi="Times New Roman" w:cs="Times New Roman"/>
        </w:rPr>
        <w:t>GC natural history equations</w:t>
      </w:r>
      <w:bookmarkEnd w:id="13"/>
    </w:p>
    <w:p w14:paraId="5147F82A" w14:textId="07DDDC56"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These mechanisms are described mathematically in the following differential equations</w:t>
      </w:r>
      <w:r w:rsidR="00B110FB">
        <w:rPr>
          <w:rFonts w:ascii="Times New Roman" w:hAnsi="Times New Roman" w:cs="Times New Roman"/>
          <w:color w:val="000000"/>
        </w:rPr>
        <w:t>.</w:t>
      </w:r>
      <w:r w:rsidR="008C20A1">
        <w:rPr>
          <w:rFonts w:ascii="Times New Roman" w:hAnsi="Times New Roman" w:cs="Times New Roman"/>
          <w:color w:val="000000"/>
        </w:rPr>
        <w:t xml:space="preserve"> </w:t>
      </w:r>
      <w:r w:rsidR="00B110FB">
        <w:rPr>
          <w:rFonts w:ascii="Times New Roman" w:hAnsi="Times New Roman" w:cs="Times New Roman"/>
          <w:color w:val="000000"/>
        </w:rPr>
        <w:t xml:space="preserve">The </w:t>
      </w:r>
      <w:r w:rsidR="008C20A1">
        <w:rPr>
          <w:rFonts w:ascii="Times New Roman" w:hAnsi="Times New Roman" w:cs="Times New Roman"/>
          <w:color w:val="000000"/>
        </w:rPr>
        <w:t>equations</w:t>
      </w:r>
      <w:r w:rsidR="00B110FB">
        <w:rPr>
          <w:rFonts w:ascii="Times New Roman" w:hAnsi="Times New Roman" w:cs="Times New Roman"/>
          <w:color w:val="000000"/>
        </w:rPr>
        <w:t xml:space="preserve"> for each year </w:t>
      </w:r>
      <w:r w:rsidR="00B95FE8">
        <w:rPr>
          <w:rFonts w:ascii="Times New Roman" w:hAnsi="Times New Roman" w:cs="Times New Roman"/>
          <w:color w:val="000000"/>
        </w:rPr>
        <w:t xml:space="preserve">and each age/sex subgroup </w:t>
      </w:r>
      <w:r w:rsidR="00B110FB">
        <w:rPr>
          <w:rFonts w:ascii="Times New Roman" w:hAnsi="Times New Roman" w:cs="Times New Roman"/>
          <w:color w:val="000000"/>
        </w:rPr>
        <w:t xml:space="preserve">are </w:t>
      </w:r>
      <w:r w:rsidR="00B95FE8">
        <w:rPr>
          <w:rFonts w:ascii="Times New Roman" w:hAnsi="Times New Roman" w:cs="Times New Roman"/>
          <w:color w:val="000000"/>
        </w:rPr>
        <w:t>the same</w:t>
      </w:r>
      <w:r w:rsidR="00B110FB">
        <w:rPr>
          <w:rFonts w:ascii="Times New Roman" w:hAnsi="Times New Roman" w:cs="Times New Roman"/>
          <w:color w:val="000000"/>
        </w:rPr>
        <w:t xml:space="preserve">, but the </w:t>
      </w:r>
      <w:r w:rsidR="00FE2CE9">
        <w:rPr>
          <w:rFonts w:ascii="Times New Roman" w:hAnsi="Times New Roman" w:cs="Times New Roman"/>
          <w:color w:val="000000"/>
        </w:rPr>
        <w:t>input data change</w:t>
      </w:r>
      <w:r w:rsidR="008C20A1">
        <w:rPr>
          <w:rFonts w:ascii="Times New Roman" w:hAnsi="Times New Roman" w:cs="Times New Roman"/>
          <w:color w:val="000000"/>
        </w:rPr>
        <w:t xml:space="preserve"> when we solve each age/sex/year combination.</w:t>
      </w:r>
    </w:p>
    <w:p w14:paraId="51085466"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479AB189" w14:textId="77777777" w:rsidR="00717A61" w:rsidRPr="003C413E" w:rsidRDefault="004535F4" w:rsidP="00536DE1">
      <w:pPr>
        <w:autoSpaceDE w:val="0"/>
        <w:autoSpaceDN w:val="0"/>
        <w:adjustRightInd w:val="0"/>
        <w:spacing w:after="0" w:line="360" w:lineRule="auto"/>
        <w:ind w:left="2340"/>
        <w:rPr>
          <w:rFonts w:ascii="Cambria Math" w:hAnsi="Cambria Math" w:cs="Times New Roman"/>
          <w:color w:val="000000"/>
          <w:oMath/>
        </w:rPr>
      </w:pPr>
      <m:oMathPara>
        <m:oMathParaPr>
          <m:jc m:val="left"/>
        </m:oMathParaPr>
        <m:oMath>
          <m:f>
            <m:fPr>
              <m:ctrlPr>
                <w:rPr>
                  <w:rFonts w:ascii="Cambria Math" w:hAnsi="Cambria Math" w:cs="Times New Roman"/>
                  <w:i/>
                  <w:color w:val="000000"/>
                </w:rPr>
              </m:ctrlPr>
            </m:fPr>
            <m:num>
              <m:r>
                <w:rPr>
                  <w:rFonts w:ascii="Cambria Math" w:hAnsi="Cambria Math" w:cs="Times New Roman"/>
                  <w:color w:val="000000"/>
                </w:rPr>
                <m:t>dU</m:t>
              </m:r>
            </m:num>
            <m:den>
              <m:r>
                <w:rPr>
                  <w:rFonts w:ascii="Cambria Math" w:hAnsi="Cambria Math" w:cs="Times New Roman"/>
                  <w:color w:val="000000"/>
                </w:rPr>
                <m:t>dt</m:t>
              </m:r>
            </m:den>
          </m:f>
          <m:r>
            <w:rPr>
              <w:rFonts w:ascii="Cambria Math" w:hAnsi="Cambria Math" w:cs="Times New Roman"/>
              <w:color w:val="000000"/>
            </w:rPr>
            <m:t xml:space="preserve">= </m:t>
          </m:r>
          <m:r>
            <w:rPr>
              <w:rFonts w:ascii="Cambria Math" w:eastAsia="Cambria Math" w:hAnsi="Cambria Math" w:cs="Times New Roman"/>
              <w:color w:val="000000"/>
            </w:rPr>
            <m:t>-λ</m:t>
          </m:r>
          <m:r>
            <w:rPr>
              <w:rFonts w:ascii="Cambria Math" w:hAnsi="Cambria Math" w:cs="Times New Roman"/>
              <w:color w:val="000000"/>
            </w:rPr>
            <m:t>U + (ψ + σ)A + (ψ + σ + τ)S</m:t>
          </m:r>
        </m:oMath>
      </m:oMathPara>
    </w:p>
    <w:p w14:paraId="14999E80" w14:textId="77777777" w:rsidR="00717A61" w:rsidRPr="003C413E" w:rsidRDefault="004535F4" w:rsidP="00536DE1">
      <w:pPr>
        <w:autoSpaceDE w:val="0"/>
        <w:autoSpaceDN w:val="0"/>
        <w:adjustRightInd w:val="0"/>
        <w:spacing w:after="0" w:line="360" w:lineRule="auto"/>
        <w:ind w:left="2340"/>
        <w:jc w:val="center"/>
        <w:rPr>
          <w:rFonts w:ascii="Cambria Math" w:hAnsi="Cambria Math" w:cs="Times New Roman"/>
          <w:color w:val="000000"/>
          <w:oMath/>
        </w:rPr>
      </w:pPr>
      <m:oMathPara>
        <m:oMathParaPr>
          <m:jc m:val="left"/>
        </m:oMathParaPr>
        <m:oMath>
          <m:f>
            <m:fPr>
              <m:ctrlPr>
                <w:rPr>
                  <w:rFonts w:ascii="Cambria Math" w:eastAsiaTheme="minorEastAsia" w:hAnsi="Cambria Math" w:cs="Times New Roman"/>
                  <w:i/>
                  <w:iCs/>
                  <w:color w:val="000000"/>
                </w:rPr>
              </m:ctrlPr>
            </m:fPr>
            <m:num>
              <m:r>
                <w:rPr>
                  <w:rFonts w:ascii="Cambria Math" w:eastAsiaTheme="minorEastAsia" w:hAnsi="Cambria Math" w:cs="Times New Roman"/>
                  <w:color w:val="000000"/>
                </w:rPr>
                <m:t>dA</m:t>
              </m:r>
            </m:num>
            <m:den>
              <m:r>
                <w:rPr>
                  <w:rFonts w:ascii="Cambria Math" w:eastAsiaTheme="minorEastAsia" w:hAnsi="Cambria Math" w:cs="Times New Roman"/>
                  <w:color w:val="000000"/>
                </w:rPr>
                <m:t>dt</m:t>
              </m:r>
            </m:den>
          </m:f>
          <m:r>
            <w:rPr>
              <w:rFonts w:ascii="Cambria Math" w:hAnsi="Cambria Math" w:cs="Times New Roman"/>
              <w:color w:val="000000"/>
            </w:rPr>
            <m:t>= λUβ</m:t>
          </m:r>
          <m:r>
            <w:rPr>
              <w:rFonts w:ascii="Cambria Math" w:eastAsia="Cambria Math" w:hAnsi="Cambria Math" w:cs="Times New Roman"/>
              <w:color w:val="000000"/>
            </w:rPr>
            <m:t>-</m:t>
          </m:r>
          <m:r>
            <w:rPr>
              <w:rFonts w:ascii="Cambria Math" w:hAnsi="Cambria Math" w:cs="Times New Roman"/>
              <w:color w:val="000000"/>
            </w:rPr>
            <m:t>(ψ + σ)A</m:t>
          </m:r>
        </m:oMath>
      </m:oMathPara>
    </w:p>
    <w:p w14:paraId="64626426" w14:textId="579BA70E" w:rsidR="00717A61" w:rsidRPr="003C413E" w:rsidRDefault="004535F4" w:rsidP="00536DE1">
      <w:pPr>
        <w:autoSpaceDE w:val="0"/>
        <w:autoSpaceDN w:val="0"/>
        <w:adjustRightInd w:val="0"/>
        <w:spacing w:after="0" w:line="360" w:lineRule="auto"/>
        <w:ind w:left="2340"/>
        <w:rPr>
          <w:rFonts w:ascii="Times New Roman" w:eastAsiaTheme="minorEastAsia" w:hAnsi="Times New Roman" w:cs="Times New Roman"/>
          <w:color w:val="000000"/>
        </w:rPr>
      </w:pPr>
      <m:oMathPara>
        <m:oMathParaPr>
          <m:jc m:val="left"/>
        </m:oMathParaPr>
        <m:oMath>
          <m:f>
            <m:fPr>
              <m:ctrlPr>
                <w:rPr>
                  <w:rFonts w:ascii="Cambria Math" w:hAnsi="Cambria Math" w:cs="Times New Roman"/>
                  <w:i/>
                  <w:color w:val="000000"/>
                </w:rPr>
              </m:ctrlPr>
            </m:fPr>
            <m:num>
              <m:r>
                <w:rPr>
                  <w:rFonts w:ascii="Cambria Math" w:hAnsi="Cambria Math" w:cs="Times New Roman"/>
                  <w:color w:val="000000"/>
                </w:rPr>
                <m:t>dS</m:t>
              </m:r>
            </m:num>
            <m:den>
              <m:r>
                <w:rPr>
                  <w:rFonts w:ascii="Cambria Math" w:hAnsi="Cambria Math" w:cs="Times New Roman"/>
                  <w:color w:val="000000"/>
                </w:rPr>
                <m:t>dt</m:t>
              </m:r>
            </m:den>
          </m:f>
          <m:r>
            <w:rPr>
              <w:rFonts w:ascii="Cambria Math" w:hAnsi="Cambria Math" w:cs="Times New Roman"/>
              <w:color w:val="000000"/>
            </w:rPr>
            <m:t>= λU</m:t>
          </m:r>
          <m:d>
            <m:dPr>
              <m:ctrlPr>
                <w:rPr>
                  <w:rFonts w:ascii="Cambria Math" w:hAnsi="Cambria Math" w:cs="Times New Roman"/>
                  <w:i/>
                  <w:color w:val="000000"/>
                </w:rPr>
              </m:ctrlPr>
            </m:dPr>
            <m:e>
              <m:r>
                <w:rPr>
                  <w:rFonts w:ascii="Cambria Math" w:hAnsi="Cambria Math" w:cs="Times New Roman"/>
                  <w:color w:val="000000"/>
                </w:rPr>
                <m:t>1-β</m:t>
              </m:r>
            </m:e>
          </m:d>
          <m:r>
            <w:rPr>
              <w:rFonts w:ascii="Cambria Math" w:hAnsi="Cambria Math" w:cs="Times New Roman"/>
              <w:color w:val="000000"/>
            </w:rPr>
            <m:t>- (</m:t>
          </m:r>
          <m:r>
            <w:rPr>
              <w:rFonts w:ascii="Cambria Math" w:eastAsia="Cambria Math" w:hAnsi="Cambria Math" w:cs="Times New Roman"/>
              <w:color w:val="000000"/>
            </w:rPr>
            <m:t>-</m:t>
          </m:r>
          <m:r>
            <w:rPr>
              <w:rFonts w:ascii="Cambria Math" w:hAnsi="Cambria Math" w:cs="Times New Roman"/>
              <w:color w:val="000000"/>
            </w:rPr>
            <m:t>ψ + σ + τ)S</m:t>
          </m:r>
        </m:oMath>
      </m:oMathPara>
    </w:p>
    <w:p w14:paraId="2DA8E2DE" w14:textId="77777777" w:rsidR="00717A61" w:rsidRPr="003C413E" w:rsidRDefault="00717A61" w:rsidP="00536DE1">
      <w:pPr>
        <w:autoSpaceDE w:val="0"/>
        <w:autoSpaceDN w:val="0"/>
        <w:adjustRightInd w:val="0"/>
        <w:spacing w:after="0" w:line="360" w:lineRule="auto"/>
        <w:ind w:left="2340"/>
        <w:rPr>
          <w:rFonts w:ascii="Cambria Math" w:hAnsi="Cambria Math" w:cs="Times New Roman"/>
          <w:color w:val="000000"/>
          <w:oMath/>
        </w:rPr>
      </w:pPr>
    </w:p>
    <w:p w14:paraId="4314290D" w14:textId="77777777" w:rsidR="00717A61" w:rsidRPr="003C413E" w:rsidRDefault="00717A61" w:rsidP="00536DE1">
      <w:pPr>
        <w:pStyle w:val="Heading2"/>
        <w:spacing w:line="360" w:lineRule="auto"/>
        <w:rPr>
          <w:rFonts w:ascii="Times New Roman" w:hAnsi="Times New Roman" w:cs="Times New Roman"/>
        </w:rPr>
      </w:pPr>
      <w:bookmarkStart w:id="14" w:name="_Toc113956971"/>
      <w:r w:rsidRPr="003C413E">
        <w:rPr>
          <w:rFonts w:ascii="Times New Roman" w:hAnsi="Times New Roman" w:cs="Times New Roman"/>
        </w:rPr>
        <w:t>Point prevalence equation</w:t>
      </w:r>
      <w:bookmarkEnd w:id="14"/>
    </w:p>
    <w:p w14:paraId="4802FA8B" w14:textId="6C53AD23"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Assuming perfect diagnostic testing and the natural history equations above, the point prevalence</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of infection (P) includes both the symptomatically and asymptomatically infected in the numerator:</w:t>
      </w:r>
    </w:p>
    <w:p w14:paraId="35527459"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3746499B" w14:textId="77777777" w:rsidR="00717A61" w:rsidRPr="003C413E" w:rsidRDefault="00717A61" w:rsidP="00536DE1">
      <w:pPr>
        <w:autoSpaceDE w:val="0"/>
        <w:autoSpaceDN w:val="0"/>
        <w:adjustRightInd w:val="0"/>
        <w:spacing w:after="0" w:line="360" w:lineRule="auto"/>
        <w:rPr>
          <w:rFonts w:ascii="Cambria Math" w:hAnsi="Cambria Math" w:cs="Times New Roman"/>
          <w:color w:val="000000"/>
          <w:oMath/>
        </w:rPr>
      </w:pPr>
      <m:oMathPara>
        <m:oMath>
          <m:r>
            <w:rPr>
              <w:rFonts w:ascii="Cambria Math" w:hAnsi="Cambria Math" w:cs="Times New Roman"/>
              <w:color w:val="000000"/>
            </w:rPr>
            <w:lastRenderedPageBreak/>
            <m:t>P=</m:t>
          </m:r>
          <m:f>
            <m:fPr>
              <m:ctrlPr>
                <w:rPr>
                  <w:rFonts w:ascii="Cambria Math" w:hAnsi="Cambria Math" w:cs="Times New Roman"/>
                  <w:i/>
                  <w:color w:val="000000"/>
                </w:rPr>
              </m:ctrlPr>
            </m:fPr>
            <m:num>
              <m:r>
                <w:rPr>
                  <w:rFonts w:ascii="Cambria Math" w:hAnsi="Cambria Math" w:cs="Times New Roman"/>
                  <w:color w:val="000000"/>
                </w:rPr>
                <m:t>A+S</m:t>
              </m:r>
            </m:num>
            <m:den>
              <m:r>
                <w:rPr>
                  <w:rFonts w:ascii="Cambria Math" w:hAnsi="Cambria Math" w:cs="Times New Roman"/>
                  <w:color w:val="000000"/>
                </w:rPr>
                <m:t>A + S + U</m:t>
              </m:r>
            </m:den>
          </m:f>
        </m:oMath>
      </m:oMathPara>
    </w:p>
    <w:p w14:paraId="1E829FE5"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143CCCD7" w14:textId="77777777" w:rsidR="00717A61" w:rsidRPr="003C413E" w:rsidRDefault="00717A61" w:rsidP="00536DE1">
      <w:pPr>
        <w:pStyle w:val="Heading2"/>
        <w:spacing w:line="360" w:lineRule="auto"/>
        <w:rPr>
          <w:rFonts w:ascii="Times New Roman" w:hAnsi="Times New Roman" w:cs="Times New Roman"/>
        </w:rPr>
      </w:pPr>
      <w:bookmarkStart w:id="15" w:name="_Toc113956972"/>
      <w:r w:rsidRPr="003C413E">
        <w:rPr>
          <w:rFonts w:ascii="Times New Roman" w:hAnsi="Times New Roman" w:cs="Times New Roman"/>
        </w:rPr>
        <w:t>Population size equation</w:t>
      </w:r>
      <w:bookmarkEnd w:id="15"/>
    </w:p>
    <w:p w14:paraId="21861B98" w14:textId="70D1CC97"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Population size for a given subpopulation is summarized as:</w:t>
      </w:r>
    </w:p>
    <w:p w14:paraId="30DD5815" w14:textId="77777777" w:rsidR="00717A61" w:rsidRPr="003C413E" w:rsidRDefault="00717A61" w:rsidP="00536DE1">
      <w:pPr>
        <w:autoSpaceDE w:val="0"/>
        <w:autoSpaceDN w:val="0"/>
        <w:adjustRightInd w:val="0"/>
        <w:spacing w:after="0" w:line="360" w:lineRule="auto"/>
        <w:rPr>
          <w:rFonts w:ascii="Times New Roman" w:eastAsiaTheme="minorEastAsia" w:hAnsi="Times New Roman" w:cs="Times New Roman"/>
          <w:color w:val="000000"/>
        </w:rPr>
      </w:pPr>
      <m:oMathPara>
        <m:oMath>
          <m:r>
            <w:rPr>
              <w:rFonts w:ascii="Cambria Math" w:hAnsi="Cambria Math" w:cs="Times New Roman"/>
              <w:color w:val="000000"/>
            </w:rPr>
            <m:t xml:space="preserve">N = A + S + U </m:t>
          </m:r>
        </m:oMath>
      </m:oMathPara>
    </w:p>
    <w:p w14:paraId="3688EA82"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3D993EA4" w14:textId="77777777" w:rsidR="00717A61" w:rsidRPr="003C413E" w:rsidRDefault="00717A61" w:rsidP="00536DE1">
      <w:pPr>
        <w:pStyle w:val="Heading2"/>
        <w:spacing w:line="360" w:lineRule="auto"/>
        <w:rPr>
          <w:rFonts w:ascii="Times New Roman" w:hAnsi="Times New Roman" w:cs="Times New Roman"/>
        </w:rPr>
      </w:pPr>
      <w:bookmarkStart w:id="16" w:name="_Toc113956973"/>
      <w:r w:rsidRPr="003C413E">
        <w:rPr>
          <w:rFonts w:ascii="Times New Roman" w:hAnsi="Times New Roman" w:cs="Times New Roman"/>
        </w:rPr>
        <w:t>Case reporting equation</w:t>
      </w:r>
      <w:bookmarkEnd w:id="16"/>
    </w:p>
    <w:p w14:paraId="4C96D83E" w14:textId="3DCC5924"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 xml:space="preserve">Cases are </w:t>
      </w:r>
      <w:r w:rsidR="00851EA8">
        <w:rPr>
          <w:rFonts w:ascii="Times New Roman" w:hAnsi="Times New Roman" w:cs="Times New Roman"/>
          <w:color w:val="000000"/>
        </w:rPr>
        <w:t xml:space="preserve">supposed to be </w:t>
      </w:r>
      <w:r w:rsidRPr="003C413E">
        <w:rPr>
          <w:rFonts w:ascii="Times New Roman" w:hAnsi="Times New Roman" w:cs="Times New Roman"/>
          <w:color w:val="000000"/>
        </w:rPr>
        <w:t>reported as they are diagnosed, either from symptomatic treatment seeking or background</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 xml:space="preserve">screening. </w:t>
      </w:r>
      <w:r w:rsidR="00261C23">
        <w:rPr>
          <w:rFonts w:ascii="Times New Roman" w:hAnsi="Times New Roman" w:cs="Times New Roman"/>
          <w:color w:val="000000"/>
        </w:rPr>
        <w:t>The</w:t>
      </w:r>
      <w:r w:rsidRPr="003C413E">
        <w:rPr>
          <w:rFonts w:ascii="Times New Roman" w:hAnsi="Times New Roman" w:cs="Times New Roman"/>
          <w:color w:val="000000"/>
        </w:rPr>
        <w:t xml:space="preserve"> background screening </w:t>
      </w:r>
      <w:r w:rsidR="00261C23">
        <w:rPr>
          <w:rFonts w:ascii="Times New Roman" w:hAnsi="Times New Roman" w:cs="Times New Roman"/>
          <w:color w:val="000000"/>
        </w:rPr>
        <w:t xml:space="preserve">rate is </w:t>
      </w:r>
      <w:r w:rsidR="00267F4E">
        <w:rPr>
          <w:rFonts w:ascii="Times New Roman" w:hAnsi="Times New Roman" w:cs="Times New Roman"/>
          <w:color w:val="000000"/>
        </w:rPr>
        <w:t>homogenous</w:t>
      </w:r>
      <w:r w:rsidR="00261C23">
        <w:rPr>
          <w:rFonts w:ascii="Times New Roman" w:hAnsi="Times New Roman" w:cs="Times New Roman"/>
          <w:color w:val="000000"/>
        </w:rPr>
        <w:t xml:space="preserve"> among </w:t>
      </w:r>
      <w:r w:rsidR="00267F4E">
        <w:rPr>
          <w:rFonts w:ascii="Times New Roman" w:hAnsi="Times New Roman" w:cs="Times New Roman"/>
          <w:color w:val="000000"/>
        </w:rPr>
        <w:t>each age/sex subgroup and specific to each year</w:t>
      </w:r>
      <w:r w:rsidR="004012BC">
        <w:rPr>
          <w:rFonts w:ascii="Times New Roman" w:hAnsi="Times New Roman" w:cs="Times New Roman"/>
          <w:color w:val="000000"/>
        </w:rPr>
        <w:t>.</w:t>
      </w:r>
      <w:r w:rsidR="00267F4E">
        <w:rPr>
          <w:rFonts w:ascii="Times New Roman" w:hAnsi="Times New Roman" w:cs="Times New Roman"/>
          <w:color w:val="000000"/>
        </w:rPr>
        <w:t xml:space="preserve"> </w:t>
      </w:r>
      <w:r w:rsidRPr="003C413E">
        <w:rPr>
          <w:rFonts w:ascii="Times New Roman" w:hAnsi="Times New Roman" w:cs="Times New Roman"/>
          <w:color w:val="000000"/>
        </w:rPr>
        <w:t>The below equation assumes</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only a proportion of cases (</w:t>
      </w:r>
      <w:r w:rsidRPr="003C413E">
        <w:rPr>
          <w:rFonts w:ascii="Times New Roman" w:hAnsi="Times New Roman" w:cs="Times New Roman"/>
          <w:i/>
          <w:iCs/>
          <w:color w:val="000000"/>
        </w:rPr>
        <w:t>r</w:t>
      </w:r>
      <w:r w:rsidRPr="003C413E">
        <w:rPr>
          <w:rFonts w:ascii="Times New Roman" w:hAnsi="Times New Roman" w:cs="Times New Roman"/>
          <w:color w:val="000000"/>
        </w:rPr>
        <w:t>) are reported; it also assumes perfect testing. The number of</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cases reported over a</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year (K) may be summarized as:</w:t>
      </w:r>
    </w:p>
    <w:p w14:paraId="51F2A68D"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64EC5BDE" w14:textId="77777777" w:rsidR="00717A61" w:rsidRPr="003C413E" w:rsidRDefault="00717A61" w:rsidP="00536DE1">
      <w:pPr>
        <w:autoSpaceDE w:val="0"/>
        <w:autoSpaceDN w:val="0"/>
        <w:adjustRightInd w:val="0"/>
        <w:spacing w:after="0" w:line="360" w:lineRule="auto"/>
        <w:rPr>
          <w:rFonts w:ascii="Times New Roman" w:eastAsiaTheme="minorEastAsia" w:hAnsi="Times New Roman" w:cs="Times New Roman"/>
          <w:color w:val="000000"/>
        </w:rPr>
      </w:pPr>
      <m:oMathPara>
        <m:oMath>
          <m:r>
            <w:rPr>
              <w:rFonts w:ascii="Cambria Math" w:hAnsi="Cambria Math" w:cs="Times New Roman"/>
              <w:color w:val="000000"/>
            </w:rPr>
            <m:t xml:space="preserve">K = ρ(σ(A + S) + τS) </m:t>
          </m:r>
        </m:oMath>
      </m:oMathPara>
    </w:p>
    <w:p w14:paraId="77448CFD"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1BE1CBCF" w14:textId="77777777" w:rsidR="00717A61" w:rsidRPr="003C413E" w:rsidRDefault="00717A61" w:rsidP="00536DE1">
      <w:pPr>
        <w:pStyle w:val="Heading2"/>
        <w:spacing w:line="360" w:lineRule="auto"/>
        <w:rPr>
          <w:rFonts w:ascii="Times New Roman" w:hAnsi="Times New Roman" w:cs="Times New Roman"/>
        </w:rPr>
      </w:pPr>
      <w:bookmarkStart w:id="17" w:name="_Toc113956974"/>
      <w:r w:rsidRPr="003C413E">
        <w:rPr>
          <w:rFonts w:ascii="Times New Roman" w:hAnsi="Times New Roman" w:cs="Times New Roman"/>
        </w:rPr>
        <w:t>Description of state space and parameters</w:t>
      </w:r>
      <w:bookmarkEnd w:id="17"/>
    </w:p>
    <w:p w14:paraId="06E9D235" w14:textId="77777777" w:rsidR="00717A61" w:rsidRPr="003C413E" w:rsidRDefault="00717A61" w:rsidP="007D08F2">
      <w:pPr>
        <w:autoSpaceDE w:val="0"/>
        <w:autoSpaceDN w:val="0"/>
        <w:adjustRightInd w:val="0"/>
        <w:spacing w:after="0" w:line="360" w:lineRule="auto"/>
        <w:rPr>
          <w:rFonts w:ascii="Times New Roman" w:hAnsi="Times New Roman" w:cs="Times New Roman"/>
          <w:b/>
          <w:bCs/>
          <w:color w:val="000000"/>
        </w:rPr>
      </w:pPr>
    </w:p>
    <w:p w14:paraId="5331FB77" w14:textId="77777777" w:rsidR="00717A61" w:rsidRPr="003C413E" w:rsidRDefault="00717A61" w:rsidP="00536DE1">
      <w:pPr>
        <w:autoSpaceDE w:val="0"/>
        <w:autoSpaceDN w:val="0"/>
        <w:adjustRightInd w:val="0"/>
        <w:spacing w:after="0" w:line="360" w:lineRule="auto"/>
        <w:jc w:val="center"/>
        <w:rPr>
          <w:rFonts w:ascii="Times New Roman" w:hAnsi="Times New Roman" w:cs="Times New Roman"/>
          <w:b/>
          <w:bCs/>
          <w:color w:val="000000"/>
        </w:rPr>
      </w:pPr>
      <w:r w:rsidRPr="003C413E">
        <w:rPr>
          <w:rFonts w:ascii="Times New Roman" w:hAnsi="Times New Roman" w:cs="Times New Roman"/>
          <w:b/>
          <w:bCs/>
          <w:noProof/>
          <w:color w:val="000000"/>
        </w:rPr>
        <w:drawing>
          <wp:anchor distT="0" distB="0" distL="114300" distR="114300" simplePos="0" relativeHeight="251658240" behindDoc="0" locked="0" layoutInCell="1" allowOverlap="1" wp14:anchorId="2BA93D1B" wp14:editId="169A0330">
            <wp:simplePos x="0" y="0"/>
            <wp:positionH relativeFrom="margin">
              <wp:align>center</wp:align>
            </wp:positionH>
            <wp:positionV relativeFrom="paragraph">
              <wp:posOffset>4445</wp:posOffset>
            </wp:positionV>
            <wp:extent cx="2705100" cy="1521460"/>
            <wp:effectExtent l="0" t="0" r="0" b="2540"/>
            <wp:wrapThrough wrapText="bothSides">
              <wp:wrapPolygon edited="0">
                <wp:start x="0" y="0"/>
                <wp:lineTo x="0" y="21366"/>
                <wp:lineTo x="21448" y="21366"/>
                <wp:lineTo x="214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5100" cy="1521460"/>
                    </a:xfrm>
                    <a:prstGeom prst="rect">
                      <a:avLst/>
                    </a:prstGeom>
                    <a:noFill/>
                    <a:ln>
                      <a:noFill/>
                    </a:ln>
                  </pic:spPr>
                </pic:pic>
              </a:graphicData>
            </a:graphic>
          </wp:anchor>
        </w:drawing>
      </w:r>
    </w:p>
    <w:p w14:paraId="3F88F79F" w14:textId="77777777" w:rsidR="00717A61" w:rsidRPr="003C413E" w:rsidRDefault="00717A61" w:rsidP="00536DE1">
      <w:pPr>
        <w:autoSpaceDE w:val="0"/>
        <w:autoSpaceDN w:val="0"/>
        <w:adjustRightInd w:val="0"/>
        <w:spacing w:after="0" w:line="360" w:lineRule="auto"/>
        <w:jc w:val="center"/>
        <w:rPr>
          <w:rFonts w:ascii="Times New Roman" w:hAnsi="Times New Roman" w:cs="Times New Roman"/>
          <w:b/>
          <w:bCs/>
          <w:color w:val="000000"/>
        </w:rPr>
      </w:pPr>
    </w:p>
    <w:p w14:paraId="04905E1D" w14:textId="77777777" w:rsidR="00717A61" w:rsidRPr="003C413E" w:rsidRDefault="00717A61" w:rsidP="00536DE1">
      <w:pPr>
        <w:autoSpaceDE w:val="0"/>
        <w:autoSpaceDN w:val="0"/>
        <w:adjustRightInd w:val="0"/>
        <w:spacing w:after="0" w:line="360" w:lineRule="auto"/>
        <w:jc w:val="center"/>
        <w:rPr>
          <w:rFonts w:ascii="Times New Roman" w:hAnsi="Times New Roman" w:cs="Times New Roman"/>
          <w:b/>
          <w:bCs/>
          <w:color w:val="000000"/>
        </w:rPr>
      </w:pPr>
    </w:p>
    <w:p w14:paraId="31773FB9" w14:textId="77777777" w:rsidR="00717A61" w:rsidRPr="003C413E" w:rsidRDefault="00717A61" w:rsidP="00536DE1">
      <w:pPr>
        <w:autoSpaceDE w:val="0"/>
        <w:autoSpaceDN w:val="0"/>
        <w:adjustRightInd w:val="0"/>
        <w:spacing w:after="0" w:line="360" w:lineRule="auto"/>
        <w:jc w:val="center"/>
        <w:rPr>
          <w:rFonts w:ascii="Times New Roman" w:hAnsi="Times New Roman" w:cs="Times New Roman"/>
          <w:b/>
          <w:bCs/>
          <w:color w:val="000000"/>
        </w:rPr>
      </w:pPr>
    </w:p>
    <w:p w14:paraId="277C4731" w14:textId="77777777" w:rsidR="00717A61" w:rsidRPr="003C413E" w:rsidRDefault="00717A61" w:rsidP="007D08F2">
      <w:pPr>
        <w:autoSpaceDE w:val="0"/>
        <w:autoSpaceDN w:val="0"/>
        <w:adjustRightInd w:val="0"/>
        <w:spacing w:after="0" w:line="360" w:lineRule="auto"/>
        <w:rPr>
          <w:rFonts w:ascii="Times New Roman" w:hAnsi="Times New Roman" w:cs="Times New Roman"/>
          <w:b/>
          <w:bCs/>
          <w:color w:val="000000"/>
        </w:rPr>
      </w:pPr>
    </w:p>
    <w:p w14:paraId="65C3F7D8" w14:textId="77777777" w:rsidR="00717A61" w:rsidRPr="003C413E" w:rsidRDefault="00717A61" w:rsidP="00536DE1">
      <w:pPr>
        <w:autoSpaceDE w:val="0"/>
        <w:autoSpaceDN w:val="0"/>
        <w:adjustRightInd w:val="0"/>
        <w:spacing w:after="0" w:line="360" w:lineRule="auto"/>
        <w:jc w:val="center"/>
        <w:rPr>
          <w:rFonts w:ascii="Times New Roman" w:hAnsi="Times New Roman" w:cs="Times New Roman"/>
          <w:b/>
          <w:bCs/>
          <w:color w:val="000000"/>
        </w:rPr>
      </w:pPr>
    </w:p>
    <w:p w14:paraId="2A07F987" w14:textId="77777777" w:rsidR="00717A61" w:rsidRPr="003C413E" w:rsidRDefault="00717A61" w:rsidP="00536DE1">
      <w:pPr>
        <w:autoSpaceDE w:val="0"/>
        <w:autoSpaceDN w:val="0"/>
        <w:adjustRightInd w:val="0"/>
        <w:spacing w:after="0" w:line="360" w:lineRule="auto"/>
        <w:jc w:val="center"/>
        <w:rPr>
          <w:rFonts w:ascii="Times New Roman" w:hAnsi="Times New Roman" w:cs="Times New Roman"/>
          <w:b/>
          <w:bCs/>
          <w:color w:val="000000"/>
        </w:rPr>
      </w:pPr>
    </w:p>
    <w:p w14:paraId="13FB95E0" w14:textId="77777777" w:rsidR="007D08F2" w:rsidRPr="003C413E" w:rsidRDefault="007D08F2" w:rsidP="00536DE1">
      <w:pPr>
        <w:autoSpaceDE w:val="0"/>
        <w:autoSpaceDN w:val="0"/>
        <w:adjustRightInd w:val="0"/>
        <w:spacing w:after="0" w:line="360" w:lineRule="auto"/>
        <w:jc w:val="center"/>
        <w:rPr>
          <w:rFonts w:ascii="Times New Roman" w:hAnsi="Times New Roman" w:cs="Times New Roman"/>
          <w:b/>
          <w:bCs/>
          <w:color w:val="000000"/>
        </w:rPr>
      </w:pPr>
    </w:p>
    <w:tbl>
      <w:tblPr>
        <w:tblStyle w:val="TableGrid"/>
        <w:tblW w:w="0" w:type="auto"/>
        <w:jc w:val="center"/>
        <w:tblLook w:val="04A0" w:firstRow="1" w:lastRow="0" w:firstColumn="1" w:lastColumn="0" w:noHBand="0" w:noVBand="1"/>
      </w:tblPr>
      <w:tblGrid>
        <w:gridCol w:w="901"/>
        <w:gridCol w:w="6026"/>
      </w:tblGrid>
      <w:tr w:rsidR="00717A61" w:rsidRPr="003C413E" w14:paraId="2E45B4F9" w14:textId="77777777" w:rsidTr="00F91606">
        <w:trPr>
          <w:jc w:val="center"/>
        </w:trPr>
        <w:tc>
          <w:tcPr>
            <w:tcW w:w="0" w:type="auto"/>
            <w:tcBorders>
              <w:top w:val="single" w:sz="4" w:space="0" w:color="auto"/>
              <w:left w:val="nil"/>
              <w:bottom w:val="single" w:sz="4" w:space="0" w:color="auto"/>
              <w:right w:val="nil"/>
            </w:tcBorders>
          </w:tcPr>
          <w:p w14:paraId="0EFC84A4"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Symbol</w:t>
            </w:r>
          </w:p>
        </w:tc>
        <w:tc>
          <w:tcPr>
            <w:tcW w:w="0" w:type="auto"/>
            <w:tcBorders>
              <w:top w:val="single" w:sz="4" w:space="0" w:color="auto"/>
              <w:left w:val="nil"/>
              <w:bottom w:val="single" w:sz="4" w:space="0" w:color="auto"/>
              <w:right w:val="nil"/>
            </w:tcBorders>
          </w:tcPr>
          <w:p w14:paraId="08793DD4"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Description</w:t>
            </w:r>
          </w:p>
        </w:tc>
      </w:tr>
      <w:tr w:rsidR="00717A61" w:rsidRPr="003C413E" w14:paraId="000F47C9" w14:textId="77777777" w:rsidTr="00F91606">
        <w:trPr>
          <w:jc w:val="center"/>
        </w:trPr>
        <w:tc>
          <w:tcPr>
            <w:tcW w:w="0" w:type="auto"/>
            <w:tcBorders>
              <w:top w:val="single" w:sz="4" w:space="0" w:color="auto"/>
              <w:left w:val="nil"/>
              <w:bottom w:val="nil"/>
              <w:right w:val="nil"/>
            </w:tcBorders>
          </w:tcPr>
          <w:p w14:paraId="433C8ED2" w14:textId="77777777" w:rsidR="00717A61" w:rsidRPr="003C413E" w:rsidRDefault="00717A61" w:rsidP="00536DE1">
            <w:pPr>
              <w:autoSpaceDE w:val="0"/>
              <w:autoSpaceDN w:val="0"/>
              <w:adjustRightInd w:val="0"/>
              <w:spacing w:line="360" w:lineRule="auto"/>
              <w:rPr>
                <w:rFonts w:ascii="Times New Roman" w:hAnsi="Times New Roman" w:cs="Times New Roman"/>
                <w:i/>
                <w:iCs/>
                <w:color w:val="000000"/>
              </w:rPr>
            </w:pPr>
            <w:r w:rsidRPr="003C413E">
              <w:rPr>
                <w:rFonts w:ascii="Times New Roman" w:hAnsi="Times New Roman" w:cs="Times New Roman"/>
                <w:i/>
                <w:iCs/>
                <w:color w:val="000000"/>
              </w:rPr>
              <w:t>λ</w:t>
            </w:r>
          </w:p>
        </w:tc>
        <w:tc>
          <w:tcPr>
            <w:tcW w:w="0" w:type="auto"/>
            <w:tcBorders>
              <w:top w:val="single" w:sz="4" w:space="0" w:color="auto"/>
              <w:left w:val="nil"/>
              <w:bottom w:val="nil"/>
              <w:right w:val="nil"/>
            </w:tcBorders>
          </w:tcPr>
          <w:p w14:paraId="053FEA61"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Force of infection (rate)</w:t>
            </w:r>
          </w:p>
        </w:tc>
      </w:tr>
      <w:tr w:rsidR="00717A61" w:rsidRPr="003C413E" w14:paraId="135F6359" w14:textId="77777777" w:rsidTr="00F91606">
        <w:trPr>
          <w:jc w:val="center"/>
        </w:trPr>
        <w:tc>
          <w:tcPr>
            <w:tcW w:w="0" w:type="auto"/>
            <w:tcBorders>
              <w:top w:val="nil"/>
              <w:left w:val="nil"/>
              <w:bottom w:val="nil"/>
              <w:right w:val="nil"/>
            </w:tcBorders>
          </w:tcPr>
          <w:p w14:paraId="65419480" w14:textId="77777777" w:rsidR="00717A61" w:rsidRPr="003C413E" w:rsidRDefault="00717A61" w:rsidP="00536DE1">
            <w:pPr>
              <w:autoSpaceDE w:val="0"/>
              <w:autoSpaceDN w:val="0"/>
              <w:adjustRightInd w:val="0"/>
              <w:spacing w:line="360" w:lineRule="auto"/>
              <w:rPr>
                <w:rFonts w:ascii="Times New Roman" w:hAnsi="Times New Roman" w:cs="Times New Roman"/>
                <w:i/>
                <w:iCs/>
                <w:color w:val="000000"/>
              </w:rPr>
            </w:pPr>
            <w:r w:rsidRPr="003C413E">
              <w:rPr>
                <w:rFonts w:ascii="Times New Roman" w:hAnsi="Times New Roman" w:cs="Times New Roman"/>
                <w:i/>
                <w:iCs/>
                <w:color w:val="000000"/>
              </w:rPr>
              <w:t>β</w:t>
            </w:r>
          </w:p>
        </w:tc>
        <w:tc>
          <w:tcPr>
            <w:tcW w:w="0" w:type="auto"/>
            <w:tcBorders>
              <w:top w:val="nil"/>
              <w:left w:val="nil"/>
              <w:bottom w:val="nil"/>
              <w:right w:val="nil"/>
            </w:tcBorders>
          </w:tcPr>
          <w:p w14:paraId="1FEAF255"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Proportion of new gonococcal infections that are asymptomatic</w:t>
            </w:r>
          </w:p>
        </w:tc>
      </w:tr>
      <w:tr w:rsidR="00717A61" w:rsidRPr="003C413E" w14:paraId="7E67AFB5" w14:textId="77777777" w:rsidTr="00F91606">
        <w:trPr>
          <w:jc w:val="center"/>
        </w:trPr>
        <w:tc>
          <w:tcPr>
            <w:tcW w:w="0" w:type="auto"/>
            <w:tcBorders>
              <w:top w:val="nil"/>
              <w:left w:val="nil"/>
              <w:bottom w:val="nil"/>
              <w:right w:val="nil"/>
            </w:tcBorders>
          </w:tcPr>
          <w:p w14:paraId="4D731736" w14:textId="77777777" w:rsidR="00717A61" w:rsidRPr="003C413E" w:rsidRDefault="00717A61" w:rsidP="00536DE1">
            <w:pPr>
              <w:autoSpaceDE w:val="0"/>
              <w:autoSpaceDN w:val="0"/>
              <w:adjustRightInd w:val="0"/>
              <w:spacing w:line="360" w:lineRule="auto"/>
              <w:rPr>
                <w:rFonts w:ascii="Times New Roman" w:hAnsi="Times New Roman" w:cs="Times New Roman"/>
                <w:i/>
                <w:iCs/>
                <w:color w:val="000000"/>
              </w:rPr>
            </w:pPr>
            <w:r w:rsidRPr="003C413E">
              <w:rPr>
                <w:rFonts w:ascii="Times New Roman" w:hAnsi="Times New Roman" w:cs="Times New Roman"/>
                <w:i/>
                <w:iCs/>
                <w:color w:val="000000"/>
              </w:rPr>
              <w:t>ψ</w:t>
            </w:r>
          </w:p>
        </w:tc>
        <w:tc>
          <w:tcPr>
            <w:tcW w:w="0" w:type="auto"/>
            <w:tcBorders>
              <w:top w:val="nil"/>
              <w:left w:val="nil"/>
              <w:bottom w:val="nil"/>
              <w:right w:val="nil"/>
            </w:tcBorders>
          </w:tcPr>
          <w:p w14:paraId="534E5034"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Natural gonococcal clearance rate</w:t>
            </w:r>
          </w:p>
        </w:tc>
      </w:tr>
      <w:tr w:rsidR="00717A61" w:rsidRPr="003C413E" w14:paraId="3090BD9D" w14:textId="77777777" w:rsidTr="00F91606">
        <w:trPr>
          <w:jc w:val="center"/>
        </w:trPr>
        <w:tc>
          <w:tcPr>
            <w:tcW w:w="0" w:type="auto"/>
            <w:tcBorders>
              <w:top w:val="nil"/>
              <w:left w:val="nil"/>
              <w:bottom w:val="nil"/>
              <w:right w:val="nil"/>
            </w:tcBorders>
          </w:tcPr>
          <w:p w14:paraId="6ACCA445" w14:textId="77777777" w:rsidR="00717A61" w:rsidRPr="003C413E" w:rsidRDefault="00717A61" w:rsidP="00536DE1">
            <w:pPr>
              <w:autoSpaceDE w:val="0"/>
              <w:autoSpaceDN w:val="0"/>
              <w:adjustRightInd w:val="0"/>
              <w:spacing w:line="360" w:lineRule="auto"/>
              <w:rPr>
                <w:rFonts w:ascii="Times New Roman" w:hAnsi="Times New Roman" w:cs="Times New Roman"/>
                <w:i/>
                <w:iCs/>
                <w:color w:val="000000"/>
              </w:rPr>
            </w:pPr>
            <w:r w:rsidRPr="003C413E">
              <w:rPr>
                <w:rFonts w:ascii="Times New Roman" w:hAnsi="Times New Roman" w:cs="Times New Roman"/>
                <w:i/>
                <w:iCs/>
                <w:color w:val="000000"/>
              </w:rPr>
              <w:t>σ</w:t>
            </w:r>
          </w:p>
        </w:tc>
        <w:tc>
          <w:tcPr>
            <w:tcW w:w="0" w:type="auto"/>
            <w:tcBorders>
              <w:top w:val="nil"/>
              <w:left w:val="nil"/>
              <w:bottom w:val="nil"/>
              <w:right w:val="nil"/>
            </w:tcBorders>
          </w:tcPr>
          <w:p w14:paraId="47C6CC19"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Background screening rate</w:t>
            </w:r>
          </w:p>
        </w:tc>
      </w:tr>
      <w:tr w:rsidR="00717A61" w:rsidRPr="003C413E" w14:paraId="03717BBC" w14:textId="77777777" w:rsidTr="00F91606">
        <w:trPr>
          <w:jc w:val="center"/>
        </w:trPr>
        <w:tc>
          <w:tcPr>
            <w:tcW w:w="0" w:type="auto"/>
            <w:tcBorders>
              <w:top w:val="nil"/>
              <w:left w:val="nil"/>
              <w:bottom w:val="nil"/>
              <w:right w:val="nil"/>
            </w:tcBorders>
          </w:tcPr>
          <w:p w14:paraId="3BC70468" w14:textId="77777777" w:rsidR="00717A61" w:rsidRPr="003C413E" w:rsidRDefault="00717A61" w:rsidP="00536DE1">
            <w:pPr>
              <w:autoSpaceDE w:val="0"/>
              <w:autoSpaceDN w:val="0"/>
              <w:adjustRightInd w:val="0"/>
              <w:spacing w:line="360" w:lineRule="auto"/>
              <w:rPr>
                <w:rFonts w:ascii="Times New Roman" w:hAnsi="Times New Roman" w:cs="Times New Roman"/>
                <w:i/>
                <w:iCs/>
                <w:color w:val="000000"/>
              </w:rPr>
            </w:pPr>
            <w:r w:rsidRPr="003C413E">
              <w:rPr>
                <w:rFonts w:ascii="Times New Roman" w:hAnsi="Times New Roman" w:cs="Times New Roman"/>
                <w:i/>
                <w:iCs/>
                <w:color w:val="000000"/>
              </w:rPr>
              <w:t>τ</w:t>
            </w:r>
          </w:p>
        </w:tc>
        <w:tc>
          <w:tcPr>
            <w:tcW w:w="0" w:type="auto"/>
            <w:tcBorders>
              <w:top w:val="nil"/>
              <w:left w:val="nil"/>
              <w:bottom w:val="nil"/>
              <w:right w:val="nil"/>
            </w:tcBorders>
          </w:tcPr>
          <w:p w14:paraId="5D00D17C"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Symptom related treatment seeking rate</w:t>
            </w:r>
          </w:p>
        </w:tc>
      </w:tr>
      <w:tr w:rsidR="00717A61" w:rsidRPr="003C413E" w14:paraId="50F78535" w14:textId="77777777" w:rsidTr="00F91606">
        <w:trPr>
          <w:jc w:val="center"/>
        </w:trPr>
        <w:tc>
          <w:tcPr>
            <w:tcW w:w="0" w:type="auto"/>
            <w:tcBorders>
              <w:top w:val="nil"/>
              <w:left w:val="nil"/>
              <w:bottom w:val="nil"/>
              <w:right w:val="nil"/>
            </w:tcBorders>
          </w:tcPr>
          <w:p w14:paraId="33A48E2D" w14:textId="77777777" w:rsidR="00717A61" w:rsidRPr="003C413E" w:rsidRDefault="00717A61" w:rsidP="00536DE1">
            <w:pPr>
              <w:autoSpaceDE w:val="0"/>
              <w:autoSpaceDN w:val="0"/>
              <w:adjustRightInd w:val="0"/>
              <w:spacing w:line="360" w:lineRule="auto"/>
              <w:rPr>
                <w:rFonts w:ascii="Times New Roman" w:hAnsi="Times New Roman" w:cs="Times New Roman"/>
                <w:i/>
                <w:iCs/>
                <w:color w:val="000000"/>
              </w:rPr>
            </w:pPr>
            <w:r w:rsidRPr="003C413E">
              <w:rPr>
                <w:rFonts w:ascii="Times New Roman" w:hAnsi="Times New Roman" w:cs="Times New Roman"/>
                <w:i/>
                <w:iCs/>
                <w:color w:val="000000"/>
              </w:rPr>
              <w:t>ρ</w:t>
            </w:r>
          </w:p>
        </w:tc>
        <w:tc>
          <w:tcPr>
            <w:tcW w:w="0" w:type="auto"/>
            <w:tcBorders>
              <w:top w:val="nil"/>
              <w:left w:val="nil"/>
              <w:bottom w:val="nil"/>
              <w:right w:val="nil"/>
            </w:tcBorders>
          </w:tcPr>
          <w:p w14:paraId="4AEF14A3"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Reporting fraction</w:t>
            </w:r>
          </w:p>
        </w:tc>
      </w:tr>
      <w:tr w:rsidR="00717A61" w:rsidRPr="003C413E" w14:paraId="12EF7310" w14:textId="77777777" w:rsidTr="00F91606">
        <w:trPr>
          <w:jc w:val="center"/>
        </w:trPr>
        <w:tc>
          <w:tcPr>
            <w:tcW w:w="0" w:type="auto"/>
            <w:tcBorders>
              <w:top w:val="nil"/>
              <w:left w:val="nil"/>
              <w:bottom w:val="nil"/>
              <w:right w:val="nil"/>
            </w:tcBorders>
          </w:tcPr>
          <w:p w14:paraId="42BE33D8"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lastRenderedPageBreak/>
              <w:t>N</w:t>
            </w:r>
          </w:p>
        </w:tc>
        <w:tc>
          <w:tcPr>
            <w:tcW w:w="0" w:type="auto"/>
            <w:tcBorders>
              <w:top w:val="nil"/>
              <w:left w:val="nil"/>
              <w:bottom w:val="nil"/>
              <w:right w:val="nil"/>
            </w:tcBorders>
          </w:tcPr>
          <w:p w14:paraId="15D7CD66"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Population size</w:t>
            </w:r>
          </w:p>
        </w:tc>
      </w:tr>
      <w:tr w:rsidR="00717A61" w:rsidRPr="003C413E" w14:paraId="1AEE7091" w14:textId="77777777" w:rsidTr="00F91606">
        <w:trPr>
          <w:jc w:val="center"/>
        </w:trPr>
        <w:tc>
          <w:tcPr>
            <w:tcW w:w="0" w:type="auto"/>
            <w:tcBorders>
              <w:top w:val="nil"/>
              <w:left w:val="nil"/>
              <w:bottom w:val="nil"/>
              <w:right w:val="nil"/>
            </w:tcBorders>
          </w:tcPr>
          <w:p w14:paraId="071DD85A"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U</w:t>
            </w:r>
          </w:p>
        </w:tc>
        <w:tc>
          <w:tcPr>
            <w:tcW w:w="0" w:type="auto"/>
            <w:tcBorders>
              <w:top w:val="nil"/>
              <w:left w:val="nil"/>
              <w:bottom w:val="nil"/>
              <w:right w:val="nil"/>
            </w:tcBorders>
          </w:tcPr>
          <w:p w14:paraId="1F019644"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Number of people who are uninfected and susceptible to infection</w:t>
            </w:r>
          </w:p>
        </w:tc>
      </w:tr>
      <w:tr w:rsidR="00717A61" w:rsidRPr="003C413E" w14:paraId="26AF3D6E" w14:textId="77777777" w:rsidTr="00F91606">
        <w:trPr>
          <w:jc w:val="center"/>
        </w:trPr>
        <w:tc>
          <w:tcPr>
            <w:tcW w:w="0" w:type="auto"/>
            <w:tcBorders>
              <w:top w:val="nil"/>
              <w:left w:val="nil"/>
              <w:bottom w:val="nil"/>
              <w:right w:val="nil"/>
            </w:tcBorders>
          </w:tcPr>
          <w:p w14:paraId="4861378D"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S</w:t>
            </w:r>
          </w:p>
        </w:tc>
        <w:tc>
          <w:tcPr>
            <w:tcW w:w="0" w:type="auto"/>
            <w:tcBorders>
              <w:top w:val="nil"/>
              <w:left w:val="nil"/>
              <w:bottom w:val="nil"/>
              <w:right w:val="nil"/>
            </w:tcBorders>
          </w:tcPr>
          <w:p w14:paraId="549D03FF"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Number of people with symptomatic infection</w:t>
            </w:r>
          </w:p>
        </w:tc>
      </w:tr>
      <w:tr w:rsidR="00717A61" w:rsidRPr="003C413E" w14:paraId="76561C64" w14:textId="77777777" w:rsidTr="00F91606">
        <w:trPr>
          <w:jc w:val="center"/>
        </w:trPr>
        <w:tc>
          <w:tcPr>
            <w:tcW w:w="0" w:type="auto"/>
            <w:tcBorders>
              <w:top w:val="nil"/>
              <w:left w:val="nil"/>
              <w:bottom w:val="nil"/>
              <w:right w:val="nil"/>
            </w:tcBorders>
          </w:tcPr>
          <w:p w14:paraId="2BD47F1A"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A</w:t>
            </w:r>
          </w:p>
        </w:tc>
        <w:tc>
          <w:tcPr>
            <w:tcW w:w="0" w:type="auto"/>
            <w:tcBorders>
              <w:top w:val="nil"/>
              <w:left w:val="nil"/>
              <w:bottom w:val="nil"/>
              <w:right w:val="nil"/>
            </w:tcBorders>
          </w:tcPr>
          <w:p w14:paraId="121CCFA1"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Number of people with asymptomatic infection</w:t>
            </w:r>
          </w:p>
        </w:tc>
      </w:tr>
      <w:tr w:rsidR="00717A61" w:rsidRPr="003C413E" w14:paraId="5C22F06A" w14:textId="77777777" w:rsidTr="00F91606">
        <w:trPr>
          <w:jc w:val="center"/>
        </w:trPr>
        <w:tc>
          <w:tcPr>
            <w:tcW w:w="0" w:type="auto"/>
            <w:tcBorders>
              <w:top w:val="nil"/>
              <w:left w:val="nil"/>
              <w:bottom w:val="single" w:sz="4" w:space="0" w:color="auto"/>
              <w:right w:val="nil"/>
            </w:tcBorders>
          </w:tcPr>
          <w:p w14:paraId="608C1E6A"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K</w:t>
            </w:r>
          </w:p>
        </w:tc>
        <w:tc>
          <w:tcPr>
            <w:tcW w:w="0" w:type="auto"/>
            <w:tcBorders>
              <w:top w:val="nil"/>
              <w:left w:val="nil"/>
              <w:bottom w:val="single" w:sz="4" w:space="0" w:color="auto"/>
              <w:right w:val="nil"/>
            </w:tcBorders>
          </w:tcPr>
          <w:p w14:paraId="7A77AC89" w14:textId="77777777" w:rsidR="00717A61" w:rsidRPr="003C413E" w:rsidRDefault="00717A61" w:rsidP="00536DE1">
            <w:pPr>
              <w:autoSpaceDE w:val="0"/>
              <w:autoSpaceDN w:val="0"/>
              <w:adjustRightInd w:val="0"/>
              <w:spacing w:line="360" w:lineRule="auto"/>
              <w:rPr>
                <w:rFonts w:ascii="Times New Roman" w:hAnsi="Times New Roman" w:cs="Times New Roman"/>
                <w:color w:val="000000"/>
              </w:rPr>
            </w:pPr>
            <w:r w:rsidRPr="003C413E">
              <w:rPr>
                <w:rFonts w:ascii="Times New Roman" w:hAnsi="Times New Roman" w:cs="Times New Roman"/>
                <w:color w:val="000000"/>
              </w:rPr>
              <w:t>Case report number (over a specified period)</w:t>
            </w:r>
          </w:p>
        </w:tc>
      </w:tr>
    </w:tbl>
    <w:p w14:paraId="436DFB08"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6D444AA7"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6FF0E652" w14:textId="77777777" w:rsidR="00717A61" w:rsidRPr="003C413E" w:rsidRDefault="00717A61" w:rsidP="00536DE1">
      <w:pPr>
        <w:pStyle w:val="Heading1"/>
        <w:spacing w:line="360" w:lineRule="auto"/>
        <w:rPr>
          <w:rFonts w:ascii="Times New Roman" w:hAnsi="Times New Roman" w:cs="Times New Roman"/>
        </w:rPr>
      </w:pPr>
      <w:bookmarkStart w:id="18" w:name="_Toc113956975"/>
      <w:r w:rsidRPr="003C413E">
        <w:rPr>
          <w:rFonts w:ascii="Times New Roman" w:hAnsi="Times New Roman" w:cs="Times New Roman"/>
        </w:rPr>
        <w:t>GC equation solving</w:t>
      </w:r>
      <w:bookmarkEnd w:id="18"/>
    </w:p>
    <w:p w14:paraId="09F1D6A1" w14:textId="02966E89" w:rsidR="00717A61" w:rsidRPr="003C413E" w:rsidRDefault="000B7B66"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The</w:t>
      </w:r>
      <w:r w:rsidR="00717A61" w:rsidRPr="003C413E">
        <w:rPr>
          <w:rFonts w:ascii="Times New Roman" w:hAnsi="Times New Roman" w:cs="Times New Roman"/>
          <w:color w:val="000000"/>
        </w:rPr>
        <w:t xml:space="preserve"> solution utilizes the five equations below to estimate annual incidence and point</w:t>
      </w:r>
      <w:r w:rsidRPr="003C413E">
        <w:rPr>
          <w:rFonts w:ascii="Times New Roman" w:hAnsi="Times New Roman" w:cs="Times New Roman"/>
          <w:color w:val="000000"/>
        </w:rPr>
        <w:t xml:space="preserve"> </w:t>
      </w:r>
      <w:r w:rsidR="00717A61" w:rsidRPr="003C413E">
        <w:rPr>
          <w:rFonts w:ascii="Times New Roman" w:hAnsi="Times New Roman" w:cs="Times New Roman"/>
          <w:color w:val="000000"/>
        </w:rPr>
        <w:t xml:space="preserve">prevalence. We solve for </w:t>
      </w:r>
      <w:r w:rsidR="00092046" w:rsidRPr="003C413E">
        <w:rPr>
          <w:rFonts w:ascii="Times New Roman" w:hAnsi="Times New Roman" w:cs="Times New Roman"/>
          <w:color w:val="000000"/>
        </w:rPr>
        <w:t>four</w:t>
      </w:r>
      <w:r w:rsidR="00717A61" w:rsidRPr="003C413E">
        <w:rPr>
          <w:rFonts w:ascii="Times New Roman" w:hAnsi="Times New Roman" w:cs="Times New Roman"/>
          <w:color w:val="000000"/>
        </w:rPr>
        <w:t xml:space="preserve"> unknowns: the three state variables plus the force of infection (</w:t>
      </w:r>
      <w:r w:rsidR="00717A61" w:rsidRPr="003C413E">
        <w:rPr>
          <w:rFonts w:ascii="Times New Roman" w:hAnsi="Times New Roman" w:cs="Times New Roman"/>
          <w:i/>
          <w:iCs/>
          <w:color w:val="000000"/>
        </w:rPr>
        <w:t>λ</w:t>
      </w:r>
      <w:r w:rsidR="00717A61" w:rsidRPr="003C413E">
        <w:rPr>
          <w:rFonts w:ascii="Times New Roman" w:hAnsi="Times New Roman" w:cs="Times New Roman"/>
          <w:color w:val="000000"/>
        </w:rPr>
        <w:t>).</w:t>
      </w:r>
    </w:p>
    <w:p w14:paraId="1DC3A2D3"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754A454D" w14:textId="77777777" w:rsidR="00717A61" w:rsidRPr="003C413E" w:rsidRDefault="004535F4" w:rsidP="00536DE1">
      <w:pPr>
        <w:autoSpaceDE w:val="0"/>
        <w:autoSpaceDN w:val="0"/>
        <w:adjustRightInd w:val="0"/>
        <w:spacing w:after="0" w:line="360" w:lineRule="auto"/>
        <w:ind w:left="2340"/>
        <w:rPr>
          <w:rFonts w:ascii="Cambria Math" w:hAnsi="Cambria Math" w:cs="Times New Roman"/>
          <w:color w:val="000000"/>
          <w:oMath/>
        </w:rPr>
      </w:pPr>
      <m:oMathPara>
        <m:oMathParaPr>
          <m:jc m:val="left"/>
        </m:oMathParaPr>
        <m:oMath>
          <m:f>
            <m:fPr>
              <m:ctrlPr>
                <w:rPr>
                  <w:rFonts w:ascii="Cambria Math" w:hAnsi="Cambria Math" w:cs="Times New Roman"/>
                  <w:i/>
                  <w:color w:val="000000"/>
                </w:rPr>
              </m:ctrlPr>
            </m:fPr>
            <m:num>
              <m:r>
                <w:rPr>
                  <w:rFonts w:ascii="Cambria Math" w:hAnsi="Cambria Math" w:cs="Times New Roman"/>
                  <w:color w:val="000000"/>
                </w:rPr>
                <m:t>dU</m:t>
              </m:r>
            </m:num>
            <m:den>
              <m:r>
                <w:rPr>
                  <w:rFonts w:ascii="Cambria Math" w:hAnsi="Cambria Math" w:cs="Times New Roman"/>
                  <w:color w:val="000000"/>
                </w:rPr>
                <m:t>dt</m:t>
              </m:r>
            </m:den>
          </m:f>
          <m:r>
            <w:rPr>
              <w:rFonts w:ascii="Cambria Math" w:hAnsi="Cambria Math" w:cs="Times New Roman"/>
              <w:color w:val="000000"/>
            </w:rPr>
            <m:t xml:space="preserve">= </m:t>
          </m:r>
          <m:r>
            <w:rPr>
              <w:rFonts w:ascii="Cambria Math" w:eastAsia="Cambria Math" w:hAnsi="Cambria Math" w:cs="Times New Roman"/>
              <w:color w:val="000000"/>
            </w:rPr>
            <m:t>-λ</m:t>
          </m:r>
          <m:r>
            <w:rPr>
              <w:rFonts w:ascii="Cambria Math" w:hAnsi="Cambria Math" w:cs="Times New Roman"/>
              <w:color w:val="000000"/>
            </w:rPr>
            <m:t>U + (ψ + σ)A + (ψ + σ + τ)S</m:t>
          </m:r>
        </m:oMath>
      </m:oMathPara>
    </w:p>
    <w:p w14:paraId="3D519435" w14:textId="77777777" w:rsidR="00717A61" w:rsidRPr="003C413E" w:rsidRDefault="004535F4" w:rsidP="00536DE1">
      <w:pPr>
        <w:autoSpaceDE w:val="0"/>
        <w:autoSpaceDN w:val="0"/>
        <w:adjustRightInd w:val="0"/>
        <w:spacing w:after="0" w:line="360" w:lineRule="auto"/>
        <w:ind w:left="2340"/>
        <w:jc w:val="center"/>
        <w:rPr>
          <w:rFonts w:ascii="Cambria Math" w:hAnsi="Cambria Math" w:cs="Times New Roman"/>
          <w:color w:val="000000"/>
          <w:oMath/>
        </w:rPr>
      </w:pPr>
      <m:oMathPara>
        <m:oMathParaPr>
          <m:jc m:val="left"/>
        </m:oMathParaPr>
        <m:oMath>
          <m:f>
            <m:fPr>
              <m:ctrlPr>
                <w:rPr>
                  <w:rFonts w:ascii="Cambria Math" w:eastAsiaTheme="minorEastAsia" w:hAnsi="Cambria Math" w:cs="Times New Roman"/>
                  <w:i/>
                  <w:iCs/>
                  <w:color w:val="000000"/>
                </w:rPr>
              </m:ctrlPr>
            </m:fPr>
            <m:num>
              <m:r>
                <w:rPr>
                  <w:rFonts w:ascii="Cambria Math" w:eastAsiaTheme="minorEastAsia" w:hAnsi="Cambria Math" w:cs="Times New Roman"/>
                  <w:color w:val="000000"/>
                </w:rPr>
                <m:t>dA</m:t>
              </m:r>
            </m:num>
            <m:den>
              <m:r>
                <w:rPr>
                  <w:rFonts w:ascii="Cambria Math" w:eastAsiaTheme="minorEastAsia" w:hAnsi="Cambria Math" w:cs="Times New Roman"/>
                  <w:color w:val="000000"/>
                </w:rPr>
                <m:t>dt</m:t>
              </m:r>
            </m:den>
          </m:f>
          <m:r>
            <w:rPr>
              <w:rFonts w:ascii="Cambria Math" w:hAnsi="Cambria Math" w:cs="Times New Roman"/>
              <w:color w:val="000000"/>
            </w:rPr>
            <m:t>= λUβ</m:t>
          </m:r>
          <m:r>
            <w:rPr>
              <w:rFonts w:ascii="Cambria Math" w:eastAsia="Cambria Math" w:hAnsi="Cambria Math" w:cs="Times New Roman"/>
              <w:color w:val="000000"/>
            </w:rPr>
            <m:t>-</m:t>
          </m:r>
          <m:r>
            <w:rPr>
              <w:rFonts w:ascii="Cambria Math" w:hAnsi="Cambria Math" w:cs="Times New Roman"/>
              <w:color w:val="000000"/>
            </w:rPr>
            <m:t>(ψ + σ)A</m:t>
          </m:r>
        </m:oMath>
      </m:oMathPara>
    </w:p>
    <w:p w14:paraId="7DAF8B31" w14:textId="5C114DCB" w:rsidR="00717A61" w:rsidRPr="003C413E" w:rsidRDefault="004535F4" w:rsidP="00536DE1">
      <w:pPr>
        <w:autoSpaceDE w:val="0"/>
        <w:autoSpaceDN w:val="0"/>
        <w:adjustRightInd w:val="0"/>
        <w:spacing w:after="0" w:line="360" w:lineRule="auto"/>
        <w:ind w:left="2340"/>
        <w:rPr>
          <w:rFonts w:ascii="Times New Roman" w:eastAsiaTheme="minorEastAsia" w:hAnsi="Times New Roman" w:cs="Times New Roman"/>
          <w:color w:val="000000"/>
        </w:rPr>
      </w:pPr>
      <m:oMathPara>
        <m:oMathParaPr>
          <m:jc m:val="left"/>
        </m:oMathParaPr>
        <m:oMath>
          <m:f>
            <m:fPr>
              <m:ctrlPr>
                <w:rPr>
                  <w:rFonts w:ascii="Cambria Math" w:hAnsi="Cambria Math" w:cs="Times New Roman"/>
                  <w:i/>
                  <w:color w:val="000000"/>
                </w:rPr>
              </m:ctrlPr>
            </m:fPr>
            <m:num>
              <m:r>
                <w:rPr>
                  <w:rFonts w:ascii="Cambria Math" w:hAnsi="Cambria Math" w:cs="Times New Roman"/>
                  <w:color w:val="000000"/>
                </w:rPr>
                <m:t>dS</m:t>
              </m:r>
            </m:num>
            <m:den>
              <m:r>
                <w:rPr>
                  <w:rFonts w:ascii="Cambria Math" w:hAnsi="Cambria Math" w:cs="Times New Roman"/>
                  <w:color w:val="000000"/>
                </w:rPr>
                <m:t>dt</m:t>
              </m:r>
            </m:den>
          </m:f>
          <m:r>
            <w:rPr>
              <w:rFonts w:ascii="Cambria Math" w:hAnsi="Cambria Math" w:cs="Times New Roman"/>
              <w:color w:val="000000"/>
            </w:rPr>
            <m:t>= λU</m:t>
          </m:r>
          <m:d>
            <m:dPr>
              <m:ctrlPr>
                <w:rPr>
                  <w:rFonts w:ascii="Cambria Math" w:hAnsi="Cambria Math" w:cs="Times New Roman"/>
                  <w:i/>
                  <w:color w:val="000000"/>
                </w:rPr>
              </m:ctrlPr>
            </m:dPr>
            <m:e>
              <m:r>
                <w:rPr>
                  <w:rFonts w:ascii="Cambria Math" w:hAnsi="Cambria Math" w:cs="Times New Roman"/>
                  <w:color w:val="000000"/>
                </w:rPr>
                <m:t>1-β</m:t>
              </m:r>
            </m:e>
          </m:d>
          <m:r>
            <w:rPr>
              <w:rFonts w:ascii="Cambria Math" w:hAnsi="Cambria Math" w:cs="Times New Roman"/>
              <w:color w:val="000000"/>
            </w:rPr>
            <m:t>- (</m:t>
          </m:r>
          <m:r>
            <w:rPr>
              <w:rFonts w:ascii="Cambria Math" w:eastAsia="Cambria Math" w:hAnsi="Cambria Math" w:cs="Times New Roman"/>
              <w:color w:val="000000"/>
            </w:rPr>
            <m:t>-</m:t>
          </m:r>
          <m:r>
            <w:rPr>
              <w:rFonts w:ascii="Cambria Math" w:hAnsi="Cambria Math" w:cs="Times New Roman"/>
              <w:color w:val="000000"/>
            </w:rPr>
            <m:t>ψ + σ + τ)S</m:t>
          </m:r>
        </m:oMath>
      </m:oMathPara>
    </w:p>
    <w:p w14:paraId="527BE41D" w14:textId="77777777" w:rsidR="00717A61" w:rsidRPr="003C413E" w:rsidRDefault="00717A61" w:rsidP="00536DE1">
      <w:pPr>
        <w:autoSpaceDE w:val="0"/>
        <w:autoSpaceDN w:val="0"/>
        <w:adjustRightInd w:val="0"/>
        <w:spacing w:after="0" w:line="360" w:lineRule="auto"/>
        <w:jc w:val="both"/>
        <w:rPr>
          <w:rFonts w:ascii="Times New Roman" w:hAnsi="Times New Roman" w:cs="Times New Roman"/>
          <w:color w:val="000000"/>
        </w:rPr>
      </w:pPr>
    </w:p>
    <w:p w14:paraId="75EB1C8D" w14:textId="77777777" w:rsidR="00717A61" w:rsidRPr="003C413E" w:rsidRDefault="00717A61" w:rsidP="00536DE1">
      <w:pPr>
        <w:autoSpaceDE w:val="0"/>
        <w:autoSpaceDN w:val="0"/>
        <w:adjustRightInd w:val="0"/>
        <w:spacing w:after="0" w:line="360" w:lineRule="auto"/>
        <w:ind w:left="2340" w:hanging="2340"/>
        <w:jc w:val="both"/>
        <w:rPr>
          <w:rFonts w:ascii="Times New Roman" w:hAnsi="Times New Roman" w:cs="Times New Roman"/>
          <w:color w:val="000000"/>
        </w:rPr>
      </w:pPr>
      <m:oMathPara>
        <m:oMathParaPr>
          <m:jc m:val="left"/>
        </m:oMathParaPr>
        <m:oMath>
          <m:r>
            <w:rPr>
              <w:rFonts w:ascii="Cambria Math" w:hAnsi="Cambria Math" w:cs="Times New Roman"/>
              <w:color w:val="000000"/>
            </w:rPr>
            <m:t>N = A + S + U</m:t>
          </m:r>
        </m:oMath>
      </m:oMathPara>
    </w:p>
    <w:p w14:paraId="57B33C44" w14:textId="77777777" w:rsidR="00717A61" w:rsidRPr="003C413E" w:rsidRDefault="00717A61" w:rsidP="00536DE1">
      <w:pPr>
        <w:autoSpaceDE w:val="0"/>
        <w:autoSpaceDN w:val="0"/>
        <w:adjustRightInd w:val="0"/>
        <w:spacing w:after="0" w:line="360" w:lineRule="auto"/>
        <w:ind w:left="2340" w:hanging="2340"/>
        <w:jc w:val="both"/>
        <w:rPr>
          <w:rFonts w:ascii="Times New Roman" w:eastAsiaTheme="minorEastAsia" w:hAnsi="Times New Roman" w:cs="Times New Roman"/>
          <w:color w:val="000000"/>
        </w:rPr>
      </w:pPr>
      <m:oMathPara>
        <m:oMathParaPr>
          <m:jc m:val="left"/>
        </m:oMathParaPr>
        <m:oMath>
          <m:r>
            <w:rPr>
              <w:rFonts w:ascii="Cambria Math" w:hAnsi="Cambria Math" w:cs="Times New Roman"/>
              <w:color w:val="000000"/>
            </w:rPr>
            <m:t xml:space="preserve">K = ρ(σ(A + S) + τS) </m:t>
          </m:r>
        </m:oMath>
      </m:oMathPara>
    </w:p>
    <w:p w14:paraId="121BDE0A" w14:textId="77777777" w:rsidR="00717A61" w:rsidRPr="003C413E" w:rsidRDefault="00717A61" w:rsidP="00536DE1">
      <w:pPr>
        <w:autoSpaceDE w:val="0"/>
        <w:autoSpaceDN w:val="0"/>
        <w:adjustRightInd w:val="0"/>
        <w:spacing w:after="0" w:line="360" w:lineRule="auto"/>
        <w:ind w:left="2340" w:hanging="2340"/>
        <w:jc w:val="both"/>
        <w:rPr>
          <w:rFonts w:ascii="Times New Roman" w:eastAsiaTheme="minorEastAsia" w:hAnsi="Times New Roman" w:cs="Times New Roman"/>
          <w:color w:val="000000"/>
        </w:rPr>
      </w:pPr>
    </w:p>
    <w:p w14:paraId="52148414" w14:textId="12A9449D"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We use symbolic algebra in Python to solve these systems of equations for their steady state values.</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By solving for the state variable formulations (i.e., U, A, and S) as well as force of infection</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formulation (</w:t>
      </w:r>
      <w:r w:rsidRPr="003C413E">
        <w:rPr>
          <w:rFonts w:ascii="Times New Roman" w:hAnsi="Times New Roman" w:cs="Times New Roman"/>
          <w:i/>
          <w:iCs/>
          <w:color w:val="000000"/>
        </w:rPr>
        <w:t>λ</w:t>
      </w:r>
      <w:r w:rsidRPr="003C413E">
        <w:rPr>
          <w:rFonts w:ascii="Times New Roman" w:hAnsi="Times New Roman" w:cs="Times New Roman"/>
          <w:color w:val="000000"/>
        </w:rPr>
        <w:t>),</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we are able to derive steady state solutions for the annual number of incident</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infections (</w:t>
      </w:r>
      <w:r w:rsidRPr="003C413E">
        <w:rPr>
          <w:rFonts w:ascii="Times New Roman" w:hAnsi="Times New Roman" w:cs="Times New Roman"/>
          <w:i/>
          <w:iCs/>
          <w:color w:val="000000"/>
        </w:rPr>
        <w:t>λ</w:t>
      </w:r>
      <w:r w:rsidRPr="003C413E">
        <w:rPr>
          <w:rFonts w:ascii="Times New Roman" w:hAnsi="Times New Roman" w:cs="Times New Roman"/>
          <w:color w:val="000000"/>
        </w:rPr>
        <w:t xml:space="preserve">U) and the point prevalence of infection </w:t>
      </w:r>
      <m:oMath>
        <m:f>
          <m:fPr>
            <m:ctrlPr>
              <w:rPr>
                <w:rFonts w:ascii="Cambria Math" w:hAnsi="Cambria Math" w:cs="Times New Roman"/>
                <w:i/>
                <w:color w:val="000000"/>
              </w:rPr>
            </m:ctrlPr>
          </m:fPr>
          <m:num>
            <m:r>
              <w:rPr>
                <w:rFonts w:ascii="Cambria Math" w:hAnsi="Cambria Math" w:cs="Times New Roman"/>
                <w:color w:val="000000"/>
              </w:rPr>
              <m:t>A+S</m:t>
            </m:r>
          </m:num>
          <m:den>
            <m:r>
              <m:rPr>
                <m:sty m:val="p"/>
              </m:rPr>
              <w:rPr>
                <w:rFonts w:ascii="Cambria Math" w:hAnsi="Cambria Math" w:cs="Times New Roman"/>
                <w:color w:val="000000"/>
              </w:rPr>
              <m:t>A+S+U</m:t>
            </m:r>
          </m:den>
        </m:f>
      </m:oMath>
      <w:r w:rsidRPr="003C413E">
        <w:rPr>
          <w:rFonts w:ascii="Times New Roman" w:hAnsi="Times New Roman" w:cs="Times New Roman"/>
          <w:color w:val="000000"/>
        </w:rPr>
        <w:t>.</w:t>
      </w:r>
    </w:p>
    <w:p w14:paraId="781BCA54"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3E319D7F" w14:textId="1D819AAD"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Solving for steady state values of the natural history equations requires assuming that the</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change over time in each state (A, S, and U) is zero; thus, these differential equations are set to</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zero, implying no change, while all others remain unchanged.</w:t>
      </w:r>
    </w:p>
    <w:p w14:paraId="1073E7FB" w14:textId="77777777" w:rsidR="00717A61" w:rsidRPr="003C413E" w:rsidRDefault="00717A61" w:rsidP="00536DE1">
      <w:pPr>
        <w:autoSpaceDE w:val="0"/>
        <w:autoSpaceDN w:val="0"/>
        <w:adjustRightInd w:val="0"/>
        <w:spacing w:after="0" w:line="360" w:lineRule="auto"/>
        <w:rPr>
          <w:rFonts w:ascii="Times New Roman" w:hAnsi="Times New Roman" w:cs="Times New Roman"/>
          <w:color w:val="000000"/>
        </w:rPr>
      </w:pPr>
    </w:p>
    <w:p w14:paraId="49974FAA" w14:textId="77777777"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Below is python code to initialize the size equations described above.</w:t>
      </w:r>
    </w:p>
    <w:p w14:paraId="4CD81189" w14:textId="77777777" w:rsidR="00717A61" w:rsidRPr="003C413E" w:rsidRDefault="00717A61" w:rsidP="00717A61">
      <w:pPr>
        <w:autoSpaceDE w:val="0"/>
        <w:autoSpaceDN w:val="0"/>
        <w:adjustRightInd w:val="0"/>
        <w:spacing w:after="0" w:line="240" w:lineRule="auto"/>
        <w:rPr>
          <w:rFonts w:ascii="Times New Roman" w:hAnsi="Times New Roman" w:cs="Times New Roman"/>
          <w:color w:val="000000"/>
        </w:rPr>
      </w:pPr>
    </w:p>
    <w:p w14:paraId="18259A60" w14:textId="77777777" w:rsidR="00717A61" w:rsidRPr="003C413E" w:rsidRDefault="00717A61" w:rsidP="00717A61">
      <w:pPr>
        <w:autoSpaceDE w:val="0"/>
        <w:autoSpaceDN w:val="0"/>
        <w:adjustRightInd w:val="0"/>
        <w:spacing w:after="0" w:line="240" w:lineRule="auto"/>
        <w:rPr>
          <w:rFonts w:ascii="Times New Roman" w:hAnsi="Times New Roman" w:cs="Times New Roman"/>
          <w:color w:val="000000"/>
        </w:rPr>
      </w:pPr>
      <w:r w:rsidRPr="003C413E">
        <w:rPr>
          <w:rFonts w:ascii="Times New Roman" w:hAnsi="Times New Roman" w:cs="Times New Roman"/>
          <w:color w:val="000080"/>
        </w:rPr>
        <w:t xml:space="preserve">In [23]: </w:t>
      </w:r>
      <w:r w:rsidRPr="003C413E">
        <w:rPr>
          <w:rFonts w:ascii="Times New Roman" w:hAnsi="Times New Roman" w:cs="Times New Roman"/>
          <w:color w:val="008000"/>
        </w:rPr>
        <w:t xml:space="preserve">from </w:t>
      </w:r>
      <w:r w:rsidRPr="003C413E">
        <w:rPr>
          <w:rFonts w:ascii="Times New Roman" w:hAnsi="Times New Roman" w:cs="Times New Roman"/>
          <w:color w:val="0000FF"/>
        </w:rPr>
        <w:t xml:space="preserve">sympy.interactive </w:t>
      </w:r>
      <w:r w:rsidRPr="003C413E">
        <w:rPr>
          <w:rFonts w:ascii="Times New Roman" w:hAnsi="Times New Roman" w:cs="Times New Roman"/>
          <w:color w:val="008000"/>
        </w:rPr>
        <w:t xml:space="preserve">import </w:t>
      </w:r>
      <w:r w:rsidRPr="003C413E">
        <w:rPr>
          <w:rFonts w:ascii="Times New Roman" w:hAnsi="Times New Roman" w:cs="Times New Roman"/>
          <w:color w:val="000000"/>
        </w:rPr>
        <w:t>printing</w:t>
      </w:r>
    </w:p>
    <w:p w14:paraId="75A01409"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printing</w:t>
      </w:r>
      <w:r w:rsidRPr="003C413E">
        <w:rPr>
          <w:rFonts w:ascii="Times New Roman" w:hAnsi="Times New Roman" w:cs="Times New Roman"/>
          <w:color w:val="666666"/>
        </w:rPr>
        <w:t>.</w:t>
      </w:r>
      <w:r w:rsidRPr="003C413E">
        <w:rPr>
          <w:rFonts w:ascii="Times New Roman" w:hAnsi="Times New Roman" w:cs="Times New Roman"/>
          <w:color w:val="000000"/>
        </w:rPr>
        <w:t>init_printing(use_latex</w:t>
      </w:r>
      <w:r w:rsidRPr="003C413E">
        <w:rPr>
          <w:rFonts w:ascii="Times New Roman" w:hAnsi="Times New Roman" w:cs="Times New Roman"/>
          <w:color w:val="666666"/>
        </w:rPr>
        <w:t>=</w:t>
      </w:r>
      <w:r w:rsidRPr="003C413E">
        <w:rPr>
          <w:rFonts w:ascii="Times New Roman" w:hAnsi="Times New Roman" w:cs="Times New Roman"/>
          <w:color w:val="008000"/>
        </w:rPr>
        <w:t>True</w:t>
      </w:r>
      <w:r w:rsidRPr="003C413E">
        <w:rPr>
          <w:rFonts w:ascii="Times New Roman" w:hAnsi="Times New Roman" w:cs="Times New Roman"/>
          <w:color w:val="000000"/>
        </w:rPr>
        <w:t>)</w:t>
      </w:r>
    </w:p>
    <w:p w14:paraId="192DA232"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8000"/>
        </w:rPr>
        <w:t xml:space="preserve">from </w:t>
      </w:r>
      <w:r w:rsidRPr="003C413E">
        <w:rPr>
          <w:rFonts w:ascii="Times New Roman" w:hAnsi="Times New Roman" w:cs="Times New Roman"/>
          <w:color w:val="0000FF"/>
        </w:rPr>
        <w:t xml:space="preserve">sympy </w:t>
      </w:r>
      <w:r w:rsidRPr="003C413E">
        <w:rPr>
          <w:rFonts w:ascii="Times New Roman" w:hAnsi="Times New Roman" w:cs="Times New Roman"/>
          <w:color w:val="008000"/>
        </w:rPr>
        <w:t xml:space="preserve">import </w:t>
      </w:r>
      <w:r w:rsidRPr="003C413E">
        <w:rPr>
          <w:rFonts w:ascii="Times New Roman" w:hAnsi="Times New Roman" w:cs="Times New Roman"/>
          <w:color w:val="000000"/>
        </w:rPr>
        <w:t>Eq, solve_linear_system, Matrix, Symbol</w:t>
      </w:r>
    </w:p>
    <w:p w14:paraId="06B414A3"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FF"/>
        </w:rPr>
      </w:pPr>
      <w:r w:rsidRPr="003C413E">
        <w:rPr>
          <w:rFonts w:ascii="Times New Roman" w:hAnsi="Times New Roman" w:cs="Times New Roman"/>
          <w:color w:val="008000"/>
        </w:rPr>
        <w:lastRenderedPageBreak/>
        <w:t xml:space="preserve">import </w:t>
      </w:r>
      <w:r w:rsidRPr="003C413E">
        <w:rPr>
          <w:rFonts w:ascii="Times New Roman" w:hAnsi="Times New Roman" w:cs="Times New Roman"/>
          <w:color w:val="0000FF"/>
        </w:rPr>
        <w:t xml:space="preserve">sympy </w:t>
      </w:r>
      <w:r w:rsidRPr="003C413E">
        <w:rPr>
          <w:rFonts w:ascii="Times New Roman" w:hAnsi="Times New Roman" w:cs="Times New Roman"/>
          <w:color w:val="008000"/>
        </w:rPr>
        <w:t xml:space="preserve">as </w:t>
      </w:r>
      <w:r w:rsidRPr="003C413E">
        <w:rPr>
          <w:rFonts w:ascii="Times New Roman" w:hAnsi="Times New Roman" w:cs="Times New Roman"/>
          <w:color w:val="0000FF"/>
        </w:rPr>
        <w:t>sp</w:t>
      </w:r>
    </w:p>
    <w:p w14:paraId="458854BB"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FF"/>
        </w:rPr>
      </w:pPr>
      <w:r w:rsidRPr="003C413E">
        <w:rPr>
          <w:rFonts w:ascii="Times New Roman" w:hAnsi="Times New Roman" w:cs="Times New Roman"/>
          <w:color w:val="008000"/>
        </w:rPr>
        <w:t xml:space="preserve">import </w:t>
      </w:r>
      <w:r w:rsidRPr="003C413E">
        <w:rPr>
          <w:rFonts w:ascii="Times New Roman" w:hAnsi="Times New Roman" w:cs="Times New Roman"/>
          <w:color w:val="0000FF"/>
        </w:rPr>
        <w:t>math</w:t>
      </w:r>
    </w:p>
    <w:p w14:paraId="1A276786"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408080"/>
        </w:rPr>
      </w:pPr>
      <w:r w:rsidRPr="003C413E">
        <w:rPr>
          <w:rFonts w:ascii="Times New Roman" w:hAnsi="Times New Roman" w:cs="Times New Roman"/>
          <w:color w:val="408080"/>
        </w:rPr>
        <w:t>############################################</w:t>
      </w:r>
    </w:p>
    <w:p w14:paraId="74BB2E22"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eq1</w:t>
      </w:r>
      <w:r w:rsidRPr="003C413E">
        <w:rPr>
          <w:rFonts w:ascii="Times New Roman" w:hAnsi="Times New Roman" w:cs="Times New Roman"/>
          <w:color w:val="666666"/>
        </w:rPr>
        <w:t>=</w:t>
      </w:r>
      <w:r w:rsidRPr="003C413E">
        <w:rPr>
          <w:rFonts w:ascii="Times New Roman" w:hAnsi="Times New Roman" w:cs="Times New Roman"/>
          <w:color w:val="000000"/>
        </w:rPr>
        <w:t>sp</w:t>
      </w:r>
      <w:r w:rsidRPr="003C413E">
        <w:rPr>
          <w:rFonts w:ascii="Times New Roman" w:hAnsi="Times New Roman" w:cs="Times New Roman"/>
          <w:color w:val="666666"/>
        </w:rPr>
        <w:t>.</w:t>
      </w:r>
      <w:r w:rsidRPr="003C413E">
        <w:rPr>
          <w:rFonts w:ascii="Times New Roman" w:hAnsi="Times New Roman" w:cs="Times New Roman"/>
          <w:color w:val="000000"/>
        </w:rPr>
        <w:t>Function(</w:t>
      </w:r>
      <w:r w:rsidRPr="003C413E">
        <w:rPr>
          <w:rFonts w:ascii="Times New Roman" w:hAnsi="Times New Roman" w:cs="Times New Roman"/>
          <w:color w:val="BB2121"/>
        </w:rPr>
        <w:t>'eq1'</w:t>
      </w:r>
      <w:r w:rsidRPr="003C413E">
        <w:rPr>
          <w:rFonts w:ascii="Times New Roman" w:hAnsi="Times New Roman" w:cs="Times New Roman"/>
          <w:color w:val="000000"/>
        </w:rPr>
        <w:t>)</w:t>
      </w:r>
    </w:p>
    <w:p w14:paraId="4BE5BFDE"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eq2</w:t>
      </w:r>
      <w:r w:rsidRPr="003C413E">
        <w:rPr>
          <w:rFonts w:ascii="Times New Roman" w:hAnsi="Times New Roman" w:cs="Times New Roman"/>
          <w:color w:val="666666"/>
        </w:rPr>
        <w:t>=</w:t>
      </w:r>
      <w:r w:rsidRPr="003C413E">
        <w:rPr>
          <w:rFonts w:ascii="Times New Roman" w:hAnsi="Times New Roman" w:cs="Times New Roman"/>
          <w:color w:val="000000"/>
        </w:rPr>
        <w:t>sp</w:t>
      </w:r>
      <w:r w:rsidRPr="003C413E">
        <w:rPr>
          <w:rFonts w:ascii="Times New Roman" w:hAnsi="Times New Roman" w:cs="Times New Roman"/>
          <w:color w:val="666666"/>
        </w:rPr>
        <w:t>.</w:t>
      </w:r>
      <w:r w:rsidRPr="003C413E">
        <w:rPr>
          <w:rFonts w:ascii="Times New Roman" w:hAnsi="Times New Roman" w:cs="Times New Roman"/>
          <w:color w:val="000000"/>
        </w:rPr>
        <w:t>Function(</w:t>
      </w:r>
      <w:r w:rsidRPr="003C413E">
        <w:rPr>
          <w:rFonts w:ascii="Times New Roman" w:hAnsi="Times New Roman" w:cs="Times New Roman"/>
          <w:color w:val="BB2121"/>
        </w:rPr>
        <w:t>'eq2'</w:t>
      </w:r>
      <w:r w:rsidRPr="003C413E">
        <w:rPr>
          <w:rFonts w:ascii="Times New Roman" w:hAnsi="Times New Roman" w:cs="Times New Roman"/>
          <w:color w:val="000000"/>
        </w:rPr>
        <w:t>)</w:t>
      </w:r>
    </w:p>
    <w:p w14:paraId="47FE88AE"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eq3</w:t>
      </w:r>
      <w:r w:rsidRPr="003C413E">
        <w:rPr>
          <w:rFonts w:ascii="Times New Roman" w:hAnsi="Times New Roman" w:cs="Times New Roman"/>
          <w:color w:val="666666"/>
        </w:rPr>
        <w:t>=</w:t>
      </w:r>
      <w:r w:rsidRPr="003C413E">
        <w:rPr>
          <w:rFonts w:ascii="Times New Roman" w:hAnsi="Times New Roman" w:cs="Times New Roman"/>
          <w:color w:val="000000"/>
        </w:rPr>
        <w:t>sp</w:t>
      </w:r>
      <w:r w:rsidRPr="003C413E">
        <w:rPr>
          <w:rFonts w:ascii="Times New Roman" w:hAnsi="Times New Roman" w:cs="Times New Roman"/>
          <w:color w:val="666666"/>
        </w:rPr>
        <w:t>.</w:t>
      </w:r>
      <w:r w:rsidRPr="003C413E">
        <w:rPr>
          <w:rFonts w:ascii="Times New Roman" w:hAnsi="Times New Roman" w:cs="Times New Roman"/>
          <w:color w:val="000000"/>
        </w:rPr>
        <w:t>Function(</w:t>
      </w:r>
      <w:r w:rsidRPr="003C413E">
        <w:rPr>
          <w:rFonts w:ascii="Times New Roman" w:hAnsi="Times New Roman" w:cs="Times New Roman"/>
          <w:color w:val="BB2121"/>
        </w:rPr>
        <w:t>'eq3'</w:t>
      </w:r>
      <w:r w:rsidRPr="003C413E">
        <w:rPr>
          <w:rFonts w:ascii="Times New Roman" w:hAnsi="Times New Roman" w:cs="Times New Roman"/>
          <w:color w:val="000000"/>
        </w:rPr>
        <w:t>)</w:t>
      </w:r>
    </w:p>
    <w:p w14:paraId="0ACE5DAC"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eq4</w:t>
      </w:r>
      <w:r w:rsidRPr="003C413E">
        <w:rPr>
          <w:rFonts w:ascii="Times New Roman" w:hAnsi="Times New Roman" w:cs="Times New Roman"/>
          <w:color w:val="666666"/>
        </w:rPr>
        <w:t>=</w:t>
      </w:r>
      <w:r w:rsidRPr="003C413E">
        <w:rPr>
          <w:rFonts w:ascii="Times New Roman" w:hAnsi="Times New Roman" w:cs="Times New Roman"/>
          <w:color w:val="000000"/>
        </w:rPr>
        <w:t>sp</w:t>
      </w:r>
      <w:r w:rsidRPr="003C413E">
        <w:rPr>
          <w:rFonts w:ascii="Times New Roman" w:hAnsi="Times New Roman" w:cs="Times New Roman"/>
          <w:color w:val="666666"/>
        </w:rPr>
        <w:t>.</w:t>
      </w:r>
      <w:r w:rsidRPr="003C413E">
        <w:rPr>
          <w:rFonts w:ascii="Times New Roman" w:hAnsi="Times New Roman" w:cs="Times New Roman"/>
          <w:color w:val="000000"/>
        </w:rPr>
        <w:t>Function(</w:t>
      </w:r>
      <w:r w:rsidRPr="003C413E">
        <w:rPr>
          <w:rFonts w:ascii="Times New Roman" w:hAnsi="Times New Roman" w:cs="Times New Roman"/>
          <w:color w:val="BB2121"/>
        </w:rPr>
        <w:t>'eq4'</w:t>
      </w:r>
      <w:r w:rsidRPr="003C413E">
        <w:rPr>
          <w:rFonts w:ascii="Times New Roman" w:hAnsi="Times New Roman" w:cs="Times New Roman"/>
          <w:color w:val="000000"/>
        </w:rPr>
        <w:t>)</w:t>
      </w:r>
    </w:p>
    <w:p w14:paraId="29EC3686"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eq5</w:t>
      </w:r>
      <w:r w:rsidRPr="003C413E">
        <w:rPr>
          <w:rFonts w:ascii="Times New Roman" w:hAnsi="Times New Roman" w:cs="Times New Roman"/>
          <w:color w:val="666666"/>
        </w:rPr>
        <w:t>=</w:t>
      </w:r>
      <w:r w:rsidRPr="003C413E">
        <w:rPr>
          <w:rFonts w:ascii="Times New Roman" w:hAnsi="Times New Roman" w:cs="Times New Roman"/>
          <w:color w:val="000000"/>
        </w:rPr>
        <w:t>sp</w:t>
      </w:r>
      <w:r w:rsidRPr="003C413E">
        <w:rPr>
          <w:rFonts w:ascii="Times New Roman" w:hAnsi="Times New Roman" w:cs="Times New Roman"/>
          <w:color w:val="666666"/>
        </w:rPr>
        <w:t>.</w:t>
      </w:r>
      <w:r w:rsidRPr="003C413E">
        <w:rPr>
          <w:rFonts w:ascii="Times New Roman" w:hAnsi="Times New Roman" w:cs="Times New Roman"/>
          <w:color w:val="000000"/>
        </w:rPr>
        <w:t>Function(</w:t>
      </w:r>
      <w:r w:rsidRPr="003C413E">
        <w:rPr>
          <w:rFonts w:ascii="Times New Roman" w:hAnsi="Times New Roman" w:cs="Times New Roman"/>
          <w:color w:val="BB2121"/>
        </w:rPr>
        <w:t>'eq5'</w:t>
      </w:r>
      <w:r w:rsidRPr="003C413E">
        <w:rPr>
          <w:rFonts w:ascii="Times New Roman" w:hAnsi="Times New Roman" w:cs="Times New Roman"/>
          <w:color w:val="000000"/>
        </w:rPr>
        <w:t>)</w:t>
      </w:r>
    </w:p>
    <w:p w14:paraId="73440C99" w14:textId="77777777" w:rsidR="00092046" w:rsidRPr="003C413E" w:rsidRDefault="00092046" w:rsidP="00717A61">
      <w:pPr>
        <w:autoSpaceDE w:val="0"/>
        <w:autoSpaceDN w:val="0"/>
        <w:adjustRightInd w:val="0"/>
        <w:spacing w:after="0" w:line="240" w:lineRule="auto"/>
        <w:ind w:left="720"/>
        <w:rPr>
          <w:rFonts w:ascii="Times New Roman" w:hAnsi="Times New Roman" w:cs="Times New Roman"/>
          <w:color w:val="000000"/>
        </w:rPr>
      </w:pPr>
    </w:p>
    <w:p w14:paraId="65F47E81"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408080"/>
        </w:rPr>
      </w:pPr>
      <w:r w:rsidRPr="003C413E">
        <w:rPr>
          <w:rFonts w:ascii="Times New Roman" w:hAnsi="Times New Roman" w:cs="Times New Roman"/>
          <w:color w:val="408080"/>
        </w:rPr>
        <w:t>#DEFINE STATE VARIABLES</w:t>
      </w:r>
    </w:p>
    <w:p w14:paraId="6FA6142B"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A,U,S,N, K</w:t>
      </w:r>
      <w:r w:rsidRPr="003C413E">
        <w:rPr>
          <w:rFonts w:ascii="Times New Roman" w:hAnsi="Times New Roman" w:cs="Times New Roman"/>
          <w:color w:val="666666"/>
        </w:rPr>
        <w:t>=</w:t>
      </w:r>
      <w:r w:rsidRPr="003C413E">
        <w:rPr>
          <w:rFonts w:ascii="Times New Roman" w:hAnsi="Times New Roman" w:cs="Times New Roman"/>
          <w:color w:val="000000"/>
        </w:rPr>
        <w:t>sp</w:t>
      </w:r>
      <w:r w:rsidRPr="003C413E">
        <w:rPr>
          <w:rFonts w:ascii="Times New Roman" w:hAnsi="Times New Roman" w:cs="Times New Roman"/>
          <w:color w:val="666666"/>
        </w:rPr>
        <w:t>.</w:t>
      </w:r>
      <w:r w:rsidRPr="003C413E">
        <w:rPr>
          <w:rFonts w:ascii="Times New Roman" w:hAnsi="Times New Roman" w:cs="Times New Roman"/>
          <w:color w:val="000000"/>
        </w:rPr>
        <w:t>symbols(</w:t>
      </w:r>
      <w:r w:rsidRPr="003C413E">
        <w:rPr>
          <w:rFonts w:ascii="Times New Roman" w:hAnsi="Times New Roman" w:cs="Times New Roman"/>
          <w:color w:val="BB2121"/>
        </w:rPr>
        <w:t>'A, U, S, N, K'</w:t>
      </w:r>
      <w:r w:rsidRPr="003C413E">
        <w:rPr>
          <w:rFonts w:ascii="Times New Roman" w:hAnsi="Times New Roman" w:cs="Times New Roman"/>
          <w:color w:val="000000"/>
        </w:rPr>
        <w:t>)</w:t>
      </w:r>
    </w:p>
    <w:p w14:paraId="7B930E14" w14:textId="77777777" w:rsidR="00092046" w:rsidRPr="003C413E" w:rsidRDefault="00092046" w:rsidP="00717A61">
      <w:pPr>
        <w:autoSpaceDE w:val="0"/>
        <w:autoSpaceDN w:val="0"/>
        <w:adjustRightInd w:val="0"/>
        <w:spacing w:after="0" w:line="240" w:lineRule="auto"/>
        <w:ind w:left="720"/>
        <w:rPr>
          <w:rFonts w:ascii="Times New Roman" w:hAnsi="Times New Roman" w:cs="Times New Roman"/>
          <w:color w:val="000000"/>
        </w:rPr>
      </w:pPr>
    </w:p>
    <w:p w14:paraId="5160B8BF"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408080"/>
        </w:rPr>
      </w:pPr>
      <w:r w:rsidRPr="003C413E">
        <w:rPr>
          <w:rFonts w:ascii="Times New Roman" w:hAnsi="Times New Roman" w:cs="Times New Roman"/>
          <w:color w:val="408080"/>
        </w:rPr>
        <w:t>#DEFINE MODEL PARAMETERS</w:t>
      </w:r>
    </w:p>
    <w:p w14:paraId="069C4C6F"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 xml:space="preserve">LAMBDA, BETA, SIGMA, TAU, PSI, RHO </w:t>
      </w:r>
      <w:r w:rsidRPr="003C413E">
        <w:rPr>
          <w:rFonts w:ascii="Times New Roman" w:hAnsi="Times New Roman" w:cs="Times New Roman"/>
          <w:color w:val="666666"/>
        </w:rPr>
        <w:t xml:space="preserve">= </w:t>
      </w:r>
      <w:r w:rsidRPr="003C413E">
        <w:rPr>
          <w:rFonts w:ascii="Times New Roman" w:hAnsi="Times New Roman" w:cs="Times New Roman"/>
          <w:color w:val="000000"/>
        </w:rPr>
        <w:t>sp</w:t>
      </w:r>
      <w:r w:rsidRPr="003C413E">
        <w:rPr>
          <w:rFonts w:ascii="Times New Roman" w:hAnsi="Times New Roman" w:cs="Times New Roman"/>
          <w:color w:val="666666"/>
        </w:rPr>
        <w:t>.</w:t>
      </w:r>
      <w:r w:rsidRPr="003C413E">
        <w:rPr>
          <w:rFonts w:ascii="Times New Roman" w:hAnsi="Times New Roman" w:cs="Times New Roman"/>
          <w:color w:val="000000"/>
        </w:rPr>
        <w:t>symbols(</w:t>
      </w:r>
      <w:r w:rsidRPr="003C413E">
        <w:rPr>
          <w:rFonts w:ascii="Times New Roman" w:hAnsi="Times New Roman" w:cs="Times New Roman"/>
          <w:color w:val="BB2121"/>
        </w:rPr>
        <w:t>'lambda, beta, sigma, tau, psi, rho'</w:t>
      </w:r>
      <w:r w:rsidRPr="003C413E">
        <w:rPr>
          <w:rFonts w:ascii="Times New Roman" w:hAnsi="Times New Roman" w:cs="Times New Roman"/>
          <w:color w:val="000000"/>
        </w:rPr>
        <w:t>)</w:t>
      </w:r>
    </w:p>
    <w:p w14:paraId="352CF805"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 xml:space="preserve">eq1 </w:t>
      </w:r>
      <w:r w:rsidRPr="003C413E">
        <w:rPr>
          <w:rFonts w:ascii="Times New Roman" w:hAnsi="Times New Roman" w:cs="Times New Roman"/>
          <w:color w:val="666666"/>
        </w:rPr>
        <w:t xml:space="preserve">= </w:t>
      </w:r>
      <w:r w:rsidRPr="003C413E">
        <w:rPr>
          <w:rFonts w:ascii="Times New Roman" w:hAnsi="Times New Roman" w:cs="Times New Roman"/>
          <w:color w:val="000000"/>
        </w:rPr>
        <w:t>Eq((TAU</w:t>
      </w:r>
      <w:r w:rsidRPr="003C413E">
        <w:rPr>
          <w:rFonts w:ascii="Times New Roman" w:hAnsi="Times New Roman" w:cs="Times New Roman"/>
          <w:color w:val="666666"/>
        </w:rPr>
        <w:t>+</w:t>
      </w:r>
      <w:r w:rsidRPr="003C413E">
        <w:rPr>
          <w:rFonts w:ascii="Times New Roman" w:hAnsi="Times New Roman" w:cs="Times New Roman"/>
          <w:color w:val="000000"/>
        </w:rPr>
        <w:t>SIGMA</w:t>
      </w:r>
      <w:r w:rsidRPr="003C413E">
        <w:rPr>
          <w:rFonts w:ascii="Times New Roman" w:hAnsi="Times New Roman" w:cs="Times New Roman"/>
          <w:color w:val="666666"/>
        </w:rPr>
        <w:t>+</w:t>
      </w:r>
      <w:r w:rsidRPr="003C413E">
        <w:rPr>
          <w:rFonts w:ascii="Times New Roman" w:hAnsi="Times New Roman" w:cs="Times New Roman"/>
          <w:color w:val="000000"/>
        </w:rPr>
        <w:t>PSI)</w:t>
      </w:r>
      <w:r w:rsidRPr="003C413E">
        <w:rPr>
          <w:rFonts w:ascii="Times New Roman" w:hAnsi="Times New Roman" w:cs="Times New Roman"/>
          <w:color w:val="666666"/>
        </w:rPr>
        <w:t>*</w:t>
      </w:r>
      <w:r w:rsidRPr="003C413E">
        <w:rPr>
          <w:rFonts w:ascii="Times New Roman" w:hAnsi="Times New Roman" w:cs="Times New Roman"/>
          <w:color w:val="000000"/>
        </w:rPr>
        <w:t xml:space="preserve">S </w:t>
      </w:r>
      <w:r w:rsidRPr="003C413E">
        <w:rPr>
          <w:rFonts w:ascii="Times New Roman" w:hAnsi="Times New Roman" w:cs="Times New Roman"/>
          <w:color w:val="666666"/>
        </w:rPr>
        <w:t xml:space="preserve">+ </w:t>
      </w:r>
      <w:r w:rsidRPr="003C413E">
        <w:rPr>
          <w:rFonts w:ascii="Times New Roman" w:hAnsi="Times New Roman" w:cs="Times New Roman"/>
          <w:color w:val="000000"/>
        </w:rPr>
        <w:t>(PSI</w:t>
      </w:r>
      <w:r w:rsidRPr="003C413E">
        <w:rPr>
          <w:rFonts w:ascii="Times New Roman" w:hAnsi="Times New Roman" w:cs="Times New Roman"/>
          <w:color w:val="666666"/>
        </w:rPr>
        <w:t>+</w:t>
      </w:r>
      <w:r w:rsidRPr="003C413E">
        <w:rPr>
          <w:rFonts w:ascii="Times New Roman" w:hAnsi="Times New Roman" w:cs="Times New Roman"/>
          <w:color w:val="000000"/>
        </w:rPr>
        <w:t>SIGMA)</w:t>
      </w:r>
      <w:r w:rsidRPr="003C413E">
        <w:rPr>
          <w:rFonts w:ascii="Times New Roman" w:hAnsi="Times New Roman" w:cs="Times New Roman"/>
          <w:color w:val="666666"/>
        </w:rPr>
        <w:t>*</w:t>
      </w:r>
      <w:r w:rsidRPr="003C413E">
        <w:rPr>
          <w:rFonts w:ascii="Times New Roman" w:hAnsi="Times New Roman" w:cs="Times New Roman"/>
          <w:color w:val="000000"/>
        </w:rPr>
        <w:t xml:space="preserve">A </w:t>
      </w:r>
      <w:r w:rsidRPr="003C413E">
        <w:rPr>
          <w:rFonts w:ascii="Times New Roman" w:hAnsi="Times New Roman" w:cs="Times New Roman"/>
          <w:color w:val="666666"/>
        </w:rPr>
        <w:t xml:space="preserve">- </w:t>
      </w:r>
      <w:r w:rsidRPr="003C413E">
        <w:rPr>
          <w:rFonts w:ascii="Times New Roman" w:hAnsi="Times New Roman" w:cs="Times New Roman"/>
          <w:color w:val="000000"/>
        </w:rPr>
        <w:t>LAMBDA</w:t>
      </w:r>
      <w:r w:rsidRPr="003C413E">
        <w:rPr>
          <w:rFonts w:ascii="Times New Roman" w:hAnsi="Times New Roman" w:cs="Times New Roman"/>
          <w:color w:val="666666"/>
        </w:rPr>
        <w:t>*</w:t>
      </w:r>
      <w:r w:rsidRPr="003C413E">
        <w:rPr>
          <w:rFonts w:ascii="Times New Roman" w:hAnsi="Times New Roman" w:cs="Times New Roman"/>
          <w:color w:val="000000"/>
        </w:rPr>
        <w:t>U)</w:t>
      </w:r>
    </w:p>
    <w:p w14:paraId="1933AC6A"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 xml:space="preserve">eq2 </w:t>
      </w:r>
      <w:r w:rsidRPr="003C413E">
        <w:rPr>
          <w:rFonts w:ascii="Times New Roman" w:hAnsi="Times New Roman" w:cs="Times New Roman"/>
          <w:color w:val="666666"/>
        </w:rPr>
        <w:t xml:space="preserve">= </w:t>
      </w:r>
      <w:r w:rsidRPr="003C413E">
        <w:rPr>
          <w:rFonts w:ascii="Times New Roman" w:hAnsi="Times New Roman" w:cs="Times New Roman"/>
          <w:color w:val="000000"/>
        </w:rPr>
        <w:t>Eq(</w:t>
      </w:r>
      <w:r w:rsidRPr="003C413E">
        <w:rPr>
          <w:rFonts w:ascii="Times New Roman" w:hAnsi="Times New Roman" w:cs="Times New Roman"/>
          <w:color w:val="666666"/>
        </w:rPr>
        <w:t>-</w:t>
      </w:r>
      <w:r w:rsidRPr="003C413E">
        <w:rPr>
          <w:rFonts w:ascii="Times New Roman" w:hAnsi="Times New Roman" w:cs="Times New Roman"/>
          <w:color w:val="000000"/>
        </w:rPr>
        <w:t>(PSI</w:t>
      </w:r>
      <w:r w:rsidRPr="003C413E">
        <w:rPr>
          <w:rFonts w:ascii="Times New Roman" w:hAnsi="Times New Roman" w:cs="Times New Roman"/>
          <w:color w:val="666666"/>
        </w:rPr>
        <w:t>+</w:t>
      </w:r>
      <w:r w:rsidRPr="003C413E">
        <w:rPr>
          <w:rFonts w:ascii="Times New Roman" w:hAnsi="Times New Roman" w:cs="Times New Roman"/>
          <w:color w:val="000000"/>
        </w:rPr>
        <w:t>SIGMA)</w:t>
      </w:r>
      <w:r w:rsidRPr="003C413E">
        <w:rPr>
          <w:rFonts w:ascii="Times New Roman" w:hAnsi="Times New Roman" w:cs="Times New Roman"/>
          <w:color w:val="666666"/>
        </w:rPr>
        <w:t>*</w:t>
      </w:r>
      <w:r w:rsidRPr="003C413E">
        <w:rPr>
          <w:rFonts w:ascii="Times New Roman" w:hAnsi="Times New Roman" w:cs="Times New Roman"/>
          <w:color w:val="000000"/>
        </w:rPr>
        <w:t xml:space="preserve">A </w:t>
      </w:r>
      <w:r w:rsidRPr="003C413E">
        <w:rPr>
          <w:rFonts w:ascii="Times New Roman" w:hAnsi="Times New Roman" w:cs="Times New Roman"/>
          <w:color w:val="666666"/>
        </w:rPr>
        <w:t xml:space="preserve">+ </w:t>
      </w:r>
      <w:r w:rsidRPr="003C413E">
        <w:rPr>
          <w:rFonts w:ascii="Times New Roman" w:hAnsi="Times New Roman" w:cs="Times New Roman"/>
          <w:color w:val="000000"/>
        </w:rPr>
        <w:t>LAMBDA</w:t>
      </w:r>
      <w:r w:rsidRPr="003C413E">
        <w:rPr>
          <w:rFonts w:ascii="Times New Roman" w:hAnsi="Times New Roman" w:cs="Times New Roman"/>
          <w:color w:val="666666"/>
        </w:rPr>
        <w:t>*</w:t>
      </w:r>
      <w:r w:rsidRPr="003C413E">
        <w:rPr>
          <w:rFonts w:ascii="Times New Roman" w:hAnsi="Times New Roman" w:cs="Times New Roman"/>
          <w:color w:val="000000"/>
        </w:rPr>
        <w:t xml:space="preserve">BETA </w:t>
      </w:r>
      <w:r w:rsidRPr="003C413E">
        <w:rPr>
          <w:rFonts w:ascii="Times New Roman" w:hAnsi="Times New Roman" w:cs="Times New Roman"/>
          <w:color w:val="666666"/>
        </w:rPr>
        <w:t>*</w:t>
      </w:r>
      <w:r w:rsidRPr="003C413E">
        <w:rPr>
          <w:rFonts w:ascii="Times New Roman" w:hAnsi="Times New Roman" w:cs="Times New Roman"/>
          <w:color w:val="000000"/>
        </w:rPr>
        <w:t>U )</w:t>
      </w:r>
    </w:p>
    <w:p w14:paraId="6E6A14C1"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 xml:space="preserve">eq3 </w:t>
      </w:r>
      <w:r w:rsidRPr="003C413E">
        <w:rPr>
          <w:rFonts w:ascii="Times New Roman" w:hAnsi="Times New Roman" w:cs="Times New Roman"/>
          <w:color w:val="666666"/>
        </w:rPr>
        <w:t xml:space="preserve">= </w:t>
      </w:r>
      <w:r w:rsidRPr="003C413E">
        <w:rPr>
          <w:rFonts w:ascii="Times New Roman" w:hAnsi="Times New Roman" w:cs="Times New Roman"/>
          <w:color w:val="000000"/>
        </w:rPr>
        <w:t>Eq(</w:t>
      </w:r>
      <w:r w:rsidRPr="003C413E">
        <w:rPr>
          <w:rFonts w:ascii="Times New Roman" w:hAnsi="Times New Roman" w:cs="Times New Roman"/>
          <w:color w:val="666666"/>
        </w:rPr>
        <w:t>-</w:t>
      </w:r>
      <w:r w:rsidRPr="003C413E">
        <w:rPr>
          <w:rFonts w:ascii="Times New Roman" w:hAnsi="Times New Roman" w:cs="Times New Roman"/>
          <w:color w:val="000000"/>
        </w:rPr>
        <w:t>(TAU</w:t>
      </w:r>
      <w:r w:rsidRPr="003C413E">
        <w:rPr>
          <w:rFonts w:ascii="Times New Roman" w:hAnsi="Times New Roman" w:cs="Times New Roman"/>
          <w:color w:val="666666"/>
        </w:rPr>
        <w:t>+</w:t>
      </w:r>
      <w:r w:rsidRPr="003C413E">
        <w:rPr>
          <w:rFonts w:ascii="Times New Roman" w:hAnsi="Times New Roman" w:cs="Times New Roman"/>
          <w:color w:val="000000"/>
        </w:rPr>
        <w:t>SIGMA</w:t>
      </w:r>
      <w:r w:rsidRPr="003C413E">
        <w:rPr>
          <w:rFonts w:ascii="Times New Roman" w:hAnsi="Times New Roman" w:cs="Times New Roman"/>
          <w:color w:val="666666"/>
        </w:rPr>
        <w:t>+</w:t>
      </w:r>
      <w:r w:rsidRPr="003C413E">
        <w:rPr>
          <w:rFonts w:ascii="Times New Roman" w:hAnsi="Times New Roman" w:cs="Times New Roman"/>
          <w:color w:val="000000"/>
        </w:rPr>
        <w:t>PSI)</w:t>
      </w:r>
      <w:r w:rsidRPr="003C413E">
        <w:rPr>
          <w:rFonts w:ascii="Times New Roman" w:hAnsi="Times New Roman" w:cs="Times New Roman"/>
          <w:color w:val="666666"/>
        </w:rPr>
        <w:t>*</w:t>
      </w:r>
      <w:r w:rsidRPr="003C413E">
        <w:rPr>
          <w:rFonts w:ascii="Times New Roman" w:hAnsi="Times New Roman" w:cs="Times New Roman"/>
          <w:color w:val="000000"/>
        </w:rPr>
        <w:t xml:space="preserve">S </w:t>
      </w:r>
      <w:r w:rsidRPr="003C413E">
        <w:rPr>
          <w:rFonts w:ascii="Times New Roman" w:hAnsi="Times New Roman" w:cs="Times New Roman"/>
          <w:color w:val="666666"/>
        </w:rPr>
        <w:t xml:space="preserve">+ </w:t>
      </w:r>
      <w:r w:rsidRPr="003C413E">
        <w:rPr>
          <w:rFonts w:ascii="Times New Roman" w:hAnsi="Times New Roman" w:cs="Times New Roman"/>
          <w:color w:val="000000"/>
        </w:rPr>
        <w:t>LAMBDA</w:t>
      </w:r>
      <w:r w:rsidRPr="003C413E">
        <w:rPr>
          <w:rFonts w:ascii="Times New Roman" w:hAnsi="Times New Roman" w:cs="Times New Roman"/>
          <w:color w:val="666666"/>
        </w:rPr>
        <w:t>*</w:t>
      </w:r>
      <w:r w:rsidRPr="003C413E">
        <w:rPr>
          <w:rFonts w:ascii="Times New Roman" w:hAnsi="Times New Roman" w:cs="Times New Roman"/>
          <w:color w:val="000000"/>
        </w:rPr>
        <w:t>(</w:t>
      </w:r>
      <w:r w:rsidRPr="003C413E">
        <w:rPr>
          <w:rFonts w:ascii="Times New Roman" w:hAnsi="Times New Roman" w:cs="Times New Roman"/>
          <w:color w:val="666666"/>
        </w:rPr>
        <w:t xml:space="preserve">1 - </w:t>
      </w:r>
      <w:r w:rsidRPr="003C413E">
        <w:rPr>
          <w:rFonts w:ascii="Times New Roman" w:hAnsi="Times New Roman" w:cs="Times New Roman"/>
          <w:color w:val="000000"/>
        </w:rPr>
        <w:t>BETA)</w:t>
      </w:r>
      <w:r w:rsidRPr="003C413E">
        <w:rPr>
          <w:rFonts w:ascii="Times New Roman" w:hAnsi="Times New Roman" w:cs="Times New Roman"/>
          <w:color w:val="666666"/>
        </w:rPr>
        <w:t>*</w:t>
      </w:r>
      <w:r w:rsidRPr="003C413E">
        <w:rPr>
          <w:rFonts w:ascii="Times New Roman" w:hAnsi="Times New Roman" w:cs="Times New Roman"/>
          <w:color w:val="000000"/>
        </w:rPr>
        <w:t>U )</w:t>
      </w:r>
    </w:p>
    <w:p w14:paraId="76AB1D6E"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eq4</w:t>
      </w:r>
      <w:r w:rsidRPr="003C413E">
        <w:rPr>
          <w:rFonts w:ascii="Times New Roman" w:hAnsi="Times New Roman" w:cs="Times New Roman"/>
          <w:color w:val="666666"/>
        </w:rPr>
        <w:t xml:space="preserve">= </w:t>
      </w:r>
      <w:r w:rsidRPr="003C413E">
        <w:rPr>
          <w:rFonts w:ascii="Times New Roman" w:hAnsi="Times New Roman" w:cs="Times New Roman"/>
          <w:color w:val="000000"/>
        </w:rPr>
        <w:t>Eq(A</w:t>
      </w:r>
      <w:r w:rsidRPr="003C413E">
        <w:rPr>
          <w:rFonts w:ascii="Times New Roman" w:hAnsi="Times New Roman" w:cs="Times New Roman"/>
          <w:color w:val="666666"/>
        </w:rPr>
        <w:t>+</w:t>
      </w:r>
      <w:r w:rsidRPr="003C413E">
        <w:rPr>
          <w:rFonts w:ascii="Times New Roman" w:hAnsi="Times New Roman" w:cs="Times New Roman"/>
          <w:color w:val="000000"/>
        </w:rPr>
        <w:t>S</w:t>
      </w:r>
      <w:r w:rsidRPr="003C413E">
        <w:rPr>
          <w:rFonts w:ascii="Times New Roman" w:hAnsi="Times New Roman" w:cs="Times New Roman"/>
          <w:color w:val="666666"/>
        </w:rPr>
        <w:t>+</w:t>
      </w:r>
      <w:r w:rsidRPr="003C413E">
        <w:rPr>
          <w:rFonts w:ascii="Times New Roman" w:hAnsi="Times New Roman" w:cs="Times New Roman"/>
          <w:color w:val="000000"/>
        </w:rPr>
        <w:t>U, N)</w:t>
      </w:r>
    </w:p>
    <w:p w14:paraId="1D9505C4"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eq5</w:t>
      </w:r>
      <w:r w:rsidRPr="003C413E">
        <w:rPr>
          <w:rFonts w:ascii="Times New Roman" w:hAnsi="Times New Roman" w:cs="Times New Roman"/>
          <w:color w:val="666666"/>
        </w:rPr>
        <w:t xml:space="preserve">= </w:t>
      </w:r>
      <w:r w:rsidRPr="003C413E">
        <w:rPr>
          <w:rFonts w:ascii="Times New Roman" w:hAnsi="Times New Roman" w:cs="Times New Roman"/>
          <w:color w:val="000000"/>
        </w:rPr>
        <w:t>Eq(RHO</w:t>
      </w:r>
      <w:r w:rsidRPr="003C413E">
        <w:rPr>
          <w:rFonts w:ascii="Times New Roman" w:hAnsi="Times New Roman" w:cs="Times New Roman"/>
          <w:color w:val="666666"/>
        </w:rPr>
        <w:t>*</w:t>
      </w:r>
      <w:r w:rsidRPr="003C413E">
        <w:rPr>
          <w:rFonts w:ascii="Times New Roman" w:hAnsi="Times New Roman" w:cs="Times New Roman"/>
          <w:color w:val="000000"/>
        </w:rPr>
        <w:t>((SIGMA</w:t>
      </w:r>
      <w:r w:rsidRPr="003C413E">
        <w:rPr>
          <w:rFonts w:ascii="Times New Roman" w:hAnsi="Times New Roman" w:cs="Times New Roman"/>
          <w:color w:val="666666"/>
        </w:rPr>
        <w:t>+</w:t>
      </w:r>
      <w:r w:rsidRPr="003C413E">
        <w:rPr>
          <w:rFonts w:ascii="Times New Roman" w:hAnsi="Times New Roman" w:cs="Times New Roman"/>
          <w:color w:val="000000"/>
        </w:rPr>
        <w:t>TAU)</w:t>
      </w:r>
      <w:r w:rsidRPr="003C413E">
        <w:rPr>
          <w:rFonts w:ascii="Times New Roman" w:hAnsi="Times New Roman" w:cs="Times New Roman"/>
          <w:color w:val="666666"/>
        </w:rPr>
        <w:t>*</w:t>
      </w:r>
      <w:r w:rsidRPr="003C413E">
        <w:rPr>
          <w:rFonts w:ascii="Times New Roman" w:hAnsi="Times New Roman" w:cs="Times New Roman"/>
          <w:color w:val="000000"/>
        </w:rPr>
        <w:t xml:space="preserve">S </w:t>
      </w:r>
      <w:r w:rsidRPr="003C413E">
        <w:rPr>
          <w:rFonts w:ascii="Times New Roman" w:hAnsi="Times New Roman" w:cs="Times New Roman"/>
          <w:color w:val="666666"/>
        </w:rPr>
        <w:t>+</w:t>
      </w:r>
      <w:r w:rsidRPr="003C413E">
        <w:rPr>
          <w:rFonts w:ascii="Times New Roman" w:hAnsi="Times New Roman" w:cs="Times New Roman"/>
          <w:color w:val="000000"/>
        </w:rPr>
        <w:t>SIGMA</w:t>
      </w:r>
      <w:r w:rsidRPr="003C413E">
        <w:rPr>
          <w:rFonts w:ascii="Times New Roman" w:hAnsi="Times New Roman" w:cs="Times New Roman"/>
          <w:color w:val="666666"/>
        </w:rPr>
        <w:t>*</w:t>
      </w:r>
      <w:r w:rsidRPr="003C413E">
        <w:rPr>
          <w:rFonts w:ascii="Times New Roman" w:hAnsi="Times New Roman" w:cs="Times New Roman"/>
          <w:color w:val="000000"/>
        </w:rPr>
        <w:t>A) , K)</w:t>
      </w:r>
    </w:p>
    <w:p w14:paraId="790AECF8"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display(eq1, eq2, eq3, eq4, eq5)</w:t>
      </w:r>
    </w:p>
    <w:p w14:paraId="3331CBD9" w14:textId="77777777" w:rsidR="00717A61" w:rsidRPr="003C413E" w:rsidRDefault="00717A61" w:rsidP="00717A61">
      <w:pPr>
        <w:autoSpaceDE w:val="0"/>
        <w:autoSpaceDN w:val="0"/>
        <w:adjustRightInd w:val="0"/>
        <w:spacing w:after="0" w:line="240" w:lineRule="auto"/>
        <w:rPr>
          <w:rFonts w:ascii="Times New Roman" w:hAnsi="Times New Roman" w:cs="Times New Roman"/>
          <w:color w:val="000000"/>
        </w:rPr>
      </w:pPr>
    </w:p>
    <w:p w14:paraId="18661116" w14:textId="77777777" w:rsidR="00717A61" w:rsidRPr="003C413E" w:rsidRDefault="00717A61" w:rsidP="00717A61">
      <w:pPr>
        <w:autoSpaceDE w:val="0"/>
        <w:autoSpaceDN w:val="0"/>
        <w:adjustRightInd w:val="0"/>
        <w:spacing w:after="0" w:line="240" w:lineRule="auto"/>
        <w:rPr>
          <w:rFonts w:ascii="Times New Roman" w:eastAsiaTheme="minorEastAsia" w:hAnsi="Times New Roman" w:cs="Times New Roman"/>
          <w:color w:val="000000"/>
        </w:rPr>
      </w:pPr>
      <m:oMathPara>
        <m:oMath>
          <m:r>
            <w:rPr>
              <w:rFonts w:ascii="Cambria Math" w:hAnsi="Cambria Math" w:cs="Times New Roman"/>
              <w:color w:val="000000"/>
            </w:rPr>
            <m:t xml:space="preserve">A </m:t>
          </m:r>
          <m:d>
            <m:dPr>
              <m:ctrlPr>
                <w:rPr>
                  <w:rFonts w:ascii="Cambria Math" w:hAnsi="Cambria Math" w:cs="Times New Roman"/>
                  <w:i/>
                  <w:color w:val="000000"/>
                </w:rPr>
              </m:ctrlPr>
            </m:dPr>
            <m:e>
              <m:r>
                <w:rPr>
                  <w:rFonts w:ascii="Cambria Math" w:hAnsi="Cambria Math" w:cs="Times New Roman"/>
                  <w:color w:val="000000"/>
                </w:rPr>
                <m:t>ψ + σ</m:t>
              </m:r>
            </m:e>
          </m:d>
          <m:r>
            <w:rPr>
              <w:rFonts w:ascii="Cambria Math" w:hAnsi="Cambria Math" w:cs="Times New Roman"/>
              <w:color w:val="000000"/>
            </w:rPr>
            <m:t xml:space="preserve">+ S </m:t>
          </m:r>
          <m:d>
            <m:dPr>
              <m:ctrlPr>
                <w:rPr>
                  <w:rFonts w:ascii="Cambria Math" w:hAnsi="Cambria Math" w:cs="Times New Roman"/>
                  <w:i/>
                  <w:color w:val="000000"/>
                </w:rPr>
              </m:ctrlPr>
            </m:dPr>
            <m:e>
              <m:r>
                <w:rPr>
                  <w:rFonts w:ascii="Cambria Math" w:hAnsi="Cambria Math" w:cs="Times New Roman"/>
                  <w:color w:val="000000"/>
                </w:rPr>
                <m:t>ψ + σ + τ</m:t>
              </m:r>
            </m:e>
          </m:d>
          <m:r>
            <w:rPr>
              <w:rFonts w:ascii="Cambria Math" w:eastAsia="Cambria Math" w:hAnsi="Cambria Math" w:cs="Times New Roman"/>
              <w:color w:val="000000"/>
            </w:rPr>
            <m:t>-</m:t>
          </m:r>
          <m:r>
            <w:rPr>
              <w:rFonts w:ascii="Cambria Math" w:hAnsi="Cambria Math" w:cs="Times New Roman"/>
              <w:color w:val="000000"/>
            </w:rPr>
            <m:t>Uλ = 0</m:t>
          </m:r>
        </m:oMath>
      </m:oMathPara>
    </w:p>
    <w:p w14:paraId="1EAA36E3" w14:textId="77777777" w:rsidR="00717A61" w:rsidRPr="003C413E" w:rsidRDefault="00717A61" w:rsidP="00717A61">
      <w:pPr>
        <w:autoSpaceDE w:val="0"/>
        <w:autoSpaceDN w:val="0"/>
        <w:adjustRightInd w:val="0"/>
        <w:spacing w:after="0" w:line="240" w:lineRule="auto"/>
        <w:rPr>
          <w:rFonts w:ascii="Cambria Math" w:hAnsi="Cambria Math" w:cs="Times New Roman"/>
          <w:color w:val="000000"/>
          <w:oMath/>
        </w:rPr>
      </w:pPr>
    </w:p>
    <w:p w14:paraId="0308574B" w14:textId="77777777" w:rsidR="00717A61" w:rsidRPr="003C413E" w:rsidRDefault="00717A61" w:rsidP="00717A61">
      <w:pPr>
        <w:autoSpaceDE w:val="0"/>
        <w:autoSpaceDN w:val="0"/>
        <w:adjustRightInd w:val="0"/>
        <w:spacing w:after="0" w:line="240" w:lineRule="auto"/>
        <w:rPr>
          <w:rFonts w:ascii="Cambria Math" w:hAnsi="Cambria Math" w:cs="Times New Roman"/>
          <w:color w:val="000000"/>
          <w:oMath/>
        </w:rPr>
      </w:pPr>
      <m:oMathPara>
        <m:oMath>
          <m:r>
            <w:rPr>
              <w:rFonts w:ascii="Cambria Math" w:hAnsi="Cambria Math" w:cs="Times New Roman"/>
              <w:color w:val="000000"/>
            </w:rPr>
            <m:t>A (</m:t>
          </m:r>
          <m:r>
            <w:rPr>
              <w:rFonts w:ascii="Cambria Math" w:eastAsia="Cambria Math" w:hAnsi="Cambria Math" w:cs="Times New Roman"/>
              <w:color w:val="000000"/>
            </w:rPr>
            <m:t>-</m:t>
          </m:r>
          <m:r>
            <w:rPr>
              <w:rFonts w:ascii="Cambria Math" w:hAnsi="Cambria Math" w:cs="Times New Roman"/>
              <w:color w:val="000000"/>
            </w:rPr>
            <m:t>ψ</m:t>
          </m:r>
          <m:r>
            <w:rPr>
              <w:rFonts w:ascii="Cambria Math" w:eastAsia="Cambria Math" w:hAnsi="Cambria Math" w:cs="Times New Roman"/>
              <w:color w:val="000000"/>
            </w:rPr>
            <m:t>-</m:t>
          </m:r>
          <m:r>
            <w:rPr>
              <w:rFonts w:ascii="Cambria Math" w:hAnsi="Cambria Math" w:cs="Times New Roman"/>
              <w:color w:val="000000"/>
            </w:rPr>
            <m:t xml:space="preserve"> σ) + Uβλ = 0</m:t>
          </m:r>
        </m:oMath>
      </m:oMathPara>
    </w:p>
    <w:p w14:paraId="72098DE4" w14:textId="77777777" w:rsidR="00717A61" w:rsidRPr="003C413E" w:rsidRDefault="00717A61" w:rsidP="00717A61">
      <w:pPr>
        <w:autoSpaceDE w:val="0"/>
        <w:autoSpaceDN w:val="0"/>
        <w:adjustRightInd w:val="0"/>
        <w:spacing w:after="0" w:line="240" w:lineRule="auto"/>
        <w:rPr>
          <w:rFonts w:ascii="Cambria Math" w:hAnsi="Cambria Math" w:cs="Times New Roman"/>
          <w:color w:val="000000"/>
          <w:oMath/>
        </w:rPr>
      </w:pPr>
    </w:p>
    <w:p w14:paraId="73956621" w14:textId="77777777" w:rsidR="00717A61" w:rsidRPr="003C413E" w:rsidRDefault="00717A61" w:rsidP="00717A61">
      <w:pPr>
        <w:autoSpaceDE w:val="0"/>
        <w:autoSpaceDN w:val="0"/>
        <w:adjustRightInd w:val="0"/>
        <w:spacing w:after="0" w:line="240" w:lineRule="auto"/>
        <w:rPr>
          <w:rFonts w:ascii="Times New Roman" w:eastAsiaTheme="minorEastAsia" w:hAnsi="Times New Roman" w:cs="Times New Roman"/>
          <w:color w:val="000000"/>
        </w:rPr>
      </w:pPr>
      <m:oMathPara>
        <m:oMath>
          <m:r>
            <w:rPr>
              <w:rFonts w:ascii="Cambria Math" w:hAnsi="Cambria Math" w:cs="Times New Roman"/>
              <w:color w:val="000000"/>
            </w:rPr>
            <m:t>S (</m:t>
          </m:r>
          <m:r>
            <w:rPr>
              <w:rFonts w:ascii="Cambria Math" w:eastAsia="Cambria Math" w:hAnsi="Cambria Math" w:cs="Times New Roman"/>
              <w:color w:val="000000"/>
            </w:rPr>
            <m:t>-</m:t>
          </m:r>
          <m:r>
            <w:rPr>
              <w:rFonts w:ascii="Cambria Math" w:hAnsi="Cambria Math" w:cs="Times New Roman"/>
              <w:color w:val="000000"/>
            </w:rPr>
            <m:t>ψ</m:t>
          </m:r>
          <m:r>
            <w:rPr>
              <w:rFonts w:ascii="Cambria Math" w:eastAsia="Cambria Math" w:hAnsi="Cambria Math" w:cs="Times New Roman"/>
              <w:color w:val="000000"/>
            </w:rPr>
            <m:t>-</m:t>
          </m:r>
          <m:r>
            <w:rPr>
              <w:rFonts w:ascii="Cambria Math" w:hAnsi="Cambria Math" w:cs="Times New Roman"/>
              <w:color w:val="000000"/>
            </w:rPr>
            <m:t xml:space="preserve"> σ</m:t>
          </m:r>
          <m:r>
            <w:rPr>
              <w:rFonts w:ascii="Cambria Math" w:eastAsia="Cambria Math" w:hAnsi="Cambria Math" w:cs="Times New Roman"/>
              <w:color w:val="000000"/>
            </w:rPr>
            <m:t>-</m:t>
          </m:r>
          <m:r>
            <w:rPr>
              <w:rFonts w:ascii="Cambria Math" w:hAnsi="Cambria Math" w:cs="Times New Roman"/>
              <w:color w:val="000000"/>
            </w:rPr>
            <m:t xml:space="preserve"> τ) + Uλ (</m:t>
          </m:r>
          <m:r>
            <w:rPr>
              <w:rFonts w:ascii="Cambria Math" w:eastAsia="Cambria Math" w:hAnsi="Cambria Math" w:cs="Times New Roman"/>
              <w:color w:val="000000"/>
            </w:rPr>
            <m:t>-</m:t>
          </m:r>
          <m:r>
            <w:rPr>
              <w:rFonts w:ascii="Cambria Math" w:hAnsi="Cambria Math" w:cs="Times New Roman"/>
              <w:color w:val="000000"/>
            </w:rPr>
            <m:t>β+ 1) = 0</m:t>
          </m:r>
        </m:oMath>
      </m:oMathPara>
    </w:p>
    <w:p w14:paraId="457BEBF6" w14:textId="77777777" w:rsidR="00717A61" w:rsidRPr="003C413E" w:rsidRDefault="00717A61" w:rsidP="00717A61">
      <w:pPr>
        <w:autoSpaceDE w:val="0"/>
        <w:autoSpaceDN w:val="0"/>
        <w:adjustRightInd w:val="0"/>
        <w:spacing w:after="0" w:line="240" w:lineRule="auto"/>
        <w:rPr>
          <w:rFonts w:ascii="Cambria Math" w:hAnsi="Cambria Math" w:cs="Times New Roman"/>
          <w:color w:val="000000"/>
          <w:oMath/>
        </w:rPr>
      </w:pPr>
    </w:p>
    <w:p w14:paraId="3E180C77" w14:textId="77777777" w:rsidR="00717A61" w:rsidRPr="003C413E" w:rsidRDefault="00717A61" w:rsidP="00717A61">
      <w:pPr>
        <w:autoSpaceDE w:val="0"/>
        <w:autoSpaceDN w:val="0"/>
        <w:adjustRightInd w:val="0"/>
        <w:spacing w:after="0" w:line="240" w:lineRule="auto"/>
        <w:rPr>
          <w:rFonts w:ascii="Times New Roman" w:eastAsiaTheme="minorEastAsia" w:hAnsi="Times New Roman" w:cs="Times New Roman"/>
          <w:color w:val="000000"/>
        </w:rPr>
      </w:pPr>
      <m:oMathPara>
        <m:oMath>
          <m:r>
            <w:rPr>
              <w:rFonts w:ascii="Cambria Math" w:hAnsi="Cambria Math" w:cs="Times New Roman"/>
              <w:color w:val="000000"/>
            </w:rPr>
            <m:t>A + S + U = N</m:t>
          </m:r>
        </m:oMath>
      </m:oMathPara>
    </w:p>
    <w:p w14:paraId="3BA311BD" w14:textId="77777777" w:rsidR="00717A61" w:rsidRPr="003C413E" w:rsidRDefault="00717A61" w:rsidP="00717A61">
      <w:pPr>
        <w:autoSpaceDE w:val="0"/>
        <w:autoSpaceDN w:val="0"/>
        <w:adjustRightInd w:val="0"/>
        <w:spacing w:after="0" w:line="240" w:lineRule="auto"/>
        <w:rPr>
          <w:rFonts w:ascii="Cambria Math" w:hAnsi="Cambria Math" w:cs="Times New Roman"/>
          <w:color w:val="000000"/>
          <w:oMath/>
        </w:rPr>
      </w:pPr>
    </w:p>
    <w:p w14:paraId="79EC57B3" w14:textId="77777777" w:rsidR="00717A61" w:rsidRPr="003C413E" w:rsidRDefault="00717A61" w:rsidP="00717A61">
      <w:pPr>
        <w:autoSpaceDE w:val="0"/>
        <w:autoSpaceDN w:val="0"/>
        <w:adjustRightInd w:val="0"/>
        <w:spacing w:after="0" w:line="240" w:lineRule="auto"/>
        <w:rPr>
          <w:rFonts w:ascii="Times New Roman" w:eastAsiaTheme="minorEastAsia" w:hAnsi="Times New Roman" w:cs="Times New Roman"/>
          <w:color w:val="000000"/>
        </w:rPr>
      </w:pPr>
      <m:oMathPara>
        <m:oMath>
          <m:r>
            <w:rPr>
              <w:rFonts w:ascii="Cambria Math" w:hAnsi="Cambria Math" w:cs="Times New Roman"/>
              <w:color w:val="000000"/>
            </w:rPr>
            <m:t>ρ (Aσ + S (σ +τ)) = K</m:t>
          </m:r>
        </m:oMath>
      </m:oMathPara>
    </w:p>
    <w:p w14:paraId="7AED5846" w14:textId="77777777" w:rsidR="00717A61" w:rsidRPr="003C413E" w:rsidRDefault="00717A61" w:rsidP="00536DE1">
      <w:pPr>
        <w:autoSpaceDE w:val="0"/>
        <w:autoSpaceDN w:val="0"/>
        <w:adjustRightInd w:val="0"/>
        <w:spacing w:after="0" w:line="360" w:lineRule="auto"/>
        <w:rPr>
          <w:rFonts w:ascii="Cambria Math" w:hAnsi="Cambria Math" w:cs="Times New Roman"/>
          <w:color w:val="000000"/>
          <w:oMath/>
        </w:rPr>
      </w:pPr>
    </w:p>
    <w:p w14:paraId="6FC76311" w14:textId="4AA4F08D"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We use the sympy function solve to find the solutions as shown below. These solutions are then</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used to estimate incidence and prevalence (further below). We are able to formulate prevalence</w:t>
      </w:r>
      <w:r w:rsidR="00092046" w:rsidRPr="003C413E">
        <w:rPr>
          <w:rFonts w:ascii="Times New Roman" w:hAnsi="Times New Roman" w:cs="Times New Roman"/>
          <w:color w:val="000000"/>
        </w:rPr>
        <w:t xml:space="preserve"> </w:t>
      </w:r>
      <w:r w:rsidRPr="003C413E">
        <w:rPr>
          <w:rFonts w:ascii="Times New Roman" w:hAnsi="Times New Roman" w:cs="Times New Roman"/>
          <w:color w:val="000000"/>
        </w:rPr>
        <w:t>from the state variables where</w:t>
      </w:r>
      <m:oMath>
        <m:r>
          <w:rPr>
            <w:rFonts w:ascii="Cambria Math" w:hAnsi="Cambria Math" w:cs="Times New Roman"/>
            <w:color w:val="000000"/>
          </w:rPr>
          <m:t xml:space="preserve"> P = </m:t>
        </m:r>
        <m:f>
          <m:fPr>
            <m:ctrlPr>
              <w:rPr>
                <w:rFonts w:ascii="Cambria Math" w:hAnsi="Cambria Math" w:cs="Times New Roman"/>
                <w:i/>
                <w:color w:val="000000"/>
              </w:rPr>
            </m:ctrlPr>
          </m:fPr>
          <m:num>
            <m:r>
              <w:rPr>
                <w:rFonts w:ascii="Cambria Math" w:hAnsi="Cambria Math" w:cs="Times New Roman"/>
                <w:color w:val="000000"/>
              </w:rPr>
              <m:t>A+S</m:t>
            </m:r>
          </m:num>
          <m:den>
            <m:r>
              <w:rPr>
                <w:rFonts w:ascii="Cambria Math" w:hAnsi="Cambria Math" w:cs="Times New Roman"/>
                <w:color w:val="000000"/>
              </w:rPr>
              <m:t>A+S+U</m:t>
            </m:r>
          </m:den>
        </m:f>
      </m:oMath>
      <w:r w:rsidRPr="003C413E">
        <w:rPr>
          <w:rFonts w:ascii="Times New Roman" w:hAnsi="Times New Roman" w:cs="Times New Roman"/>
          <w:color w:val="000000"/>
        </w:rPr>
        <w:t>.</w:t>
      </w:r>
    </w:p>
    <w:p w14:paraId="4F3074EB" w14:textId="77777777" w:rsidR="00717A61" w:rsidRPr="003C413E" w:rsidRDefault="00717A61" w:rsidP="00717A61">
      <w:pPr>
        <w:autoSpaceDE w:val="0"/>
        <w:autoSpaceDN w:val="0"/>
        <w:adjustRightInd w:val="0"/>
        <w:spacing w:after="0" w:line="240" w:lineRule="auto"/>
        <w:rPr>
          <w:rFonts w:ascii="Times New Roman" w:eastAsiaTheme="minorEastAsia" w:hAnsi="Times New Roman" w:cs="Times New Roman"/>
          <w:color w:val="000000"/>
        </w:rPr>
      </w:pPr>
    </w:p>
    <w:p w14:paraId="11022B06" w14:textId="77777777" w:rsidR="00717A61" w:rsidRPr="003C413E" w:rsidRDefault="00717A61" w:rsidP="00717A61">
      <w:pPr>
        <w:autoSpaceDE w:val="0"/>
        <w:autoSpaceDN w:val="0"/>
        <w:adjustRightInd w:val="0"/>
        <w:spacing w:after="0" w:line="240" w:lineRule="auto"/>
        <w:rPr>
          <w:rFonts w:ascii="Times New Roman" w:hAnsi="Times New Roman" w:cs="Times New Roman"/>
          <w:color w:val="408080"/>
        </w:rPr>
      </w:pPr>
      <w:r w:rsidRPr="003C413E">
        <w:rPr>
          <w:rFonts w:ascii="Times New Roman" w:hAnsi="Times New Roman" w:cs="Times New Roman"/>
          <w:color w:val="000080"/>
        </w:rPr>
        <w:t xml:space="preserve">In [24]: </w:t>
      </w:r>
      <w:r w:rsidRPr="003C413E">
        <w:rPr>
          <w:rFonts w:ascii="Times New Roman" w:hAnsi="Times New Roman" w:cs="Times New Roman"/>
          <w:color w:val="408080"/>
        </w:rPr>
        <w:t>#solve GC equation system (no Prev / ONLY case reports available)</w:t>
      </w:r>
    </w:p>
    <w:p w14:paraId="1B393BE1"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 xml:space="preserve">sol_gc </w:t>
      </w:r>
      <w:r w:rsidRPr="003C413E">
        <w:rPr>
          <w:rFonts w:ascii="Times New Roman" w:hAnsi="Times New Roman" w:cs="Times New Roman"/>
          <w:color w:val="666666"/>
        </w:rPr>
        <w:t xml:space="preserve">= </w:t>
      </w:r>
      <w:r w:rsidRPr="003C413E">
        <w:rPr>
          <w:rFonts w:ascii="Times New Roman" w:hAnsi="Times New Roman" w:cs="Times New Roman"/>
          <w:color w:val="000000"/>
        </w:rPr>
        <w:t>sp</w:t>
      </w:r>
      <w:r w:rsidRPr="003C413E">
        <w:rPr>
          <w:rFonts w:ascii="Times New Roman" w:hAnsi="Times New Roman" w:cs="Times New Roman"/>
          <w:color w:val="666666"/>
        </w:rPr>
        <w:t>.</w:t>
      </w:r>
      <w:r w:rsidRPr="003C413E">
        <w:rPr>
          <w:rFonts w:ascii="Times New Roman" w:hAnsi="Times New Roman" w:cs="Times New Roman"/>
          <w:color w:val="000000"/>
        </w:rPr>
        <w:t>solve(( eq1, eq3, eq4, eq5), (U,A,S, LAMBDA))</w:t>
      </w:r>
    </w:p>
    <w:p w14:paraId="7DBAF123"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display(sol_gc)</w:t>
      </w:r>
    </w:p>
    <w:p w14:paraId="07C1DA15"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solution</w:t>
      </w:r>
      <w:r w:rsidRPr="003C413E">
        <w:rPr>
          <w:rFonts w:ascii="Times New Roman" w:hAnsi="Times New Roman" w:cs="Times New Roman"/>
          <w:color w:val="666666"/>
        </w:rPr>
        <w:t xml:space="preserve">= </w:t>
      </w:r>
      <w:r w:rsidRPr="003C413E">
        <w:rPr>
          <w:rFonts w:ascii="Times New Roman" w:hAnsi="Times New Roman" w:cs="Times New Roman"/>
          <w:color w:val="000000"/>
        </w:rPr>
        <w:t>sol_gc</w:t>
      </w:r>
    </w:p>
    <w:p w14:paraId="32D80F9A"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408080"/>
        </w:rPr>
      </w:pPr>
      <w:r w:rsidRPr="003C413E">
        <w:rPr>
          <w:rFonts w:ascii="Times New Roman" w:hAnsi="Times New Roman" w:cs="Times New Roman"/>
          <w:color w:val="000000"/>
        </w:rPr>
        <w:t xml:space="preserve">gc_inc </w:t>
      </w:r>
      <w:r w:rsidRPr="003C413E">
        <w:rPr>
          <w:rFonts w:ascii="Times New Roman" w:hAnsi="Times New Roman" w:cs="Times New Roman"/>
          <w:color w:val="666666"/>
        </w:rPr>
        <w:t xml:space="preserve">= </w:t>
      </w:r>
      <w:r w:rsidRPr="003C413E">
        <w:rPr>
          <w:rFonts w:ascii="Times New Roman" w:hAnsi="Times New Roman" w:cs="Times New Roman"/>
          <w:color w:val="000000"/>
        </w:rPr>
        <w:t>sp</w:t>
      </w:r>
      <w:r w:rsidRPr="003C413E">
        <w:rPr>
          <w:rFonts w:ascii="Times New Roman" w:hAnsi="Times New Roman" w:cs="Times New Roman"/>
          <w:color w:val="666666"/>
        </w:rPr>
        <w:t>.</w:t>
      </w:r>
      <w:r w:rsidRPr="003C413E">
        <w:rPr>
          <w:rFonts w:ascii="Times New Roman" w:hAnsi="Times New Roman" w:cs="Times New Roman"/>
          <w:color w:val="000000"/>
        </w:rPr>
        <w:t>simplify(solution[</w:t>
      </w:r>
      <w:r w:rsidRPr="003C413E">
        <w:rPr>
          <w:rFonts w:ascii="Times New Roman" w:hAnsi="Times New Roman" w:cs="Times New Roman"/>
          <w:color w:val="666666"/>
        </w:rPr>
        <w:t>0</w:t>
      </w:r>
      <w:r w:rsidRPr="003C413E">
        <w:rPr>
          <w:rFonts w:ascii="Times New Roman" w:hAnsi="Times New Roman" w:cs="Times New Roman"/>
          <w:color w:val="000000"/>
        </w:rPr>
        <w:t>][</w:t>
      </w:r>
      <w:r w:rsidRPr="003C413E">
        <w:rPr>
          <w:rFonts w:ascii="Times New Roman" w:hAnsi="Times New Roman" w:cs="Times New Roman"/>
          <w:color w:val="666666"/>
        </w:rPr>
        <w:t>0</w:t>
      </w:r>
      <w:r w:rsidRPr="003C413E">
        <w:rPr>
          <w:rFonts w:ascii="Times New Roman" w:hAnsi="Times New Roman" w:cs="Times New Roman"/>
          <w:color w:val="000000"/>
        </w:rPr>
        <w:t>]</w:t>
      </w:r>
      <w:r w:rsidRPr="003C413E">
        <w:rPr>
          <w:rFonts w:ascii="Times New Roman" w:hAnsi="Times New Roman" w:cs="Times New Roman"/>
          <w:color w:val="666666"/>
        </w:rPr>
        <w:t>*</w:t>
      </w:r>
      <w:r w:rsidRPr="003C413E">
        <w:rPr>
          <w:rFonts w:ascii="Times New Roman" w:hAnsi="Times New Roman" w:cs="Times New Roman"/>
          <w:color w:val="000000"/>
        </w:rPr>
        <w:t>solution[</w:t>
      </w:r>
      <w:r w:rsidRPr="003C413E">
        <w:rPr>
          <w:rFonts w:ascii="Times New Roman" w:hAnsi="Times New Roman" w:cs="Times New Roman"/>
          <w:color w:val="666666"/>
        </w:rPr>
        <w:t>0</w:t>
      </w:r>
      <w:r w:rsidRPr="003C413E">
        <w:rPr>
          <w:rFonts w:ascii="Times New Roman" w:hAnsi="Times New Roman" w:cs="Times New Roman"/>
          <w:color w:val="000000"/>
        </w:rPr>
        <w:t>][</w:t>
      </w:r>
      <w:r w:rsidRPr="003C413E">
        <w:rPr>
          <w:rFonts w:ascii="Times New Roman" w:hAnsi="Times New Roman" w:cs="Times New Roman"/>
          <w:color w:val="666666"/>
        </w:rPr>
        <w:t>3</w:t>
      </w:r>
      <w:r w:rsidRPr="003C413E">
        <w:rPr>
          <w:rFonts w:ascii="Times New Roman" w:hAnsi="Times New Roman" w:cs="Times New Roman"/>
          <w:color w:val="000000"/>
        </w:rPr>
        <w:t xml:space="preserve">]) </w:t>
      </w:r>
      <w:r w:rsidRPr="003C413E">
        <w:rPr>
          <w:rFonts w:ascii="Times New Roman" w:hAnsi="Times New Roman" w:cs="Times New Roman"/>
          <w:color w:val="408080"/>
        </w:rPr>
        <w:t># annual incident infections</w:t>
      </w:r>
    </w:p>
    <w:p w14:paraId="25DB54B9"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 xml:space="preserve">gc_prev </w:t>
      </w:r>
      <w:r w:rsidRPr="003C413E">
        <w:rPr>
          <w:rFonts w:ascii="Times New Roman" w:hAnsi="Times New Roman" w:cs="Times New Roman"/>
          <w:color w:val="666666"/>
        </w:rPr>
        <w:t xml:space="preserve">= </w:t>
      </w:r>
      <w:r w:rsidRPr="003C413E">
        <w:rPr>
          <w:rFonts w:ascii="Times New Roman" w:hAnsi="Times New Roman" w:cs="Times New Roman"/>
          <w:color w:val="000000"/>
        </w:rPr>
        <w:t>sp</w:t>
      </w:r>
      <w:r w:rsidRPr="003C413E">
        <w:rPr>
          <w:rFonts w:ascii="Times New Roman" w:hAnsi="Times New Roman" w:cs="Times New Roman"/>
          <w:color w:val="666666"/>
        </w:rPr>
        <w:t>.</w:t>
      </w:r>
      <w:r w:rsidRPr="003C413E">
        <w:rPr>
          <w:rFonts w:ascii="Times New Roman" w:hAnsi="Times New Roman" w:cs="Times New Roman"/>
          <w:color w:val="000000"/>
        </w:rPr>
        <w:t>factor((solution[</w:t>
      </w:r>
      <w:r w:rsidRPr="003C413E">
        <w:rPr>
          <w:rFonts w:ascii="Times New Roman" w:hAnsi="Times New Roman" w:cs="Times New Roman"/>
          <w:color w:val="666666"/>
        </w:rPr>
        <w:t>0</w:t>
      </w:r>
      <w:r w:rsidRPr="003C413E">
        <w:rPr>
          <w:rFonts w:ascii="Times New Roman" w:hAnsi="Times New Roman" w:cs="Times New Roman"/>
          <w:color w:val="000000"/>
        </w:rPr>
        <w:t>][</w:t>
      </w:r>
      <w:r w:rsidRPr="003C413E">
        <w:rPr>
          <w:rFonts w:ascii="Times New Roman" w:hAnsi="Times New Roman" w:cs="Times New Roman"/>
          <w:color w:val="666666"/>
        </w:rPr>
        <w:t>1</w:t>
      </w:r>
      <w:r w:rsidRPr="003C413E">
        <w:rPr>
          <w:rFonts w:ascii="Times New Roman" w:hAnsi="Times New Roman" w:cs="Times New Roman"/>
          <w:color w:val="000000"/>
        </w:rPr>
        <w:t>]</w:t>
      </w:r>
      <w:r w:rsidRPr="003C413E">
        <w:rPr>
          <w:rFonts w:ascii="Times New Roman" w:hAnsi="Times New Roman" w:cs="Times New Roman"/>
          <w:color w:val="666666"/>
        </w:rPr>
        <w:t>+</w:t>
      </w:r>
      <w:r w:rsidRPr="003C413E">
        <w:rPr>
          <w:rFonts w:ascii="Times New Roman" w:hAnsi="Times New Roman" w:cs="Times New Roman"/>
          <w:color w:val="000000"/>
        </w:rPr>
        <w:t>solution[</w:t>
      </w:r>
      <w:r w:rsidRPr="003C413E">
        <w:rPr>
          <w:rFonts w:ascii="Times New Roman" w:hAnsi="Times New Roman" w:cs="Times New Roman"/>
          <w:color w:val="666666"/>
        </w:rPr>
        <w:t>0</w:t>
      </w:r>
      <w:r w:rsidRPr="003C413E">
        <w:rPr>
          <w:rFonts w:ascii="Times New Roman" w:hAnsi="Times New Roman" w:cs="Times New Roman"/>
          <w:color w:val="000000"/>
        </w:rPr>
        <w:t>][</w:t>
      </w:r>
      <w:r w:rsidRPr="003C413E">
        <w:rPr>
          <w:rFonts w:ascii="Times New Roman" w:hAnsi="Times New Roman" w:cs="Times New Roman"/>
          <w:color w:val="666666"/>
        </w:rPr>
        <w:t>2</w:t>
      </w:r>
      <w:r w:rsidRPr="003C413E">
        <w:rPr>
          <w:rFonts w:ascii="Times New Roman" w:hAnsi="Times New Roman" w:cs="Times New Roman"/>
          <w:color w:val="000000"/>
        </w:rPr>
        <w:t>])</w:t>
      </w:r>
      <w:r w:rsidRPr="003C413E">
        <w:rPr>
          <w:rFonts w:ascii="Times New Roman" w:hAnsi="Times New Roman" w:cs="Times New Roman"/>
          <w:color w:val="666666"/>
        </w:rPr>
        <w:t>/</w:t>
      </w:r>
      <w:r w:rsidRPr="003C413E">
        <w:rPr>
          <w:rFonts w:ascii="Times New Roman" w:hAnsi="Times New Roman" w:cs="Times New Roman"/>
          <w:color w:val="000000"/>
        </w:rPr>
        <w:t>(solution[</w:t>
      </w:r>
      <w:r w:rsidRPr="003C413E">
        <w:rPr>
          <w:rFonts w:ascii="Times New Roman" w:hAnsi="Times New Roman" w:cs="Times New Roman"/>
          <w:color w:val="666666"/>
        </w:rPr>
        <w:t>0</w:t>
      </w:r>
      <w:r w:rsidRPr="003C413E">
        <w:rPr>
          <w:rFonts w:ascii="Times New Roman" w:hAnsi="Times New Roman" w:cs="Times New Roman"/>
          <w:color w:val="000000"/>
        </w:rPr>
        <w:t>][</w:t>
      </w:r>
      <w:r w:rsidRPr="003C413E">
        <w:rPr>
          <w:rFonts w:ascii="Times New Roman" w:hAnsi="Times New Roman" w:cs="Times New Roman"/>
          <w:color w:val="666666"/>
        </w:rPr>
        <w:t>0</w:t>
      </w:r>
      <w:r w:rsidRPr="003C413E">
        <w:rPr>
          <w:rFonts w:ascii="Times New Roman" w:hAnsi="Times New Roman" w:cs="Times New Roman"/>
          <w:color w:val="000000"/>
        </w:rPr>
        <w:t>]</w:t>
      </w:r>
      <w:r w:rsidRPr="003C413E">
        <w:rPr>
          <w:rFonts w:ascii="Times New Roman" w:hAnsi="Times New Roman" w:cs="Times New Roman"/>
          <w:color w:val="666666"/>
        </w:rPr>
        <w:t>+</w:t>
      </w:r>
      <w:r w:rsidRPr="003C413E">
        <w:rPr>
          <w:rFonts w:ascii="Times New Roman" w:hAnsi="Times New Roman" w:cs="Times New Roman"/>
          <w:color w:val="000000"/>
        </w:rPr>
        <w:t>solution[</w:t>
      </w:r>
      <w:r w:rsidRPr="003C413E">
        <w:rPr>
          <w:rFonts w:ascii="Times New Roman" w:hAnsi="Times New Roman" w:cs="Times New Roman"/>
          <w:color w:val="666666"/>
        </w:rPr>
        <w:t>0</w:t>
      </w:r>
      <w:r w:rsidRPr="003C413E">
        <w:rPr>
          <w:rFonts w:ascii="Times New Roman" w:hAnsi="Times New Roman" w:cs="Times New Roman"/>
          <w:color w:val="000000"/>
        </w:rPr>
        <w:t>][</w:t>
      </w:r>
      <w:r w:rsidRPr="003C413E">
        <w:rPr>
          <w:rFonts w:ascii="Times New Roman" w:hAnsi="Times New Roman" w:cs="Times New Roman"/>
          <w:color w:val="666666"/>
        </w:rPr>
        <w:t>1</w:t>
      </w:r>
      <w:r w:rsidRPr="003C413E">
        <w:rPr>
          <w:rFonts w:ascii="Times New Roman" w:hAnsi="Times New Roman" w:cs="Times New Roman"/>
          <w:color w:val="000000"/>
        </w:rPr>
        <w:t>]</w:t>
      </w:r>
      <w:r w:rsidRPr="003C413E">
        <w:rPr>
          <w:rFonts w:ascii="Times New Roman" w:hAnsi="Times New Roman" w:cs="Times New Roman"/>
          <w:color w:val="666666"/>
        </w:rPr>
        <w:t>+</w:t>
      </w:r>
      <w:r w:rsidRPr="003C413E">
        <w:rPr>
          <w:rFonts w:ascii="Times New Roman" w:hAnsi="Times New Roman" w:cs="Times New Roman"/>
          <w:color w:val="000000"/>
        </w:rPr>
        <w:t>solution[</w:t>
      </w:r>
      <w:r w:rsidRPr="003C413E">
        <w:rPr>
          <w:rFonts w:ascii="Times New Roman" w:hAnsi="Times New Roman" w:cs="Times New Roman"/>
          <w:color w:val="666666"/>
        </w:rPr>
        <w:t>0</w:t>
      </w:r>
      <w:r w:rsidRPr="003C413E">
        <w:rPr>
          <w:rFonts w:ascii="Times New Roman" w:hAnsi="Times New Roman" w:cs="Times New Roman"/>
          <w:color w:val="000000"/>
        </w:rPr>
        <w:t>][</w:t>
      </w:r>
      <w:r w:rsidRPr="003C413E">
        <w:rPr>
          <w:rFonts w:ascii="Times New Roman" w:hAnsi="Times New Roman" w:cs="Times New Roman"/>
          <w:color w:val="666666"/>
        </w:rPr>
        <w:t>2</w:t>
      </w:r>
      <w:r w:rsidRPr="003C413E">
        <w:rPr>
          <w:rFonts w:ascii="Times New Roman" w:hAnsi="Times New Roman" w:cs="Times New Roman"/>
          <w:color w:val="000000"/>
        </w:rPr>
        <w:t>])) display(gc_inc)</w:t>
      </w:r>
    </w:p>
    <w:p w14:paraId="6A4E0583" w14:textId="77777777" w:rsidR="00717A61" w:rsidRPr="003C413E" w:rsidRDefault="00717A61" w:rsidP="00717A61">
      <w:pPr>
        <w:autoSpaceDE w:val="0"/>
        <w:autoSpaceDN w:val="0"/>
        <w:adjustRightInd w:val="0"/>
        <w:spacing w:after="0" w:line="240" w:lineRule="auto"/>
        <w:ind w:left="720"/>
        <w:rPr>
          <w:rFonts w:ascii="Times New Roman" w:hAnsi="Times New Roman" w:cs="Times New Roman"/>
          <w:color w:val="000000"/>
        </w:rPr>
      </w:pPr>
      <w:r w:rsidRPr="003C413E">
        <w:rPr>
          <w:rFonts w:ascii="Times New Roman" w:hAnsi="Times New Roman" w:cs="Times New Roman"/>
          <w:color w:val="000000"/>
        </w:rPr>
        <w:t>display(gc_prev)</w:t>
      </w:r>
    </w:p>
    <w:p w14:paraId="52E93186" w14:textId="77777777" w:rsidR="00092046" w:rsidRPr="003C413E" w:rsidRDefault="00092046" w:rsidP="00717A61">
      <w:pPr>
        <w:autoSpaceDE w:val="0"/>
        <w:autoSpaceDN w:val="0"/>
        <w:adjustRightInd w:val="0"/>
        <w:spacing w:after="0" w:line="240" w:lineRule="auto"/>
        <w:rPr>
          <w:rFonts w:ascii="Times New Roman" w:eastAsiaTheme="minorEastAsia" w:hAnsi="Times New Roman" w:cs="Times New Roman"/>
          <w:color w:val="000000"/>
        </w:rPr>
      </w:pPr>
    </w:p>
    <w:p w14:paraId="08744426" w14:textId="77777777" w:rsidR="00717A61" w:rsidRPr="003C413E" w:rsidRDefault="00717A61" w:rsidP="00717A61">
      <w:pPr>
        <w:autoSpaceDE w:val="0"/>
        <w:autoSpaceDN w:val="0"/>
        <w:adjustRightInd w:val="0"/>
        <w:spacing w:after="0" w:line="240" w:lineRule="auto"/>
        <w:rPr>
          <w:rFonts w:ascii="Cambria Math" w:hAnsi="Cambria Math" w:cs="Times New Roman"/>
          <w:color w:val="000000"/>
          <w:oMath/>
        </w:rPr>
      </w:pPr>
      <m:oMathPara>
        <m:oMath>
          <m:r>
            <w:rPr>
              <w:rFonts w:ascii="Cambria Math" w:hAnsi="Cambria Math" w:cs="Times New Roman"/>
              <w:color w:val="000000"/>
            </w:rPr>
            <m:t>[(</m:t>
          </m:r>
          <m:f>
            <m:fPr>
              <m:ctrlPr>
                <w:rPr>
                  <w:rFonts w:ascii="Cambria Math" w:hAnsi="Cambria Math" w:cs="Times New Roman"/>
                  <w:i/>
                  <w:iCs/>
                  <w:color w:val="000000"/>
                </w:rPr>
              </m:ctrlPr>
            </m:fPr>
            <m:num>
              <m:r>
                <w:rPr>
                  <w:rFonts w:ascii="Cambria Math" w:hAnsi="Cambria Math" w:cs="Times New Roman"/>
                  <w:color w:val="000000"/>
                </w:rPr>
                <m:t>Kβτ + Kψ + Kσ + Nβψρτ</m:t>
              </m:r>
              <m:r>
                <w:rPr>
                  <w:rFonts w:ascii="Cambria Math" w:eastAsia="Cambria Math" w:hAnsi="Cambria Math" w:cs="Times New Roman"/>
                  <w:color w:val="000000"/>
                </w:rPr>
                <m:t>-</m:t>
              </m:r>
              <m:r>
                <w:rPr>
                  <w:rFonts w:ascii="Cambria Math" w:hAnsi="Cambria Math" w:cs="Times New Roman"/>
                  <w:color w:val="000000"/>
                </w:rPr>
                <m:t xml:space="preserve"> Nψρσ</m:t>
              </m:r>
              <m:r>
                <w:rPr>
                  <w:rFonts w:ascii="Cambria Math" w:eastAsia="Cambria Math" w:hAnsi="Cambria Math" w:cs="Times New Roman"/>
                  <w:color w:val="000000"/>
                </w:rPr>
                <m:t>-</m:t>
              </m:r>
              <m:r>
                <w:rPr>
                  <w:rFonts w:ascii="Cambria Math" w:hAnsi="Cambria Math" w:cs="Times New Roman"/>
                  <w:color w:val="000000"/>
                </w:rPr>
                <m:t xml:space="preserve"> Nψρτ</m:t>
              </m:r>
              <m:r>
                <w:rPr>
                  <w:rFonts w:ascii="Cambria Math" w:eastAsia="Cambria Math" w:hAnsi="Cambria Math" w:cs="Times New Roman"/>
                  <w:color w:val="000000"/>
                </w:rPr>
                <m:t>-</m:t>
              </m:r>
              <m:r>
                <w:rPr>
                  <w:rFonts w:ascii="Cambria Math" w:hAnsi="Cambria Math" w:cs="Times New Roman"/>
                  <w:color w:val="000000"/>
                </w:rPr>
                <m:t xml:space="preserve"> Nρσ2</m:t>
              </m:r>
              <m:r>
                <w:rPr>
                  <w:rFonts w:ascii="Cambria Math" w:eastAsia="Cambria Math" w:hAnsi="Cambria Math" w:cs="Times New Roman"/>
                  <w:color w:val="000000"/>
                </w:rPr>
                <m:t>-</m:t>
              </m:r>
              <m:r>
                <w:rPr>
                  <w:rFonts w:ascii="Cambria Math" w:hAnsi="Cambria Math" w:cs="Times New Roman"/>
                  <w:color w:val="000000"/>
                </w:rPr>
                <m:t>Nρστ</m:t>
              </m:r>
              <m:ctrlPr>
                <w:rPr>
                  <w:rFonts w:ascii="Cambria Math" w:eastAsia="Cambria Math" w:hAnsi="Cambria Math" w:cs="Times New Roman"/>
                  <w:i/>
                  <w:color w:val="000000"/>
                </w:rPr>
              </m:ctrlPr>
            </m:num>
            <m:den>
              <m:r>
                <w:rPr>
                  <w:rFonts w:ascii="Cambria Math" w:hAnsi="Cambria Math" w:cs="Times New Roman"/>
                  <w:color w:val="000000"/>
                </w:rPr>
                <m:t>ρ(βψτ</m:t>
              </m:r>
              <m:r>
                <w:rPr>
                  <w:rFonts w:ascii="Cambria Math" w:eastAsia="Cambria Math" w:hAnsi="Cambria Math" w:cs="Times New Roman"/>
                  <w:color w:val="000000"/>
                </w:rPr>
                <m:t>-</m:t>
              </m:r>
              <m:r>
                <w:rPr>
                  <w:rFonts w:ascii="Cambria Math" w:hAnsi="Cambria Math" w:cs="Times New Roman"/>
                  <w:color w:val="000000"/>
                </w:rPr>
                <m:t xml:space="preserve"> ψσ</m:t>
              </m:r>
              <m:r>
                <w:rPr>
                  <w:rFonts w:ascii="Cambria Math" w:eastAsia="Cambria Math" w:hAnsi="Cambria Math" w:cs="Times New Roman"/>
                  <w:color w:val="000000"/>
                </w:rPr>
                <m:t>-</m:t>
              </m:r>
              <m:r>
                <w:rPr>
                  <w:rFonts w:ascii="Cambria Math" w:hAnsi="Cambria Math" w:cs="Times New Roman"/>
                  <w:color w:val="000000"/>
                </w:rPr>
                <m:t xml:space="preserve"> ψτ</m:t>
              </m:r>
              <m:r>
                <w:rPr>
                  <w:rFonts w:ascii="Cambria Math" w:eastAsia="Cambria Math" w:hAnsi="Cambria Math" w:cs="Times New Roman"/>
                  <w:color w:val="000000"/>
                </w:rPr>
                <m:t>-</m:t>
              </m:r>
              <m:r>
                <w:rPr>
                  <w:rFonts w:ascii="Cambria Math" w:hAnsi="Cambria Math" w:cs="Times New Roman"/>
                  <w:color w:val="000000"/>
                </w:rPr>
                <m:t xml:space="preserve"> σ2</m:t>
              </m:r>
              <m:r>
                <w:rPr>
                  <w:rFonts w:ascii="Cambria Math" w:eastAsia="Cambria Math" w:hAnsi="Cambria Math" w:cs="Times New Roman"/>
                  <w:color w:val="000000"/>
                </w:rPr>
                <m:t>-</m:t>
              </m:r>
              <m:r>
                <w:rPr>
                  <w:rFonts w:ascii="Cambria Math" w:hAnsi="Cambria Math" w:cs="Times New Roman"/>
                  <w:color w:val="000000"/>
                </w:rPr>
                <m:t xml:space="preserve"> στ)</m:t>
              </m:r>
            </m:den>
          </m:f>
          <m:r>
            <w:rPr>
              <w:rFonts w:ascii="Cambria Math" w:hAnsi="Cambria Math" w:cs="Times New Roman"/>
              <w:color w:val="000000"/>
            </w:rPr>
            <m:t>,</m:t>
          </m:r>
        </m:oMath>
      </m:oMathPara>
    </w:p>
    <w:p w14:paraId="6F671F46" w14:textId="77777777" w:rsidR="00717A61" w:rsidRPr="003C413E" w:rsidRDefault="00717A61" w:rsidP="00717A61">
      <w:pPr>
        <w:autoSpaceDE w:val="0"/>
        <w:autoSpaceDN w:val="0"/>
        <w:adjustRightInd w:val="0"/>
        <w:spacing w:after="0" w:line="240" w:lineRule="auto"/>
        <w:rPr>
          <w:rFonts w:ascii="Cambria Math" w:hAnsi="Cambria Math" w:cs="Times New Roman"/>
          <w:color w:val="000000"/>
          <w:oMath/>
        </w:rPr>
      </w:pPr>
    </w:p>
    <w:p w14:paraId="6227A67B" w14:textId="77777777" w:rsidR="00717A61" w:rsidRPr="003C413E" w:rsidRDefault="00717A61" w:rsidP="00717A61">
      <w:pPr>
        <w:autoSpaceDE w:val="0"/>
        <w:autoSpaceDN w:val="0"/>
        <w:adjustRightInd w:val="0"/>
        <w:spacing w:after="0" w:line="240" w:lineRule="auto"/>
        <w:rPr>
          <w:rFonts w:ascii="Times New Roman" w:eastAsiaTheme="minorEastAsia" w:hAnsi="Times New Roman" w:cs="Times New Roman"/>
          <w:color w:val="000000"/>
        </w:rPr>
      </w:pPr>
      <m:oMathPara>
        <m:oMath>
          <m:r>
            <w:rPr>
              <w:rFonts w:ascii="Cambria Math" w:hAnsi="Cambria Math" w:cs="Times New Roman"/>
              <w:color w:val="000000"/>
            </w:rPr>
            <w:lastRenderedPageBreak/>
            <m:t>-</m:t>
          </m:r>
          <m:f>
            <m:fPr>
              <m:ctrlPr>
                <w:rPr>
                  <w:rFonts w:ascii="Cambria Math" w:hAnsi="Cambria Math" w:cs="Times New Roman"/>
                  <w:i/>
                  <w:color w:val="000000"/>
                </w:rPr>
              </m:ctrlPr>
            </m:fPr>
            <m:num>
              <m:r>
                <w:rPr>
                  <w:rFonts w:ascii="Cambria Math" w:hAnsi="Cambria Math" w:cs="Times New Roman"/>
                  <w:color w:val="000000"/>
                </w:rPr>
                <m:t>Kβ</m:t>
              </m:r>
              <m:d>
                <m:dPr>
                  <m:ctrlPr>
                    <w:rPr>
                      <w:rFonts w:ascii="Cambria Math" w:hAnsi="Cambria Math" w:cs="Times New Roman"/>
                      <w:i/>
                      <w:color w:val="000000"/>
                    </w:rPr>
                  </m:ctrlPr>
                </m:dPr>
                <m:e>
                  <m:r>
                    <w:rPr>
                      <w:rFonts w:ascii="Cambria Math" w:hAnsi="Cambria Math" w:cs="Times New Roman"/>
                      <w:color w:val="000000"/>
                    </w:rPr>
                    <m:t>ψ + σ + τ</m:t>
                  </m:r>
                </m:e>
              </m:d>
            </m:num>
            <m:den>
              <m:r>
                <w:rPr>
                  <w:rFonts w:ascii="Cambria Math" w:hAnsi="Cambria Math" w:cs="Times New Roman"/>
                  <w:color w:val="000000"/>
                </w:rPr>
                <m:t>ρ(βψτ</m:t>
              </m:r>
              <m:r>
                <w:rPr>
                  <w:rFonts w:ascii="Cambria Math" w:eastAsia="Cambria Math" w:hAnsi="Cambria Math" w:cs="Times New Roman"/>
                  <w:color w:val="000000"/>
                </w:rPr>
                <m:t>-</m:t>
              </m:r>
              <m:r>
                <w:rPr>
                  <w:rFonts w:ascii="Cambria Math" w:hAnsi="Cambria Math" w:cs="Times New Roman"/>
                  <w:color w:val="000000"/>
                </w:rPr>
                <m:t xml:space="preserve"> ψσ</m:t>
              </m:r>
              <m:r>
                <w:rPr>
                  <w:rFonts w:ascii="Cambria Math" w:eastAsia="Cambria Math" w:hAnsi="Cambria Math" w:cs="Times New Roman"/>
                  <w:color w:val="000000"/>
                </w:rPr>
                <m:t>-</m:t>
              </m:r>
              <m:r>
                <w:rPr>
                  <w:rFonts w:ascii="Cambria Math" w:hAnsi="Cambria Math" w:cs="Times New Roman"/>
                  <w:color w:val="000000"/>
                </w:rPr>
                <m:t xml:space="preserve"> ψτ</m:t>
              </m:r>
              <m:r>
                <w:rPr>
                  <w:rFonts w:ascii="Cambria Math" w:eastAsia="Cambria Math" w:hAnsi="Cambria Math" w:cs="Times New Roman"/>
                  <w:color w:val="000000"/>
                </w:rPr>
                <m:t>-</m:t>
              </m:r>
              <m:r>
                <w:rPr>
                  <w:rFonts w:ascii="Cambria Math" w:hAnsi="Cambria Math" w:cs="Times New Roman"/>
                  <w:color w:val="000000"/>
                </w:rPr>
                <m:t xml:space="preserve"> σ2</m:t>
              </m:r>
              <m:r>
                <w:rPr>
                  <w:rFonts w:ascii="Cambria Math" w:eastAsia="Cambria Math" w:hAnsi="Cambria Math" w:cs="Times New Roman"/>
                  <w:color w:val="000000"/>
                </w:rPr>
                <m:t>-</m:t>
              </m:r>
              <m:r>
                <w:rPr>
                  <w:rFonts w:ascii="Cambria Math" w:hAnsi="Cambria Math" w:cs="Times New Roman"/>
                  <w:color w:val="000000"/>
                </w:rPr>
                <m:t xml:space="preserve"> στ)</m:t>
              </m:r>
            </m:den>
          </m:f>
          <m:r>
            <w:rPr>
              <w:rFonts w:ascii="Cambria Math" w:hAnsi="Cambria Math" w:cs="Times New Roman"/>
              <w:color w:val="000000"/>
            </w:rPr>
            <m:t>,</m:t>
          </m:r>
        </m:oMath>
      </m:oMathPara>
    </w:p>
    <w:p w14:paraId="262AA5CF" w14:textId="77777777" w:rsidR="00717A61" w:rsidRPr="003C413E" w:rsidRDefault="00717A61" w:rsidP="00717A61">
      <w:pPr>
        <w:autoSpaceDE w:val="0"/>
        <w:autoSpaceDN w:val="0"/>
        <w:adjustRightInd w:val="0"/>
        <w:spacing w:after="0" w:line="240" w:lineRule="auto"/>
        <w:rPr>
          <w:rFonts w:ascii="Times New Roman" w:eastAsiaTheme="minorEastAsia" w:hAnsi="Times New Roman" w:cs="Times New Roman"/>
          <w:color w:val="000000"/>
        </w:rPr>
      </w:pPr>
    </w:p>
    <w:p w14:paraId="4D27C9F8" w14:textId="77777777" w:rsidR="00717A61" w:rsidRPr="003C413E" w:rsidRDefault="004535F4" w:rsidP="00717A61">
      <w:pPr>
        <w:autoSpaceDE w:val="0"/>
        <w:autoSpaceDN w:val="0"/>
        <w:adjustRightInd w:val="0"/>
        <w:spacing w:after="0" w:line="240" w:lineRule="auto"/>
        <w:rPr>
          <w:rFonts w:ascii="Times New Roman" w:eastAsiaTheme="minorEastAsia" w:hAnsi="Times New Roman" w:cs="Times New Roman"/>
          <w:color w:val="000000"/>
        </w:rPr>
      </w:pPr>
      <m:oMathPara>
        <m:oMath>
          <m:f>
            <m:fPr>
              <m:ctrlPr>
                <w:rPr>
                  <w:rFonts w:ascii="Cambria Math" w:hAnsi="Cambria Math" w:cs="Times New Roman"/>
                  <w:i/>
                  <w:color w:val="000000"/>
                </w:rPr>
              </m:ctrlPr>
            </m:fPr>
            <m:num>
              <m:r>
                <w:rPr>
                  <w:rFonts w:ascii="Cambria Math" w:hAnsi="Cambria Math" w:cs="Times New Roman"/>
                  <w:color w:val="000000"/>
                </w:rPr>
                <m:t>K</m:t>
              </m:r>
              <m:d>
                <m:dPr>
                  <m:ctrlPr>
                    <w:rPr>
                      <w:rFonts w:ascii="Cambria Math" w:hAnsi="Cambria Math" w:cs="Times New Roman"/>
                      <w:i/>
                      <w:color w:val="000000"/>
                    </w:rPr>
                  </m:ctrlPr>
                </m:dPr>
                <m:e>
                  <m:r>
                    <w:rPr>
                      <w:rFonts w:ascii="Cambria Math" w:hAnsi="Cambria Math" w:cs="Times New Roman"/>
                      <w:color w:val="000000"/>
                    </w:rPr>
                    <m:t>β</m:t>
                  </m:r>
                  <m:r>
                    <w:rPr>
                      <w:rFonts w:ascii="Cambria Math" w:eastAsia="Cambria Math" w:hAnsi="Cambria Math" w:cs="Times New Roman"/>
                      <w:color w:val="000000"/>
                    </w:rPr>
                    <m:t>-</m:t>
                  </m:r>
                  <m:r>
                    <w:rPr>
                      <w:rFonts w:ascii="Cambria Math" w:hAnsi="Cambria Math" w:cs="Times New Roman"/>
                      <w:color w:val="000000"/>
                    </w:rPr>
                    <m:t xml:space="preserve"> 1</m:t>
                  </m:r>
                </m:e>
              </m:d>
              <m:d>
                <m:dPr>
                  <m:ctrlPr>
                    <w:rPr>
                      <w:rFonts w:ascii="Cambria Math" w:hAnsi="Cambria Math" w:cs="Times New Roman"/>
                      <w:i/>
                      <w:color w:val="000000"/>
                    </w:rPr>
                  </m:ctrlPr>
                </m:dPr>
                <m:e>
                  <m:r>
                    <w:rPr>
                      <w:rFonts w:ascii="Cambria Math" w:hAnsi="Cambria Math" w:cs="Times New Roman"/>
                      <w:color w:val="000000"/>
                    </w:rPr>
                    <m:t>ψ + σ</m:t>
                  </m:r>
                </m:e>
              </m:d>
            </m:num>
            <m:den>
              <m:r>
                <w:rPr>
                  <w:rFonts w:ascii="Cambria Math" w:hAnsi="Cambria Math" w:cs="Times New Roman"/>
                  <w:color w:val="000000"/>
                </w:rPr>
                <m:t>ρ(βψτ-ψσ</m:t>
              </m:r>
              <m:r>
                <w:rPr>
                  <w:rFonts w:ascii="Cambria Math" w:eastAsia="Cambria Math" w:hAnsi="Cambria Math" w:cs="Times New Roman"/>
                  <w:color w:val="000000"/>
                </w:rPr>
                <m:t>-</m:t>
              </m:r>
              <m:r>
                <w:rPr>
                  <w:rFonts w:ascii="Cambria Math" w:hAnsi="Cambria Math" w:cs="Times New Roman"/>
                  <w:color w:val="000000"/>
                </w:rPr>
                <m:t xml:space="preserve"> ψτ-σ2</m:t>
              </m:r>
              <m:r>
                <w:rPr>
                  <w:rFonts w:ascii="Cambria Math" w:eastAsia="Cambria Math" w:hAnsi="Cambria Math" w:cs="Times New Roman"/>
                  <w:color w:val="000000"/>
                </w:rPr>
                <m:t>-</m:t>
              </m:r>
              <m:r>
                <w:rPr>
                  <w:rFonts w:ascii="Cambria Math" w:hAnsi="Cambria Math" w:cs="Times New Roman"/>
                  <w:color w:val="000000"/>
                </w:rPr>
                <m:t>στ)</m:t>
              </m:r>
            </m:den>
          </m:f>
          <m:r>
            <w:rPr>
              <w:rFonts w:ascii="Cambria Math" w:hAnsi="Cambria Math" w:cs="Times New Roman"/>
              <w:color w:val="000000"/>
            </w:rPr>
            <m:t>,</m:t>
          </m:r>
        </m:oMath>
      </m:oMathPara>
    </w:p>
    <w:p w14:paraId="0A7C0BC9" w14:textId="77777777" w:rsidR="00717A61" w:rsidRPr="003C413E" w:rsidRDefault="00717A61" w:rsidP="00717A61">
      <w:pPr>
        <w:autoSpaceDE w:val="0"/>
        <w:autoSpaceDN w:val="0"/>
        <w:adjustRightInd w:val="0"/>
        <w:spacing w:after="0" w:line="240" w:lineRule="auto"/>
        <w:rPr>
          <w:rFonts w:ascii="Times New Roman" w:eastAsiaTheme="minorEastAsia" w:hAnsi="Times New Roman" w:cs="Times New Roman"/>
          <w:color w:val="000000"/>
        </w:rPr>
      </w:pPr>
    </w:p>
    <w:p w14:paraId="53DCC595" w14:textId="77777777" w:rsidR="00717A61" w:rsidRPr="003C413E" w:rsidRDefault="00717A61" w:rsidP="00717A61">
      <w:pPr>
        <w:autoSpaceDE w:val="0"/>
        <w:autoSpaceDN w:val="0"/>
        <w:adjustRightInd w:val="0"/>
        <w:spacing w:after="0" w:line="240" w:lineRule="auto"/>
        <w:rPr>
          <w:rFonts w:ascii="Cambria Math" w:hAnsi="Cambria Math" w:cs="Times New Roman"/>
          <w:color w:val="000000"/>
          <w:oMath/>
        </w:rPr>
      </w:pPr>
      <m:oMathPara>
        <m:oMath>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K</m:t>
              </m:r>
              <m:d>
                <m:dPr>
                  <m:ctrlPr>
                    <w:rPr>
                      <w:rFonts w:ascii="Cambria Math" w:hAnsi="Cambria Math" w:cs="Times New Roman"/>
                      <w:i/>
                      <w:color w:val="000000"/>
                    </w:rPr>
                  </m:ctrlPr>
                </m:dPr>
                <m:e>
                  <m:r>
                    <w:rPr>
                      <w:rFonts w:ascii="Cambria Math" w:hAnsi="Cambria Math" w:cs="Times New Roman"/>
                      <w:color w:val="000000"/>
                    </w:rPr>
                    <m:t>ψ + σ</m:t>
                  </m:r>
                </m:e>
              </m:d>
              <m:d>
                <m:dPr>
                  <m:ctrlPr>
                    <w:rPr>
                      <w:rFonts w:ascii="Cambria Math" w:hAnsi="Cambria Math" w:cs="Times New Roman"/>
                      <w:i/>
                      <w:color w:val="000000"/>
                    </w:rPr>
                  </m:ctrlPr>
                </m:dPr>
                <m:e>
                  <m:r>
                    <w:rPr>
                      <w:rFonts w:ascii="Cambria Math" w:hAnsi="Cambria Math" w:cs="Times New Roman"/>
                      <w:color w:val="000000"/>
                    </w:rPr>
                    <m:t>ψ + σ + τ</m:t>
                  </m:r>
                </m:e>
              </m:d>
            </m:num>
            <m:den>
              <m:r>
                <w:rPr>
                  <w:rFonts w:ascii="Cambria Math" w:hAnsi="Cambria Math" w:cs="Times New Roman"/>
                  <w:color w:val="000000"/>
                </w:rPr>
                <m:t>Kβτ + Kψ + Kσ + Nβψρτ</m:t>
              </m:r>
              <m:r>
                <w:rPr>
                  <w:rFonts w:ascii="Cambria Math" w:eastAsia="Cambria Math" w:hAnsi="Cambria Math" w:cs="Times New Roman"/>
                  <w:color w:val="000000"/>
                </w:rPr>
                <m:t>-</m:t>
              </m:r>
              <m:r>
                <w:rPr>
                  <w:rFonts w:ascii="Cambria Math" w:hAnsi="Cambria Math" w:cs="Times New Roman"/>
                  <w:color w:val="000000"/>
                </w:rPr>
                <m:t xml:space="preserve"> Nψρσ</m:t>
              </m:r>
              <m:r>
                <w:rPr>
                  <w:rFonts w:ascii="Cambria Math" w:eastAsia="Cambria Math" w:hAnsi="Cambria Math" w:cs="Times New Roman"/>
                  <w:color w:val="000000"/>
                </w:rPr>
                <m:t>-</m:t>
              </m:r>
              <m:r>
                <w:rPr>
                  <w:rFonts w:ascii="Cambria Math" w:hAnsi="Cambria Math" w:cs="Times New Roman"/>
                  <w:color w:val="000000"/>
                </w:rPr>
                <m:t xml:space="preserve"> Nψρτ</m:t>
              </m:r>
              <m:r>
                <w:rPr>
                  <w:rFonts w:ascii="Cambria Math" w:eastAsia="Cambria Math" w:hAnsi="Cambria Math" w:cs="Times New Roman"/>
                  <w:color w:val="000000"/>
                </w:rPr>
                <m:t>-</m:t>
              </m:r>
              <m:r>
                <w:rPr>
                  <w:rFonts w:ascii="Cambria Math" w:hAnsi="Cambria Math" w:cs="Times New Roman"/>
                  <w:color w:val="000000"/>
                </w:rPr>
                <m:t xml:space="preserve"> Nρσ2</m:t>
              </m:r>
              <m:r>
                <w:rPr>
                  <w:rFonts w:ascii="Cambria Math" w:eastAsia="Cambria Math" w:hAnsi="Cambria Math" w:cs="Times New Roman"/>
                  <w:color w:val="000000"/>
                </w:rPr>
                <m:t>-</m:t>
              </m:r>
              <m:r>
                <w:rPr>
                  <w:rFonts w:ascii="Cambria Math" w:hAnsi="Cambria Math" w:cs="Times New Roman"/>
                  <w:color w:val="000000"/>
                </w:rPr>
                <m:t xml:space="preserve"> Nρστ</m:t>
              </m:r>
            </m:den>
          </m:f>
          <m:r>
            <w:rPr>
              <w:rFonts w:ascii="Cambria Math" w:hAnsi="Cambria Math" w:cs="Times New Roman"/>
              <w:color w:val="000000"/>
            </w:rPr>
            <m:t>)]</m:t>
          </m:r>
        </m:oMath>
      </m:oMathPara>
    </w:p>
    <w:p w14:paraId="5794BB5F" w14:textId="77777777" w:rsidR="00717A61" w:rsidRPr="003C413E" w:rsidRDefault="00717A61" w:rsidP="00717A61">
      <w:pPr>
        <w:autoSpaceDE w:val="0"/>
        <w:autoSpaceDN w:val="0"/>
        <w:adjustRightInd w:val="0"/>
        <w:spacing w:after="0" w:line="240" w:lineRule="auto"/>
        <w:rPr>
          <w:rFonts w:ascii="Times New Roman" w:eastAsiaTheme="minorEastAsia" w:hAnsi="Times New Roman" w:cs="Times New Roman"/>
          <w:color w:val="000000"/>
        </w:rPr>
      </w:pPr>
    </w:p>
    <w:p w14:paraId="7FE507F8" w14:textId="77777777" w:rsidR="00717A61" w:rsidRPr="003C413E" w:rsidRDefault="00717A61" w:rsidP="00717A61">
      <w:pPr>
        <w:autoSpaceDE w:val="0"/>
        <w:autoSpaceDN w:val="0"/>
        <w:adjustRightInd w:val="0"/>
        <w:spacing w:after="0" w:line="240" w:lineRule="auto"/>
        <w:rPr>
          <w:rFonts w:ascii="Times New Roman" w:eastAsiaTheme="minorEastAsia" w:hAnsi="Times New Roman" w:cs="Times New Roman"/>
          <w:color w:val="000000"/>
        </w:rPr>
      </w:pPr>
    </w:p>
    <w:p w14:paraId="106FBAD8" w14:textId="77777777" w:rsidR="00717A61" w:rsidRPr="003C413E" w:rsidRDefault="004535F4" w:rsidP="00717A61">
      <w:pPr>
        <w:autoSpaceDE w:val="0"/>
        <w:autoSpaceDN w:val="0"/>
        <w:adjustRightInd w:val="0"/>
        <w:spacing w:after="0" w:line="240" w:lineRule="auto"/>
        <w:rPr>
          <w:rFonts w:ascii="Times New Roman" w:eastAsiaTheme="minorEastAsia" w:hAnsi="Times New Roman" w:cs="Times New Roman"/>
          <w:color w:val="000000"/>
        </w:rPr>
      </w:pPr>
      <m:oMathPara>
        <m:oMath>
          <m:f>
            <m:fPr>
              <m:ctrlPr>
                <w:rPr>
                  <w:rFonts w:ascii="Cambria Math" w:hAnsi="Cambria Math" w:cs="Times New Roman"/>
                  <w:i/>
                  <w:color w:val="000000"/>
                </w:rPr>
              </m:ctrlPr>
            </m:fPr>
            <m:num>
              <m:r>
                <w:rPr>
                  <w:rFonts w:ascii="Cambria Math" w:hAnsi="Cambria Math" w:cs="Times New Roman"/>
                  <w:color w:val="000000"/>
                </w:rPr>
                <m:t>K</m:t>
              </m:r>
              <m:d>
                <m:dPr>
                  <m:ctrlPr>
                    <w:rPr>
                      <w:rFonts w:ascii="Cambria Math" w:hAnsi="Cambria Math" w:cs="Times New Roman"/>
                      <w:i/>
                      <w:color w:val="000000"/>
                    </w:rPr>
                  </m:ctrlPr>
                </m:dPr>
                <m:e>
                  <m:r>
                    <w:rPr>
                      <w:rFonts w:ascii="Cambria Math" w:hAnsi="Cambria Math" w:cs="Times New Roman"/>
                      <w:color w:val="000000"/>
                    </w:rPr>
                    <m:t>ψ + σ</m:t>
                  </m:r>
                </m:e>
              </m:d>
              <m:d>
                <m:dPr>
                  <m:ctrlPr>
                    <w:rPr>
                      <w:rFonts w:ascii="Cambria Math" w:hAnsi="Cambria Math" w:cs="Times New Roman"/>
                      <w:i/>
                      <w:color w:val="000000"/>
                    </w:rPr>
                  </m:ctrlPr>
                </m:dPr>
                <m:e>
                  <m:r>
                    <w:rPr>
                      <w:rFonts w:ascii="Cambria Math" w:hAnsi="Cambria Math" w:cs="Times New Roman"/>
                      <w:color w:val="000000"/>
                    </w:rPr>
                    <m:t>ψ + σ + τ</m:t>
                  </m:r>
                </m:e>
              </m:d>
            </m:num>
            <m:den>
              <m:r>
                <w:rPr>
                  <w:rFonts w:ascii="Cambria Math" w:hAnsi="Cambria Math" w:cs="Times New Roman"/>
                  <w:color w:val="000000"/>
                </w:rPr>
                <m:t>ρ(</m:t>
              </m:r>
              <m:r>
                <w:rPr>
                  <w:rFonts w:ascii="Cambria Math" w:eastAsia="Cambria Math" w:hAnsi="Cambria Math" w:cs="Times New Roman"/>
                  <w:color w:val="000000"/>
                </w:rPr>
                <m:t>-</m:t>
              </m:r>
              <m:r>
                <w:rPr>
                  <w:rFonts w:ascii="Cambria Math" w:hAnsi="Cambria Math" w:cs="Times New Roman"/>
                  <w:color w:val="000000"/>
                </w:rPr>
                <m:t>βψτ+ ψs + ψτ + σ2 + στ)</m:t>
              </m:r>
            </m:den>
          </m:f>
        </m:oMath>
      </m:oMathPara>
    </w:p>
    <w:p w14:paraId="295FACCA" w14:textId="77777777" w:rsidR="00717A61" w:rsidRPr="003C413E" w:rsidRDefault="00717A61" w:rsidP="00717A61">
      <w:pPr>
        <w:autoSpaceDE w:val="0"/>
        <w:autoSpaceDN w:val="0"/>
        <w:adjustRightInd w:val="0"/>
        <w:spacing w:after="0" w:line="240" w:lineRule="auto"/>
        <w:rPr>
          <w:rFonts w:ascii="Cambria Math" w:hAnsi="Cambria Math" w:cs="Times New Roman"/>
          <w:color w:val="000000"/>
          <w:oMath/>
        </w:rPr>
      </w:pPr>
    </w:p>
    <w:p w14:paraId="56747D53" w14:textId="77777777" w:rsidR="00717A61" w:rsidRPr="003C413E" w:rsidRDefault="00717A61" w:rsidP="00717A61">
      <w:pPr>
        <w:autoSpaceDE w:val="0"/>
        <w:autoSpaceDN w:val="0"/>
        <w:adjustRightInd w:val="0"/>
        <w:spacing w:after="0" w:line="240" w:lineRule="auto"/>
        <w:rPr>
          <w:rFonts w:ascii="Times New Roman" w:eastAsiaTheme="minorEastAsia" w:hAnsi="Times New Roman" w:cs="Times New Roman"/>
          <w:color w:val="000000"/>
        </w:rPr>
      </w:pPr>
      <m:oMathPara>
        <m:oMath>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K</m:t>
              </m:r>
              <m:d>
                <m:dPr>
                  <m:ctrlPr>
                    <w:rPr>
                      <w:rFonts w:ascii="Cambria Math" w:hAnsi="Cambria Math" w:cs="Times New Roman"/>
                      <w:i/>
                      <w:color w:val="000000"/>
                    </w:rPr>
                  </m:ctrlPr>
                </m:dPr>
                <m:e>
                  <m:r>
                    <w:rPr>
                      <w:rFonts w:ascii="Cambria Math" w:hAnsi="Cambria Math" w:cs="Times New Roman"/>
                      <w:color w:val="000000"/>
                    </w:rPr>
                    <m:t>βτ + ψ + σ</m:t>
                  </m:r>
                </m:e>
              </m:d>
            </m:num>
            <m:den>
              <m:r>
                <w:rPr>
                  <w:rFonts w:ascii="Cambria Math" w:hAnsi="Cambria Math" w:cs="Times New Roman"/>
                  <w:color w:val="000000"/>
                </w:rPr>
                <m:t>Nρ(βψτ</m:t>
              </m:r>
              <m:r>
                <w:rPr>
                  <w:rFonts w:ascii="Cambria Math" w:eastAsia="Cambria Math" w:hAnsi="Cambria Math" w:cs="Times New Roman"/>
                  <w:color w:val="000000"/>
                </w:rPr>
                <m:t>-</m:t>
              </m:r>
              <m:r>
                <w:rPr>
                  <w:rFonts w:ascii="Cambria Math" w:hAnsi="Cambria Math" w:cs="Times New Roman"/>
                  <w:color w:val="000000"/>
                </w:rPr>
                <m:t xml:space="preserve"> ψσ</m:t>
              </m:r>
              <m:r>
                <w:rPr>
                  <w:rFonts w:ascii="Cambria Math" w:eastAsia="Cambria Math" w:hAnsi="Cambria Math" w:cs="Times New Roman"/>
                  <w:color w:val="000000"/>
                </w:rPr>
                <m:t>-</m:t>
              </m:r>
              <m:r>
                <w:rPr>
                  <w:rFonts w:ascii="Cambria Math" w:hAnsi="Cambria Math" w:cs="Times New Roman"/>
                  <w:color w:val="000000"/>
                </w:rPr>
                <m:t xml:space="preserve"> ψτ</m:t>
              </m:r>
              <m:r>
                <w:rPr>
                  <w:rFonts w:ascii="Cambria Math" w:eastAsia="Cambria Math" w:hAnsi="Cambria Math" w:cs="Times New Roman"/>
                  <w:color w:val="000000"/>
                </w:rPr>
                <m:t>-</m:t>
              </m:r>
              <m:r>
                <w:rPr>
                  <w:rFonts w:ascii="Cambria Math" w:hAnsi="Cambria Math" w:cs="Times New Roman"/>
                  <w:color w:val="000000"/>
                </w:rPr>
                <m:t xml:space="preserve"> σ2</m:t>
              </m:r>
              <m:r>
                <w:rPr>
                  <w:rFonts w:ascii="Cambria Math" w:eastAsia="Cambria Math" w:hAnsi="Cambria Math" w:cs="Times New Roman"/>
                  <w:color w:val="000000"/>
                </w:rPr>
                <m:t>-</m:t>
              </m:r>
              <m:r>
                <w:rPr>
                  <w:rFonts w:ascii="Cambria Math" w:hAnsi="Cambria Math" w:cs="Times New Roman"/>
                  <w:color w:val="000000"/>
                </w:rPr>
                <m:t xml:space="preserve"> στ)</m:t>
              </m:r>
            </m:den>
          </m:f>
        </m:oMath>
      </m:oMathPara>
    </w:p>
    <w:p w14:paraId="4DF8BEFB" w14:textId="77777777" w:rsidR="00717A61" w:rsidRPr="003C413E" w:rsidRDefault="00717A61" w:rsidP="00536DE1">
      <w:pPr>
        <w:autoSpaceDE w:val="0"/>
        <w:autoSpaceDN w:val="0"/>
        <w:adjustRightInd w:val="0"/>
        <w:spacing w:after="0" w:line="360" w:lineRule="auto"/>
        <w:rPr>
          <w:rFonts w:ascii="Times New Roman" w:eastAsiaTheme="minorEastAsia" w:hAnsi="Times New Roman" w:cs="Times New Roman"/>
          <w:color w:val="000000"/>
        </w:rPr>
      </w:pPr>
    </w:p>
    <w:p w14:paraId="5AC37740" w14:textId="77777777" w:rsidR="00717A61" w:rsidRPr="003C413E" w:rsidRDefault="00717A61" w:rsidP="00733586">
      <w:pPr>
        <w:autoSpaceDE w:val="0"/>
        <w:autoSpaceDN w:val="0"/>
        <w:adjustRightInd w:val="0"/>
        <w:spacing w:after="0" w:line="360" w:lineRule="auto"/>
        <w:ind w:firstLine="720"/>
        <w:rPr>
          <w:rFonts w:ascii="Times New Roman" w:hAnsi="Times New Roman" w:cs="Times New Roman"/>
          <w:color w:val="000000"/>
        </w:rPr>
      </w:pPr>
      <w:r w:rsidRPr="003C413E">
        <w:rPr>
          <w:rFonts w:ascii="Times New Roman" w:hAnsi="Times New Roman" w:cs="Times New Roman"/>
          <w:color w:val="000000"/>
        </w:rPr>
        <w:t>Thus, the annual number of incident gonococcal infections is formulated as:</w:t>
      </w:r>
    </w:p>
    <w:p w14:paraId="17C2CAD0" w14:textId="77777777" w:rsidR="00717A61" w:rsidRPr="003C413E" w:rsidRDefault="004535F4" w:rsidP="00536DE1">
      <w:pPr>
        <w:autoSpaceDE w:val="0"/>
        <w:autoSpaceDN w:val="0"/>
        <w:adjustRightInd w:val="0"/>
        <w:spacing w:after="0" w:line="360" w:lineRule="auto"/>
        <w:rPr>
          <w:rFonts w:ascii="Times New Roman" w:eastAsiaTheme="minorEastAsia" w:hAnsi="Times New Roman" w:cs="Times New Roman"/>
          <w:color w:val="000000"/>
        </w:rPr>
      </w:pPr>
      <m:oMath>
        <m:f>
          <m:fPr>
            <m:ctrlPr>
              <w:rPr>
                <w:rFonts w:ascii="Cambria Math" w:hAnsi="Cambria Math" w:cs="Times New Roman"/>
                <w:i/>
                <w:color w:val="000000"/>
              </w:rPr>
            </m:ctrlPr>
          </m:fPr>
          <m:num>
            <m:r>
              <w:rPr>
                <w:rFonts w:ascii="Cambria Math" w:hAnsi="Cambria Math" w:cs="Times New Roman"/>
                <w:color w:val="000000"/>
              </w:rPr>
              <m:t>K</m:t>
            </m:r>
            <m:d>
              <m:dPr>
                <m:ctrlPr>
                  <w:rPr>
                    <w:rFonts w:ascii="Cambria Math" w:hAnsi="Cambria Math" w:cs="Times New Roman"/>
                    <w:i/>
                    <w:color w:val="000000"/>
                  </w:rPr>
                </m:ctrlPr>
              </m:dPr>
              <m:e>
                <m:r>
                  <w:rPr>
                    <w:rFonts w:ascii="Cambria Math" w:hAnsi="Cambria Math" w:cs="Times New Roman"/>
                    <w:color w:val="000000"/>
                  </w:rPr>
                  <m:t>ψ+σ</m:t>
                </m:r>
              </m:e>
            </m:d>
            <m:d>
              <m:dPr>
                <m:ctrlPr>
                  <w:rPr>
                    <w:rFonts w:ascii="Cambria Math" w:hAnsi="Cambria Math" w:cs="Times New Roman"/>
                    <w:i/>
                    <w:color w:val="000000"/>
                  </w:rPr>
                </m:ctrlPr>
              </m:dPr>
              <m:e>
                <m:r>
                  <w:rPr>
                    <w:rFonts w:ascii="Cambria Math" w:hAnsi="Cambria Math" w:cs="Times New Roman"/>
                    <w:color w:val="000000"/>
                  </w:rPr>
                  <m:t>ψ+σ+τ</m:t>
                </m:r>
              </m:e>
            </m:d>
          </m:num>
          <m:den>
            <m:r>
              <w:rPr>
                <w:rFonts w:ascii="Cambria Math" w:hAnsi="Cambria Math" w:cs="Times New Roman"/>
                <w:color w:val="000000"/>
              </w:rPr>
              <m:t>ρ</m:t>
            </m:r>
            <m:r>
              <m:rPr>
                <m:sty m:val="p"/>
              </m:rPr>
              <w:rPr>
                <w:rFonts w:ascii="Cambria Math" w:hAnsi="Cambria Math" w:cs="Times New Roman"/>
                <w:color w:val="000000"/>
              </w:rPr>
              <m:t xml:space="preserve"> (</m:t>
            </m:r>
            <m:r>
              <m:rPr>
                <m:sty m:val="p"/>
              </m:rPr>
              <w:rPr>
                <w:rFonts w:ascii="Cambria Math" w:eastAsia="Cambria Math" w:hAnsi="Cambria Math" w:cs="Times New Roman"/>
                <w:color w:val="000000"/>
              </w:rPr>
              <m:t>-</m:t>
            </m:r>
            <m:r>
              <w:rPr>
                <w:rFonts w:ascii="Cambria Math" w:hAnsi="Cambria Math" w:cs="Times New Roman"/>
                <w:color w:val="000000"/>
              </w:rPr>
              <m:t>βψτ</m:t>
            </m:r>
            <m:r>
              <m:rPr>
                <m:sty m:val="p"/>
              </m:rPr>
              <w:rPr>
                <w:rFonts w:ascii="Cambria Math" w:hAnsi="Cambria Math" w:cs="Times New Roman"/>
                <w:color w:val="000000"/>
              </w:rPr>
              <m:t>+</m:t>
            </m:r>
            <m:r>
              <w:rPr>
                <w:rFonts w:ascii="Cambria Math" w:hAnsi="Cambria Math" w:cs="Times New Roman"/>
                <w:color w:val="000000"/>
              </w:rPr>
              <m:t>ψσ</m:t>
            </m:r>
            <m:r>
              <m:rPr>
                <m:sty m:val="p"/>
              </m:rPr>
              <w:rPr>
                <w:rFonts w:ascii="Cambria Math" w:hAnsi="Cambria Math" w:cs="Times New Roman"/>
                <w:color w:val="000000"/>
              </w:rPr>
              <m:t xml:space="preserve"> +</m:t>
            </m:r>
            <m:r>
              <w:rPr>
                <w:rFonts w:ascii="Cambria Math" w:hAnsi="Cambria Math" w:cs="Times New Roman"/>
                <w:color w:val="000000"/>
              </w:rPr>
              <m:t>ψτ</m:t>
            </m:r>
            <m:r>
              <m:rPr>
                <m:sty m:val="p"/>
              </m:rPr>
              <w:rPr>
                <w:rFonts w:ascii="Cambria Math" w:hAnsi="Cambria Math" w:cs="Times New Roman"/>
                <w:color w:val="000000"/>
              </w:rPr>
              <m:t>+</m:t>
            </m:r>
            <m:r>
              <w:rPr>
                <w:rFonts w:ascii="Cambria Math" w:hAnsi="Cambria Math" w:cs="Times New Roman"/>
                <w:color w:val="000000"/>
              </w:rPr>
              <m:t>σ</m:t>
            </m:r>
            <m:r>
              <m:rPr>
                <m:sty m:val="p"/>
              </m:rPr>
              <w:rPr>
                <w:rFonts w:ascii="Cambria Math" w:hAnsi="Cambria Math" w:cs="Times New Roman"/>
                <w:color w:val="000000"/>
              </w:rPr>
              <m:t>2+</m:t>
            </m:r>
            <m:r>
              <w:rPr>
                <w:rFonts w:ascii="Cambria Math" w:hAnsi="Cambria Math" w:cs="Times New Roman"/>
                <w:color w:val="000000"/>
              </w:rPr>
              <m:t>στ</m:t>
            </m:r>
            <m:r>
              <m:rPr>
                <m:sty m:val="p"/>
              </m:rPr>
              <w:rPr>
                <w:rFonts w:ascii="Cambria Math" w:hAnsi="Cambria Math" w:cs="Times New Roman"/>
                <w:color w:val="000000"/>
              </w:rPr>
              <m:t xml:space="preserve">) </m:t>
            </m:r>
          </m:den>
        </m:f>
      </m:oMath>
      <w:r w:rsidR="00717A61" w:rsidRPr="003C413E">
        <w:rPr>
          <w:rFonts w:ascii="Times New Roman" w:hAnsi="Times New Roman" w:cs="Times New Roman"/>
          <w:color w:val="000000"/>
        </w:rPr>
        <w:t>, and the point prevalence of gonococcal infection is formulated as:</w:t>
      </w:r>
    </w:p>
    <w:p w14:paraId="0D6C1F11" w14:textId="73CAF03F" w:rsidR="00717A61" w:rsidRPr="003C413E" w:rsidRDefault="00717A61" w:rsidP="00536DE1">
      <w:pPr>
        <w:spacing w:line="360" w:lineRule="auto"/>
        <w:jc w:val="center"/>
        <w:rPr>
          <w:rFonts w:ascii="Times New Roman" w:hAnsi="Times New Roman" w:cs="Times New Roman"/>
          <w:sz w:val="24"/>
          <w:szCs w:val="24"/>
        </w:rPr>
      </w:pPr>
      <m:oMath>
        <m:r>
          <w:rPr>
            <w:rFonts w:ascii="Cambria Math" w:eastAsia="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K</m:t>
            </m:r>
            <m:d>
              <m:dPr>
                <m:ctrlPr>
                  <w:rPr>
                    <w:rFonts w:ascii="Cambria Math" w:hAnsi="Cambria Math" w:cs="Times New Roman"/>
                    <w:i/>
                    <w:color w:val="000000"/>
                  </w:rPr>
                </m:ctrlPr>
              </m:dPr>
              <m:e>
                <m:r>
                  <w:rPr>
                    <w:rFonts w:ascii="Cambria Math" w:hAnsi="Cambria Math" w:cs="Times New Roman"/>
                    <w:color w:val="000000"/>
                  </w:rPr>
                  <m:t>bτ+ψ+ σ</m:t>
                </m:r>
              </m:e>
            </m:d>
            <m:ctrlPr>
              <w:rPr>
                <w:rFonts w:ascii="Cambria Math" w:eastAsia="Cambria Math" w:hAnsi="Cambria Math" w:cs="Times New Roman"/>
                <w:i/>
                <w:color w:val="000000"/>
              </w:rPr>
            </m:ctrlPr>
          </m:num>
          <m:den>
            <m:r>
              <w:rPr>
                <w:rFonts w:ascii="Cambria Math" w:hAnsi="Cambria Math" w:cs="Times New Roman"/>
                <w:color w:val="000000"/>
              </w:rPr>
              <m:t>Nρ(βψτ-ψσ</m:t>
            </m:r>
            <m:r>
              <w:rPr>
                <w:rFonts w:ascii="Cambria Math" w:eastAsia="Cambria Math" w:hAnsi="Cambria Math" w:cs="Times New Roman"/>
                <w:color w:val="000000"/>
              </w:rPr>
              <m:t>-</m:t>
            </m:r>
            <m:r>
              <w:rPr>
                <w:rFonts w:ascii="Cambria Math" w:hAnsi="Cambria Math" w:cs="Times New Roman"/>
                <w:color w:val="000000"/>
              </w:rPr>
              <m:t>ψτ</m:t>
            </m:r>
            <m:r>
              <w:rPr>
                <w:rFonts w:ascii="Cambria Math" w:eastAsia="Cambria Math" w:hAnsi="Cambria Math" w:cs="Times New Roman"/>
                <w:color w:val="000000"/>
              </w:rPr>
              <m:t>-</m:t>
            </m:r>
            <m:r>
              <w:rPr>
                <w:rFonts w:ascii="Cambria Math" w:hAnsi="Cambria Math" w:cs="Times New Roman"/>
                <w:color w:val="000000"/>
              </w:rPr>
              <m:t>σ2</m:t>
            </m:r>
            <m:r>
              <w:rPr>
                <w:rFonts w:ascii="Cambria Math" w:eastAsia="Cambria Math" w:hAnsi="Cambria Math" w:cs="Times New Roman"/>
                <w:color w:val="000000"/>
              </w:rPr>
              <m:t>-</m:t>
            </m:r>
            <m:r>
              <w:rPr>
                <w:rFonts w:ascii="Cambria Math" w:hAnsi="Cambria Math" w:cs="Times New Roman"/>
                <w:color w:val="000000"/>
              </w:rPr>
              <m:t>στ)</m:t>
            </m:r>
          </m:den>
        </m:f>
      </m:oMath>
      <w:r w:rsidR="00092046" w:rsidRPr="003C413E">
        <w:rPr>
          <w:rFonts w:ascii="Times New Roman" w:hAnsi="Times New Roman" w:cs="Times New Roman"/>
          <w:sz w:val="24"/>
          <w:szCs w:val="24"/>
        </w:rPr>
        <w:t xml:space="preserve"> </w:t>
      </w:r>
    </w:p>
    <w:p w14:paraId="083F9FEE" w14:textId="77777777" w:rsidR="00613DB0" w:rsidRPr="003C413E" w:rsidRDefault="00613DB0" w:rsidP="00613DB0">
      <w:pPr>
        <w:pStyle w:val="Heading1"/>
        <w:jc w:val="both"/>
        <w:rPr>
          <w:rFonts w:ascii="Times New Roman" w:hAnsi="Times New Roman" w:cs="Times New Roman"/>
        </w:rPr>
      </w:pPr>
    </w:p>
    <w:p w14:paraId="413D8F64" w14:textId="77777777" w:rsidR="00613DB0" w:rsidRPr="003C413E" w:rsidRDefault="00613DB0" w:rsidP="00613DB0">
      <w:pPr>
        <w:rPr>
          <w:rFonts w:ascii="Times New Roman" w:hAnsi="Times New Roman" w:cs="Times New Roman"/>
        </w:rPr>
      </w:pPr>
    </w:p>
    <w:p w14:paraId="71F940E5" w14:textId="77777777" w:rsidR="00613DB0" w:rsidRPr="003C413E" w:rsidRDefault="00613DB0" w:rsidP="00613DB0">
      <w:pPr>
        <w:rPr>
          <w:rFonts w:ascii="Times New Roman" w:hAnsi="Times New Roman" w:cs="Times New Roman"/>
        </w:rPr>
      </w:pPr>
    </w:p>
    <w:p w14:paraId="3E8B4C60" w14:textId="77777777" w:rsidR="00613DB0" w:rsidRPr="003C413E" w:rsidRDefault="00613DB0" w:rsidP="00613DB0">
      <w:pPr>
        <w:rPr>
          <w:rFonts w:ascii="Times New Roman" w:hAnsi="Times New Roman" w:cs="Times New Roman"/>
        </w:rPr>
      </w:pPr>
    </w:p>
    <w:p w14:paraId="247B7826" w14:textId="77777777" w:rsidR="00613DB0" w:rsidRPr="003C413E" w:rsidRDefault="00613DB0" w:rsidP="00613DB0">
      <w:pPr>
        <w:rPr>
          <w:rFonts w:ascii="Times New Roman" w:hAnsi="Times New Roman" w:cs="Times New Roman"/>
        </w:rPr>
      </w:pPr>
    </w:p>
    <w:p w14:paraId="0560D5E1" w14:textId="77777777" w:rsidR="00613DB0" w:rsidRPr="003C413E" w:rsidRDefault="00613DB0" w:rsidP="00613DB0">
      <w:pPr>
        <w:rPr>
          <w:rFonts w:ascii="Times New Roman" w:hAnsi="Times New Roman" w:cs="Times New Roman"/>
        </w:rPr>
      </w:pPr>
    </w:p>
    <w:p w14:paraId="7F0C87DF" w14:textId="77777777" w:rsidR="00613DB0" w:rsidRPr="003C413E" w:rsidRDefault="00613DB0" w:rsidP="00613DB0">
      <w:pPr>
        <w:rPr>
          <w:rFonts w:ascii="Times New Roman" w:hAnsi="Times New Roman" w:cs="Times New Roman"/>
        </w:rPr>
      </w:pPr>
    </w:p>
    <w:p w14:paraId="16440587" w14:textId="77777777" w:rsidR="00613DB0" w:rsidRPr="003C413E" w:rsidRDefault="00613DB0" w:rsidP="00613DB0">
      <w:pPr>
        <w:rPr>
          <w:rFonts w:ascii="Times New Roman" w:hAnsi="Times New Roman" w:cs="Times New Roman"/>
        </w:rPr>
      </w:pPr>
    </w:p>
    <w:p w14:paraId="47254742" w14:textId="77777777" w:rsidR="00613DB0" w:rsidRPr="003C413E" w:rsidRDefault="00613DB0" w:rsidP="00613DB0">
      <w:pPr>
        <w:rPr>
          <w:rFonts w:ascii="Times New Roman" w:hAnsi="Times New Roman" w:cs="Times New Roman"/>
        </w:rPr>
      </w:pPr>
    </w:p>
    <w:p w14:paraId="2A7D8A82" w14:textId="77777777" w:rsidR="00613DB0" w:rsidRPr="003C413E" w:rsidRDefault="00613DB0" w:rsidP="00613DB0">
      <w:pPr>
        <w:rPr>
          <w:rFonts w:ascii="Times New Roman" w:hAnsi="Times New Roman" w:cs="Times New Roman"/>
        </w:rPr>
      </w:pPr>
    </w:p>
    <w:p w14:paraId="41F12F18" w14:textId="77777777" w:rsidR="00613DB0" w:rsidRPr="003C413E" w:rsidRDefault="00613DB0" w:rsidP="00613DB0">
      <w:pPr>
        <w:rPr>
          <w:rFonts w:ascii="Times New Roman" w:hAnsi="Times New Roman" w:cs="Times New Roman"/>
        </w:rPr>
      </w:pPr>
    </w:p>
    <w:p w14:paraId="146F4815" w14:textId="77777777" w:rsidR="001C6D9F" w:rsidRPr="003C413E" w:rsidRDefault="001C6D9F" w:rsidP="00613DB0">
      <w:pPr>
        <w:rPr>
          <w:rFonts w:ascii="Times New Roman" w:hAnsi="Times New Roman" w:cs="Times New Roman"/>
        </w:rPr>
      </w:pPr>
    </w:p>
    <w:p w14:paraId="70DA30AF" w14:textId="77777777" w:rsidR="001C6D9F" w:rsidRPr="003C413E" w:rsidRDefault="001C6D9F" w:rsidP="00613DB0">
      <w:pPr>
        <w:rPr>
          <w:rFonts w:ascii="Times New Roman" w:hAnsi="Times New Roman" w:cs="Times New Roman"/>
        </w:rPr>
      </w:pPr>
    </w:p>
    <w:p w14:paraId="4504F40E" w14:textId="77777777" w:rsidR="00613DB0" w:rsidRPr="003C413E" w:rsidRDefault="00613DB0" w:rsidP="00613DB0">
      <w:pPr>
        <w:rPr>
          <w:rFonts w:ascii="Times New Roman" w:hAnsi="Times New Roman" w:cs="Times New Roman"/>
        </w:rPr>
      </w:pPr>
    </w:p>
    <w:p w14:paraId="108DA240" w14:textId="4162D985" w:rsidR="000F29B6" w:rsidRPr="003C413E" w:rsidRDefault="0040468A" w:rsidP="00613DB0">
      <w:pPr>
        <w:pStyle w:val="Heading1"/>
        <w:jc w:val="both"/>
        <w:rPr>
          <w:rFonts w:ascii="Times New Roman" w:hAnsi="Times New Roman" w:cs="Times New Roman"/>
        </w:rPr>
      </w:pPr>
      <w:bookmarkStart w:id="19" w:name="_Toc113956976"/>
      <w:r w:rsidRPr="003C413E">
        <w:rPr>
          <w:rFonts w:ascii="Times New Roman" w:hAnsi="Times New Roman" w:cs="Times New Roman"/>
        </w:rPr>
        <w:lastRenderedPageBreak/>
        <w:t>Data Inputs</w:t>
      </w:r>
      <w:bookmarkEnd w:id="19"/>
    </w:p>
    <w:p w14:paraId="42DAF6B2" w14:textId="155783EA" w:rsidR="00E81789" w:rsidRPr="003C413E" w:rsidRDefault="00E81789" w:rsidP="00613DB0">
      <w:pPr>
        <w:pStyle w:val="Heading2"/>
        <w:jc w:val="center"/>
        <w:rPr>
          <w:rFonts w:ascii="Times New Roman" w:hAnsi="Times New Roman" w:cs="Times New Roman"/>
          <w:b/>
          <w:bCs/>
          <w:i/>
          <w:iCs/>
        </w:rPr>
      </w:pPr>
      <w:bookmarkStart w:id="20" w:name="_Toc113956977"/>
      <w:r w:rsidRPr="003C413E">
        <w:rPr>
          <w:rFonts w:ascii="Times New Roman" w:hAnsi="Times New Roman" w:cs="Times New Roman"/>
          <w:b/>
          <w:bCs/>
        </w:rPr>
        <w:t>Table S</w:t>
      </w:r>
      <w:r w:rsidRPr="003C413E">
        <w:rPr>
          <w:rFonts w:ascii="Times New Roman" w:hAnsi="Times New Roman" w:cs="Times New Roman"/>
          <w:b/>
          <w:bCs/>
        </w:rPr>
        <w:fldChar w:fldCharType="begin"/>
      </w:r>
      <w:r w:rsidRPr="003C413E">
        <w:rPr>
          <w:rFonts w:ascii="Times New Roman" w:hAnsi="Times New Roman" w:cs="Times New Roman"/>
          <w:b/>
          <w:bCs/>
        </w:rPr>
        <w:instrText xml:space="preserve"> SEQ Table \* ARABIC </w:instrText>
      </w:r>
      <w:r w:rsidRPr="003C413E">
        <w:rPr>
          <w:rFonts w:ascii="Times New Roman" w:hAnsi="Times New Roman" w:cs="Times New Roman"/>
          <w:b/>
          <w:bCs/>
        </w:rPr>
        <w:fldChar w:fldCharType="separate"/>
      </w:r>
      <w:r w:rsidR="00FA15DB" w:rsidRPr="003C413E">
        <w:rPr>
          <w:rFonts w:ascii="Times New Roman" w:hAnsi="Times New Roman" w:cs="Times New Roman"/>
          <w:b/>
          <w:bCs/>
          <w:noProof/>
        </w:rPr>
        <w:t>3</w:t>
      </w:r>
      <w:r w:rsidRPr="003C413E">
        <w:rPr>
          <w:rFonts w:ascii="Times New Roman" w:hAnsi="Times New Roman" w:cs="Times New Roman"/>
          <w:b/>
          <w:bCs/>
        </w:rPr>
        <w:fldChar w:fldCharType="end"/>
      </w:r>
      <w:r w:rsidRPr="003C413E">
        <w:rPr>
          <w:rFonts w:ascii="Times New Roman" w:hAnsi="Times New Roman" w:cs="Times New Roman"/>
          <w:b/>
          <w:bCs/>
        </w:rPr>
        <w:t>: Input Parameters Overview</w:t>
      </w:r>
      <w:bookmarkEnd w:id="20"/>
    </w:p>
    <w:tbl>
      <w:tblPr>
        <w:tblStyle w:val="Table"/>
        <w:tblW w:w="5000" w:type="pct"/>
        <w:tblInd w:w="0" w:type="dxa"/>
        <w:tblLook w:val="0020" w:firstRow="1" w:lastRow="0" w:firstColumn="0" w:lastColumn="0" w:noHBand="0" w:noVBand="0"/>
      </w:tblPr>
      <w:tblGrid>
        <w:gridCol w:w="372"/>
        <w:gridCol w:w="2931"/>
        <w:gridCol w:w="1026"/>
        <w:gridCol w:w="1026"/>
        <w:gridCol w:w="916"/>
        <w:gridCol w:w="3089"/>
      </w:tblGrid>
      <w:tr w:rsidR="00ED3516" w:rsidRPr="003C413E" w14:paraId="4542EB7E" w14:textId="77777777" w:rsidTr="00ED3516">
        <w:trPr>
          <w:cnfStyle w:val="100000000000" w:firstRow="1" w:lastRow="0" w:firstColumn="0" w:lastColumn="0" w:oddVBand="0" w:evenVBand="0" w:oddHBand="0" w:evenHBand="0" w:firstRowFirstColumn="0" w:firstRowLastColumn="0" w:lastRowFirstColumn="0" w:lastRowLastColumn="0"/>
          <w:tblHeader/>
        </w:trPr>
        <w:tc>
          <w:tcPr>
            <w:tcW w:w="1765" w:type="pct"/>
            <w:gridSpan w:val="2"/>
          </w:tcPr>
          <w:p w14:paraId="2CE6E495" w14:textId="77777777" w:rsidR="00ED3516" w:rsidRPr="003C413E" w:rsidRDefault="00ED3516" w:rsidP="0041263A">
            <w:pPr>
              <w:pStyle w:val="Compact"/>
              <w:rPr>
                <w:b w:val="0"/>
                <w:bCs/>
                <w:sz w:val="20"/>
                <w:szCs w:val="20"/>
              </w:rPr>
            </w:pPr>
            <w:r w:rsidRPr="003C413E">
              <w:rPr>
                <w:bCs/>
                <w:sz w:val="20"/>
                <w:szCs w:val="20"/>
              </w:rPr>
              <w:t>Input Parameter</w:t>
            </w:r>
          </w:p>
        </w:tc>
        <w:tc>
          <w:tcPr>
            <w:tcW w:w="548" w:type="pct"/>
          </w:tcPr>
          <w:p w14:paraId="48695DE9" w14:textId="77777777" w:rsidR="00ED3516" w:rsidRPr="003C413E" w:rsidRDefault="00ED3516" w:rsidP="0041263A">
            <w:pPr>
              <w:pStyle w:val="Compact"/>
              <w:rPr>
                <w:bCs/>
                <w:sz w:val="20"/>
                <w:szCs w:val="20"/>
              </w:rPr>
            </w:pPr>
          </w:p>
        </w:tc>
        <w:tc>
          <w:tcPr>
            <w:tcW w:w="548" w:type="pct"/>
          </w:tcPr>
          <w:p w14:paraId="30DBF861" w14:textId="7060B0BE" w:rsidR="00ED3516" w:rsidRPr="003C413E" w:rsidRDefault="00ED3516" w:rsidP="0041263A">
            <w:pPr>
              <w:pStyle w:val="Compact"/>
              <w:rPr>
                <w:b w:val="0"/>
                <w:bCs/>
                <w:sz w:val="20"/>
                <w:szCs w:val="20"/>
              </w:rPr>
            </w:pPr>
            <w:r w:rsidRPr="003C413E">
              <w:rPr>
                <w:bCs/>
                <w:sz w:val="20"/>
                <w:szCs w:val="20"/>
              </w:rPr>
              <w:t>Group</w:t>
            </w:r>
          </w:p>
        </w:tc>
        <w:tc>
          <w:tcPr>
            <w:tcW w:w="489" w:type="pct"/>
          </w:tcPr>
          <w:p w14:paraId="01D46953" w14:textId="77777777" w:rsidR="00ED3516" w:rsidRPr="003C413E" w:rsidRDefault="00ED3516" w:rsidP="0041263A">
            <w:pPr>
              <w:pStyle w:val="Compact"/>
              <w:rPr>
                <w:b w:val="0"/>
                <w:bCs/>
                <w:sz w:val="20"/>
                <w:szCs w:val="20"/>
              </w:rPr>
            </w:pPr>
            <w:r w:rsidRPr="003C413E">
              <w:rPr>
                <w:bCs/>
                <w:sz w:val="20"/>
                <w:szCs w:val="20"/>
              </w:rPr>
              <w:t>Time-Varying</w:t>
            </w:r>
          </w:p>
        </w:tc>
        <w:tc>
          <w:tcPr>
            <w:tcW w:w="1650" w:type="pct"/>
          </w:tcPr>
          <w:p w14:paraId="4CD93E96" w14:textId="77777777" w:rsidR="00ED3516" w:rsidRPr="003C413E" w:rsidRDefault="00ED3516" w:rsidP="0041263A">
            <w:pPr>
              <w:pStyle w:val="Compact"/>
              <w:rPr>
                <w:b w:val="0"/>
                <w:bCs/>
                <w:sz w:val="20"/>
                <w:szCs w:val="20"/>
              </w:rPr>
            </w:pPr>
            <w:r w:rsidRPr="003C413E">
              <w:rPr>
                <w:bCs/>
                <w:sz w:val="20"/>
                <w:szCs w:val="20"/>
              </w:rPr>
              <w:t>Source</w:t>
            </w:r>
          </w:p>
        </w:tc>
      </w:tr>
      <w:tr w:rsidR="00ED3516" w:rsidRPr="003C413E" w14:paraId="571A8A31" w14:textId="77777777" w:rsidTr="00ED3516">
        <w:tc>
          <w:tcPr>
            <w:tcW w:w="199" w:type="pct"/>
          </w:tcPr>
          <w:p w14:paraId="335119F0" w14:textId="77777777" w:rsidR="00ED3516" w:rsidRPr="003C413E" w:rsidRDefault="00ED3516" w:rsidP="0041263A">
            <w:pPr>
              <w:pStyle w:val="Compact"/>
              <w:rPr>
                <w:rFonts w:eastAsia="Cambria"/>
                <w:sz w:val="20"/>
                <w:szCs w:val="20"/>
              </w:rPr>
            </w:pPr>
            <m:oMathPara>
              <m:oMath>
                <m:r>
                  <m:rPr>
                    <m:sty m:val="bi"/>
                  </m:rPr>
                  <w:rPr>
                    <w:rFonts w:ascii="Cambria Math" w:hAnsi="Cambria Math"/>
                    <w:sz w:val="20"/>
                    <w:szCs w:val="20"/>
                  </w:rPr>
                  <m:t>N</m:t>
                </m:r>
              </m:oMath>
            </m:oMathPara>
          </w:p>
        </w:tc>
        <w:tc>
          <w:tcPr>
            <w:tcW w:w="1566" w:type="pct"/>
          </w:tcPr>
          <w:p w14:paraId="495CEBDF" w14:textId="77777777" w:rsidR="00ED3516" w:rsidRPr="003C413E" w:rsidRDefault="00ED3516" w:rsidP="0041263A">
            <w:pPr>
              <w:pStyle w:val="Compact"/>
              <w:rPr>
                <w:b w:val="0"/>
                <w:sz w:val="20"/>
                <w:szCs w:val="20"/>
              </w:rPr>
            </w:pPr>
            <w:r w:rsidRPr="003C413E">
              <w:rPr>
                <w:b w:val="0"/>
                <w:sz w:val="20"/>
                <w:szCs w:val="20"/>
              </w:rPr>
              <w:t>Population size</w:t>
            </w:r>
          </w:p>
        </w:tc>
        <w:tc>
          <w:tcPr>
            <w:tcW w:w="548" w:type="pct"/>
          </w:tcPr>
          <w:p w14:paraId="731A8454" w14:textId="77777777" w:rsidR="00ED3516" w:rsidRPr="003C413E" w:rsidRDefault="00ED3516" w:rsidP="0041263A">
            <w:pPr>
              <w:pStyle w:val="Compact"/>
              <w:rPr>
                <w:b w:val="0"/>
                <w:bCs/>
                <w:sz w:val="20"/>
                <w:szCs w:val="20"/>
              </w:rPr>
            </w:pPr>
          </w:p>
        </w:tc>
        <w:tc>
          <w:tcPr>
            <w:tcW w:w="548" w:type="pct"/>
          </w:tcPr>
          <w:p w14:paraId="0CD1A221" w14:textId="1B3C4B1E" w:rsidR="00ED3516" w:rsidRPr="003C413E" w:rsidRDefault="00ED3516" w:rsidP="0041263A">
            <w:pPr>
              <w:pStyle w:val="Compact"/>
              <w:rPr>
                <w:b w:val="0"/>
                <w:bCs/>
                <w:sz w:val="20"/>
                <w:szCs w:val="20"/>
              </w:rPr>
            </w:pPr>
            <w:r w:rsidRPr="003C413E">
              <w:rPr>
                <w:b w:val="0"/>
                <w:bCs/>
                <w:sz w:val="20"/>
                <w:szCs w:val="20"/>
              </w:rPr>
              <w:t>Sex &amp; Age</w:t>
            </w:r>
          </w:p>
        </w:tc>
        <w:tc>
          <w:tcPr>
            <w:tcW w:w="489" w:type="pct"/>
          </w:tcPr>
          <w:p w14:paraId="614596D7" w14:textId="77777777" w:rsidR="00ED3516" w:rsidRPr="003C413E" w:rsidRDefault="00ED3516" w:rsidP="0041263A">
            <w:pPr>
              <w:pStyle w:val="Compact"/>
              <w:rPr>
                <w:b w:val="0"/>
                <w:bCs/>
                <w:sz w:val="20"/>
                <w:szCs w:val="20"/>
              </w:rPr>
            </w:pPr>
            <w:r w:rsidRPr="003C413E">
              <w:rPr>
                <w:b w:val="0"/>
                <w:bCs/>
                <w:sz w:val="20"/>
                <w:szCs w:val="20"/>
              </w:rPr>
              <w:t>Yes</w:t>
            </w:r>
          </w:p>
        </w:tc>
        <w:tc>
          <w:tcPr>
            <w:tcW w:w="1650" w:type="pct"/>
          </w:tcPr>
          <w:p w14:paraId="45B8A18D" w14:textId="297353E1" w:rsidR="00ED3516" w:rsidRPr="003C413E" w:rsidRDefault="00ED3516" w:rsidP="0041263A">
            <w:pPr>
              <w:pStyle w:val="Compact"/>
              <w:rPr>
                <w:b w:val="0"/>
                <w:bCs/>
                <w:sz w:val="20"/>
                <w:szCs w:val="20"/>
              </w:rPr>
            </w:pPr>
            <w:r w:rsidRPr="003C413E">
              <w:rPr>
                <w:b w:val="0"/>
                <w:bCs/>
                <w:sz w:val="20"/>
                <w:szCs w:val="20"/>
              </w:rPr>
              <w:t xml:space="preserve">American Community Survey </w:t>
            </w:r>
            <w:r w:rsidRPr="003C413E">
              <w:rPr>
                <w:b w:val="0"/>
                <w:bCs/>
                <w:sz w:val="20"/>
                <w:szCs w:val="20"/>
              </w:rPr>
              <w:fldChar w:fldCharType="begin" w:fldLock="1"/>
            </w:r>
            <w:r w:rsidRPr="003C413E">
              <w:rPr>
                <w:b w:val="0"/>
                <w:bCs/>
                <w:sz w:val="20"/>
                <w:szCs w:val="20"/>
              </w:rPr>
              <w:instrText>ADDIN CSL_CITATION {"citationItems":[{"id":"ITEM-1","itemData":{"author":[{"dropping-particle":"","family":"United States Census Bureau","given":"","non-dropping-particle":"","parse-names":false,"suffix":""}],"id":"ITEM-1","issued":{"date-parts":[["2021"]]},"title":"American Community Survey, 2019 American Community Survey 1-Year Estimates, Table B01001","type":"article"},"uris":["http://www.mendeley.com/documents/?uuid=3d7b5225-34f2-45a8-a9c9-67fbfde4f3cb"]},{"id":"ITEM-2","itemData":{"author":[{"dropping-particle":"","family":"United States Census Bureau","given":"","non-dropping-particle":"","parse-names":false,"suffix":""}],"id":"ITEM-2","issued":{"date-parts":[["2019"]]},"title":"American Community Survey, 2018 American Community Survey 1-Year Estimates, Table B01001","type":"article"},"uris":["http://www.mendeley.com/documents/?uuid=ee1a0ffb-7537-4dc1-969d-204407227ca9"]},{"id":"ITEM-3","itemData":{"author":[{"dropping-particle":"","family":"United States Census Bureau","given":"","non-dropping-particle":"","parse-names":false,"suffix":""}],"id":"ITEM-3","issued":{"date-parts":[["2018"]]},"title":"American Community Survey, 2017 American Community Survey 1-Year Estimates, Table B01001","type":"article"},"uris":["http://www.mendeley.com/documents/?uuid=13744264-5224-4824-8455-5f760a3de1d7"]},{"id":"ITEM-4","itemData":{"author":[{"dropping-particle":"","family":"United States Census Bureau","given":"","non-dropping-particle":"","parse-names":false,"suffix":""}],"id":"ITEM-4","issued":{"date-parts":[["2017"]]},"title":"American Community Survey, 2016 American Community Survey 1-Year Estimates, Table B01001","type":"article"},"uris":["http://www.mendeley.com/documents/?uuid=53406a89-c7d8-4aa9-9d00-b2ad60a19882"]},{"id":"ITEM-5","itemData":{"author":[{"dropping-particle":"","family":"United States Census Bureau","given":"","non-dropping-particle":"","parse-names":false,"suffix":""}],"id":"ITEM-5","issued":{"date-parts":[["2016"]]},"title":"American Community Survey, 2015 American Community Survey 1-Year Estimates, Table B01001","type":"article"},"uris":["http://www.mendeley.com/documents/?uuid=52d6eb28-040f-4226-b6de-0563c66d62b8"]},{"id":"ITEM-6","itemData":{"author":[{"dropping-particle":"","family":"United States Census Bureau","given":"","non-dropping-particle":"","parse-names":false,"suffix":""}],"id":"ITEM-6","issued":{"date-parts":[["2015"]]},"title":"American Community Survey, 2014 American Community Survey 1-Year Estimates, Table B01001","type":"article"},"uris":["http://www.mendeley.com/documents/?uuid=7718c6c9-7369-4921-9278-f995db7ae33f"]},{"id":"ITEM-7","itemData":{"author":[{"dropping-particle":"","family":"United States Census Bureau","given":"","non-dropping-particle":"","parse-names":false,"suffix":""}],"id":"ITEM-7","issued":{"date-parts":[["2014"]]},"title":"American Community Survey, 2013 American Community Survey 1-Year Estimates, Table B01001","type":"article"},"uris":["http://www.mendeley.com/documents/?uuid=fd0a50c3-2f9d-40da-904b-a3822a139f56"]},{"id":"ITEM-8","itemData":{"author":[{"dropping-particle":"","family":"United States Census Bureau","given":"","non-dropping-particle":"","parse-names":false,"suffix":""}],"id":"ITEM-8","issued":{"date-parts":[["2013"]]},"title":"American Community Survey, 2012 American Community Survey 1-Year Estimates, Table B01001","type":"article"},"uris":["http://www.mendeley.com/documents/?uuid=8dfe6072-5396-415d-8a3e-683a9f85700e"]},{"id":"ITEM-9","itemData":{"author":[{"dropping-particle":"","family":"United States Census Bureau","given":"","non-dropping-particle":"","parse-names":false,"suffix":""}],"id":"ITEM-9","issued":{"date-parts":[["2012"]]},"title":"American Community Survey, 2011 American Community Survey 1-Year Estimates, Table B01001","type":"article"},"uris":["http://www.mendeley.com/documents/?uuid=a49e5efc-3f9d-40b2-b18f-ff94ea358bf4"]},{"id":"ITEM-10","itemData":{"author":[{"dropping-particle":"","family":"United States Census Bureau","given":"","non-dropping-particle":"","parse-names":false,"suffix":""}],"id":"ITEM-10","issued":{"date-parts":[["2011"]]},"title":"American Community Survey, 2010 American Community Survey 1-Year Estimates, Table B01001","type":"article"},"uris":["http://www.mendeley.com/documents/?uuid=16785ea3-fa24-48b5-b2be-1bc9161d2f2c"]},{"id":"ITEM-11","itemData":{"author":[{"dropping-particle":"","family":"United States Census Bureau","given":"","non-dropping-particle":"","parse-names":false,"suffix":""}],"id":"ITEM-11","issued":{"date-parts":[["2010"]]},"title":"American Community Survey, 2009 American Community Survey 1-Year Estimates, Table B01001","type":"article"},"uris":["http://www.mendeley.com/documents/?uuid=761671b3-bc61-4004-9d92-e1785e070e44"]},{"id":"ITEM-12","itemData":{"author":[{"dropping-particle":"","family":"United States Census Bureau","given":"","non-dropping-particle":"","parse-names":false,"suffix":""}],"id":"ITEM-12","issued":{"date-parts":[["2009"]]},"title":"American Community Survey, 2008 American Community Survey 1-Year Estimates, Table B01001","type":"article"},"uris":["http://www.mendeley.com/documents/?uuid=f12254d6-b115-4250-b83e-944389c25dd5"]},{"id":"ITEM-13","itemData":{"author":[{"dropping-particle":"","family":"United States Census Bureau","given":"","non-dropping-particle":"","parse-names":false,"suffix":""}],"id":"ITEM-13","issued":{"date-parts":[["2008"]]},"title":"American Community Survey, 2007 American Community Survey 1-Year Estimates, Table B01001","type":"article"},"uris":["http://www.mendeley.com/documents/?uuid=1fe3b7ef-e5c5-41c8-adad-88e6cbecd953"]}],"mendeley":{"formattedCitation":"[1]–[13]","plainTextFormattedCitation":"[1]–[13]","previouslyFormattedCitation":"[1]–[13]"},"properties":{"noteIndex":0},"schema":"https://github.com/citation-style-language/schema/raw/master/csl-citation.json"}</w:instrText>
            </w:r>
            <w:r w:rsidRPr="003C413E">
              <w:rPr>
                <w:b w:val="0"/>
                <w:bCs/>
                <w:sz w:val="20"/>
                <w:szCs w:val="20"/>
              </w:rPr>
              <w:fldChar w:fldCharType="separate"/>
            </w:r>
            <w:r w:rsidRPr="003C413E">
              <w:rPr>
                <w:b w:val="0"/>
                <w:bCs/>
                <w:noProof/>
                <w:sz w:val="20"/>
                <w:szCs w:val="20"/>
              </w:rPr>
              <w:t>[1]–[13]</w:t>
            </w:r>
            <w:r w:rsidRPr="003C413E">
              <w:rPr>
                <w:b w:val="0"/>
                <w:bCs/>
                <w:sz w:val="20"/>
                <w:szCs w:val="20"/>
              </w:rPr>
              <w:fldChar w:fldCharType="end"/>
            </w:r>
          </w:p>
        </w:tc>
      </w:tr>
      <w:tr w:rsidR="00ED3516" w:rsidRPr="003C413E" w14:paraId="28E36730" w14:textId="77777777" w:rsidTr="00ED3516">
        <w:tc>
          <w:tcPr>
            <w:tcW w:w="199" w:type="pct"/>
          </w:tcPr>
          <w:p w14:paraId="30347030" w14:textId="77777777" w:rsidR="00ED3516" w:rsidRPr="003C413E" w:rsidRDefault="00ED3516" w:rsidP="0041263A">
            <w:pPr>
              <w:pStyle w:val="Compact"/>
              <w:rPr>
                <w:rFonts w:eastAsia="Cambria"/>
                <w:sz w:val="20"/>
                <w:szCs w:val="20"/>
              </w:rPr>
            </w:pPr>
            <m:oMathPara>
              <m:oMath>
                <m:r>
                  <m:rPr>
                    <m:sty m:val="bi"/>
                  </m:rPr>
                  <w:rPr>
                    <w:rFonts w:ascii="Cambria Math" w:hAnsi="Cambria Math"/>
                    <w:sz w:val="20"/>
                    <w:szCs w:val="20"/>
                  </w:rPr>
                  <m:t>K</m:t>
                </m:r>
              </m:oMath>
            </m:oMathPara>
          </w:p>
        </w:tc>
        <w:tc>
          <w:tcPr>
            <w:tcW w:w="1566" w:type="pct"/>
          </w:tcPr>
          <w:p w14:paraId="66C0BAFA" w14:textId="77777777" w:rsidR="00ED3516" w:rsidRPr="003C413E" w:rsidRDefault="00ED3516" w:rsidP="0041263A">
            <w:pPr>
              <w:pStyle w:val="Compact"/>
              <w:rPr>
                <w:b w:val="0"/>
                <w:bCs/>
                <w:sz w:val="20"/>
                <w:szCs w:val="20"/>
              </w:rPr>
            </w:pPr>
            <w:r w:rsidRPr="003C413E">
              <w:rPr>
                <w:b w:val="0"/>
                <w:bCs/>
                <w:sz w:val="20"/>
                <w:szCs w:val="20"/>
              </w:rPr>
              <w:t>Case reports</w:t>
            </w:r>
          </w:p>
        </w:tc>
        <w:tc>
          <w:tcPr>
            <w:tcW w:w="548" w:type="pct"/>
          </w:tcPr>
          <w:p w14:paraId="13C3C053" w14:textId="77777777" w:rsidR="00ED3516" w:rsidRPr="003C413E" w:rsidRDefault="00ED3516" w:rsidP="0041263A">
            <w:pPr>
              <w:pStyle w:val="Compact"/>
              <w:rPr>
                <w:b w:val="0"/>
                <w:bCs/>
                <w:sz w:val="20"/>
                <w:szCs w:val="20"/>
              </w:rPr>
            </w:pPr>
          </w:p>
        </w:tc>
        <w:tc>
          <w:tcPr>
            <w:tcW w:w="548" w:type="pct"/>
          </w:tcPr>
          <w:p w14:paraId="0AD1E4FC" w14:textId="72D295A5" w:rsidR="00ED3516" w:rsidRPr="003C413E" w:rsidRDefault="00ED3516" w:rsidP="0041263A">
            <w:pPr>
              <w:pStyle w:val="Compact"/>
              <w:rPr>
                <w:b w:val="0"/>
                <w:bCs/>
                <w:sz w:val="20"/>
                <w:szCs w:val="20"/>
              </w:rPr>
            </w:pPr>
            <w:r w:rsidRPr="003C413E">
              <w:rPr>
                <w:b w:val="0"/>
                <w:bCs/>
                <w:sz w:val="20"/>
                <w:szCs w:val="20"/>
              </w:rPr>
              <w:t>Sex &amp; Age</w:t>
            </w:r>
          </w:p>
        </w:tc>
        <w:tc>
          <w:tcPr>
            <w:tcW w:w="489" w:type="pct"/>
          </w:tcPr>
          <w:p w14:paraId="314A5B0F" w14:textId="77777777" w:rsidR="00ED3516" w:rsidRPr="003C413E" w:rsidRDefault="00ED3516" w:rsidP="0041263A">
            <w:pPr>
              <w:pStyle w:val="Compact"/>
              <w:rPr>
                <w:b w:val="0"/>
                <w:bCs/>
                <w:sz w:val="20"/>
                <w:szCs w:val="20"/>
              </w:rPr>
            </w:pPr>
            <w:r w:rsidRPr="003C413E">
              <w:rPr>
                <w:b w:val="0"/>
                <w:bCs/>
                <w:sz w:val="20"/>
                <w:szCs w:val="20"/>
              </w:rPr>
              <w:t>Yes</w:t>
            </w:r>
          </w:p>
        </w:tc>
        <w:tc>
          <w:tcPr>
            <w:tcW w:w="1650" w:type="pct"/>
          </w:tcPr>
          <w:p w14:paraId="0C941B2E" w14:textId="48D4B749" w:rsidR="00ED3516" w:rsidRPr="003C413E" w:rsidRDefault="00ED3516" w:rsidP="0041263A">
            <w:pPr>
              <w:pStyle w:val="Compact"/>
              <w:rPr>
                <w:b w:val="0"/>
                <w:bCs/>
                <w:sz w:val="20"/>
                <w:szCs w:val="20"/>
              </w:rPr>
            </w:pPr>
            <w:r w:rsidRPr="003C413E">
              <w:rPr>
                <w:b w:val="0"/>
                <w:bCs/>
                <w:sz w:val="20"/>
                <w:szCs w:val="20"/>
              </w:rPr>
              <w:t xml:space="preserve">STD Surveillance Reports </w:t>
            </w:r>
            <w:r w:rsidRPr="003C413E">
              <w:rPr>
                <w:b w:val="0"/>
                <w:bCs/>
                <w:sz w:val="20"/>
                <w:szCs w:val="20"/>
              </w:rPr>
              <w:fldChar w:fldCharType="begin" w:fldLock="1"/>
            </w:r>
            <w:r w:rsidRPr="003C413E">
              <w:rPr>
                <w:b w:val="0"/>
                <w:bCs/>
                <w:sz w:val="20"/>
                <w:szCs w:val="20"/>
              </w:rPr>
              <w:instrText>ADDIN CSL_CITATION {"citationItems":[{"id":"ITEM-1","itemData":{"author":[{"dropping-particle":"","family":"Centers for Disease Control and Prevention","given":"","non-dropping-particle":"","parse-names":false,"suffix":""}],"id":"ITEM-1","issued":{"date-parts":[["2021"]]},"publisher-place":"Atlanta","title":"Sexually Transmitted Disease Surveillance 2019: Table 21","type":"report"},"uris":["http://www.mendeley.com/documents/?uuid=49a0704f-aabf-3ae7-b91f-96b664144f52"]},{"id":"ITEM-2","itemData":{"author":[{"dropping-particle":"","family":"Centers for Disease Control and Prevention","given":"","non-dropping-particle":"","parse-names":false,"suffix":""}],"id":"ITEM-2","issued":{"date-parts":[["2015"]]},"publisher-place":"Atlanta","title":"Sexually Transmitted Disease Surveillance 2014: Table 21","type":"report"},"uris":["http://www.mendeley.com/documents/?uuid=c659b1d4-5aed-4018-bd1e-c3c598f4a870"]},{"id":"ITEM-3","itemData":{"author":[{"dropping-particle":"","family":"Centers for Disease Control and Prevention","given":"","non-dropping-particle":"","parse-names":false,"suffix":""}],"id":"ITEM-3","issued":{"date-parts":[["2010"]]},"publisher-place":"Atlanta","title":"Sexually Transmitted Disease Surveillance 2009: Table 21","type":"report"},"uris":["http://www.mendeley.com/documents/?uuid=a4af2991-0ea8-4a45-840a-37c0309e1dd2"]}],"mendeley":{"formattedCitation":"[14]–[16]","plainTextFormattedCitation":"[14]–[16]","previouslyFormattedCitation":"[14]–[16]"},"properties":{"noteIndex":0},"schema":"https://github.com/citation-style-language/schema/raw/master/csl-citation.json"}</w:instrText>
            </w:r>
            <w:r w:rsidRPr="003C413E">
              <w:rPr>
                <w:b w:val="0"/>
                <w:bCs/>
                <w:sz w:val="20"/>
                <w:szCs w:val="20"/>
              </w:rPr>
              <w:fldChar w:fldCharType="separate"/>
            </w:r>
            <w:r w:rsidRPr="003C413E">
              <w:rPr>
                <w:b w:val="0"/>
                <w:bCs/>
                <w:noProof/>
                <w:sz w:val="20"/>
                <w:szCs w:val="20"/>
              </w:rPr>
              <w:t>[14]–[16]</w:t>
            </w:r>
            <w:r w:rsidRPr="003C413E">
              <w:rPr>
                <w:b w:val="0"/>
                <w:bCs/>
                <w:sz w:val="20"/>
                <w:szCs w:val="20"/>
              </w:rPr>
              <w:fldChar w:fldCharType="end"/>
            </w:r>
          </w:p>
        </w:tc>
      </w:tr>
      <w:tr w:rsidR="00ED3516" w:rsidRPr="003C413E" w14:paraId="49CF1C15" w14:textId="77777777" w:rsidTr="00ED3516">
        <w:tc>
          <w:tcPr>
            <w:tcW w:w="199" w:type="pct"/>
          </w:tcPr>
          <w:p w14:paraId="36FA6E1C" w14:textId="77777777" w:rsidR="00ED3516" w:rsidRPr="003C413E" w:rsidRDefault="00ED3516" w:rsidP="0041263A">
            <w:pPr>
              <w:pStyle w:val="Compact"/>
              <w:rPr>
                <w:rFonts w:eastAsia="Cambria"/>
                <w:sz w:val="20"/>
                <w:szCs w:val="20"/>
              </w:rPr>
            </w:pPr>
            <m:oMathPara>
              <m:oMath>
                <m:r>
                  <m:rPr>
                    <m:sty m:val="bi"/>
                  </m:rPr>
                  <w:rPr>
                    <w:rFonts w:ascii="Cambria Math" w:hAnsi="Cambria Math"/>
                    <w:sz w:val="20"/>
                    <w:szCs w:val="20"/>
                  </w:rPr>
                  <m:t>ρ</m:t>
                </m:r>
              </m:oMath>
            </m:oMathPara>
          </w:p>
        </w:tc>
        <w:tc>
          <w:tcPr>
            <w:tcW w:w="1566" w:type="pct"/>
          </w:tcPr>
          <w:p w14:paraId="405F0190" w14:textId="77777777" w:rsidR="00ED3516" w:rsidRPr="003C413E" w:rsidRDefault="00ED3516" w:rsidP="0041263A">
            <w:pPr>
              <w:pStyle w:val="Compact"/>
              <w:rPr>
                <w:b w:val="0"/>
                <w:bCs/>
                <w:sz w:val="20"/>
                <w:szCs w:val="20"/>
              </w:rPr>
            </w:pPr>
            <w:r w:rsidRPr="003C413E">
              <w:rPr>
                <w:b w:val="0"/>
                <w:bCs/>
                <w:sz w:val="20"/>
                <w:szCs w:val="20"/>
              </w:rPr>
              <w:t>Case reporting fraction</w:t>
            </w:r>
          </w:p>
        </w:tc>
        <w:tc>
          <w:tcPr>
            <w:tcW w:w="548" w:type="pct"/>
          </w:tcPr>
          <w:p w14:paraId="3DE53D15" w14:textId="77777777" w:rsidR="00ED3516" w:rsidRPr="003C413E" w:rsidRDefault="00ED3516" w:rsidP="27C5738E">
            <w:pPr>
              <w:pStyle w:val="Compact"/>
              <w:rPr>
                <w:b w:val="0"/>
                <w:sz w:val="20"/>
                <w:szCs w:val="20"/>
              </w:rPr>
            </w:pPr>
          </w:p>
        </w:tc>
        <w:tc>
          <w:tcPr>
            <w:tcW w:w="548" w:type="pct"/>
          </w:tcPr>
          <w:p w14:paraId="17CBBF8A" w14:textId="6942AC9F" w:rsidR="00ED3516" w:rsidRPr="003C413E" w:rsidRDefault="00ED3516" w:rsidP="27C5738E">
            <w:pPr>
              <w:pStyle w:val="Compact"/>
              <w:rPr>
                <w:b w:val="0"/>
                <w:sz w:val="20"/>
                <w:szCs w:val="20"/>
              </w:rPr>
            </w:pPr>
            <w:r w:rsidRPr="003C413E">
              <w:rPr>
                <w:b w:val="0"/>
                <w:sz w:val="20"/>
                <w:szCs w:val="20"/>
              </w:rPr>
              <w:t>All</w:t>
            </w:r>
          </w:p>
        </w:tc>
        <w:tc>
          <w:tcPr>
            <w:tcW w:w="489" w:type="pct"/>
          </w:tcPr>
          <w:p w14:paraId="7E7FDCE2" w14:textId="7F78EC82" w:rsidR="00ED3516" w:rsidRPr="003C413E" w:rsidRDefault="00ED3516" w:rsidP="0041263A">
            <w:pPr>
              <w:pStyle w:val="Compact"/>
              <w:rPr>
                <w:b w:val="0"/>
                <w:bCs/>
                <w:sz w:val="20"/>
                <w:szCs w:val="20"/>
              </w:rPr>
            </w:pPr>
            <w:r w:rsidRPr="003C413E">
              <w:rPr>
                <w:b w:val="0"/>
                <w:bCs/>
                <w:sz w:val="20"/>
                <w:szCs w:val="20"/>
              </w:rPr>
              <w:t>Yes</w:t>
            </w:r>
          </w:p>
        </w:tc>
        <w:tc>
          <w:tcPr>
            <w:tcW w:w="1650" w:type="pct"/>
          </w:tcPr>
          <w:p w14:paraId="0A49BC72" w14:textId="05E97381" w:rsidR="00ED3516" w:rsidRPr="003C413E" w:rsidRDefault="00ED3516" w:rsidP="0041263A">
            <w:pPr>
              <w:pStyle w:val="Compact"/>
              <w:rPr>
                <w:b w:val="0"/>
                <w:bCs/>
                <w:sz w:val="20"/>
                <w:szCs w:val="20"/>
              </w:rPr>
            </w:pPr>
            <w:r w:rsidRPr="003C413E">
              <w:rPr>
                <w:b w:val="0"/>
                <w:bCs/>
                <w:sz w:val="20"/>
                <w:szCs w:val="20"/>
              </w:rPr>
              <w:fldChar w:fldCharType="begin" w:fldLock="1"/>
            </w:r>
            <w:r w:rsidRPr="003C413E">
              <w:rPr>
                <w:b w:val="0"/>
                <w:bCs/>
                <w:sz w:val="20"/>
                <w:szCs w:val="20"/>
              </w:rPr>
              <w:instrText>ADDIN CSL_CITATION {"citationItems":[{"id":"ITEM-1","itemData":{"DOI":"10.1097/OLQ.0000000000001157","ISSN":"1537-4521","PMID":"32149958","abstract":"Background National chlamydia case rate trends are difficult to interpret because of biases from partial screening coverage, imperfect diagnostic tests, and underreporting. We examined the extent to which these time-varying biases could influence reported annual chlamydia case rates. Methods Annual reported case rates among women aged 15 through 24 years from 2000 through 2017 were obtained from the Centers for Disease Control and Prevention's National Center for HIV/AIDS, Viral Hepatitis, STD, and TB Prevention AtlasPlus tool. Estimates of reporting completeness, diagnostic test sensitivity and specificity, and screening coverage were derived from literature review and expert opinion. We adjusted annual reported case rates for incomplete reporting, imperfect diagnostic tests, and partial screening coverage through a series of corrections, and calculated annual adjusted case rates of correctly diagnosed chlamydia. Results Adjusted chlamydia case rates among young women were higher than reported case rates throughout the study period. Reported case rates increased over the study period, but adjusted rates declined from 12,900 to 7900 cases per 100,000 person-years between 2000 and 2007. After 2007, adjusted case rates declined to 7500 cases per 100,000 person-years in 2017. Bias from partial screening coverage had a larger impact on case rate magnitude and trend shape than bias from imperfect diagnostic tests or underreporting. Conclusions Reported chlamydia case rates may be substantially lower than true chlamydia case rates because of incomplete reporting, imperfect diagnostic tests, and partial screening coverage. Because the magnitude of these biases has declined over time, the differences between reported and adjusted case rates have narrowed, revealing a sharp decline in adjusted case rates even as reported case rates have risen. The decline in adjusted case rates suggests that the rise in reported case rates should not be interpreted strictly as increasing chlamydia incidence, as the observed rise can be explained by improvements in screening coverage, diagnostic tests, and reporting.","author":[{"dropping-particle":"","family":"Learner","given":"Emily R.","non-dropping-particle":"","parse-names":false,"suffix":""},{"dropping-particle":"","family":"Powers","given":"Kimberly A.","non-dropping-particle":"","parse-names":false,"suffix":""},{"dropping-particle":"","family":"Torrone","given":"Elizabeth A.","non-dropping-particle":"","parse-names":false,"suffix":""},{"dropping-particle":"","family":"Pence","given":"Brian W.","non-dropping-particle":"","parse-names":false,"suffix":""},{"dropping-particle":"","family":"Fine","given":"Jason P.","non-dropping-particle":"","parse-names":false,"suffix":""},{"dropping-particle":"","family":"Miller","given":"William C.","non-dropping-particle":"","parse-names":false,"suffix":""}],"container-title":"Sexually transmitted diseases","id":"ITEM-1","issue":"6","issued":{"date-parts":[["2020","6","1"]]},"page":"369-375","publisher":"Sex Transm Dis","title":"The Influence of Screening, Misclassification, and Reporting Biases on Reported Chlamydia Case Rates Among Young Women in the United States, 2000 Through 2017","type":"article-journal","volume":"47"},"uris":["http://www.mendeley.com/documents/?uuid=c871df17-018a-3083-8461-bfd6d0a4c48e"]}],"mendeley":{"formattedCitation":"[17]","plainTextFormattedCitation":"[17]","previouslyFormattedCitation":"[17]"},"properties":{"noteIndex":0},"schema":"https://github.com/citation-style-language/schema/raw/master/csl-citation.json"}</w:instrText>
            </w:r>
            <w:r w:rsidRPr="003C413E">
              <w:rPr>
                <w:b w:val="0"/>
                <w:bCs/>
                <w:sz w:val="20"/>
                <w:szCs w:val="20"/>
              </w:rPr>
              <w:fldChar w:fldCharType="separate"/>
            </w:r>
            <w:r w:rsidRPr="003C413E">
              <w:rPr>
                <w:b w:val="0"/>
                <w:bCs/>
                <w:noProof/>
                <w:sz w:val="20"/>
                <w:szCs w:val="20"/>
              </w:rPr>
              <w:t>[17]</w:t>
            </w:r>
            <w:r w:rsidRPr="003C413E">
              <w:rPr>
                <w:b w:val="0"/>
                <w:bCs/>
                <w:sz w:val="20"/>
                <w:szCs w:val="20"/>
              </w:rPr>
              <w:fldChar w:fldCharType="end"/>
            </w:r>
          </w:p>
        </w:tc>
      </w:tr>
      <w:tr w:rsidR="00ED3516" w:rsidRPr="003C413E" w14:paraId="54416157" w14:textId="77777777" w:rsidTr="00ED3516">
        <w:tc>
          <w:tcPr>
            <w:tcW w:w="199" w:type="pct"/>
          </w:tcPr>
          <w:p w14:paraId="29753416" w14:textId="77777777" w:rsidR="00ED3516" w:rsidRPr="003C413E" w:rsidRDefault="00ED3516" w:rsidP="0041263A">
            <w:pPr>
              <w:pStyle w:val="Compact"/>
              <w:rPr>
                <w:rFonts w:eastAsia="Cambria"/>
                <w:sz w:val="20"/>
                <w:szCs w:val="20"/>
              </w:rPr>
            </w:pPr>
            <m:oMathPara>
              <m:oMath>
                <m:r>
                  <m:rPr>
                    <m:sty m:val="bi"/>
                  </m:rPr>
                  <w:rPr>
                    <w:rFonts w:ascii="Cambria Math" w:hAnsi="Cambria Math"/>
                    <w:sz w:val="20"/>
                    <w:szCs w:val="20"/>
                  </w:rPr>
                  <m:t>ψ</m:t>
                </m:r>
              </m:oMath>
            </m:oMathPara>
          </w:p>
        </w:tc>
        <w:tc>
          <w:tcPr>
            <w:tcW w:w="1566" w:type="pct"/>
          </w:tcPr>
          <w:p w14:paraId="105BFD65" w14:textId="7860B13F" w:rsidR="00ED3516" w:rsidRPr="003C413E" w:rsidRDefault="00ED3516" w:rsidP="27C5738E">
            <w:pPr>
              <w:pStyle w:val="Compact"/>
              <w:rPr>
                <w:b w:val="0"/>
                <w:sz w:val="20"/>
                <w:szCs w:val="20"/>
              </w:rPr>
            </w:pPr>
            <w:r w:rsidRPr="003C413E">
              <w:rPr>
                <w:b w:val="0"/>
                <w:sz w:val="20"/>
                <w:szCs w:val="20"/>
              </w:rPr>
              <w:t>Duration of untreated infection</w:t>
            </w:r>
          </w:p>
        </w:tc>
        <w:tc>
          <w:tcPr>
            <w:tcW w:w="548" w:type="pct"/>
          </w:tcPr>
          <w:p w14:paraId="07C2F75E" w14:textId="77777777" w:rsidR="00ED3516" w:rsidRPr="003C413E" w:rsidRDefault="00ED3516" w:rsidP="0041263A">
            <w:pPr>
              <w:pStyle w:val="Compact"/>
              <w:rPr>
                <w:b w:val="0"/>
                <w:bCs/>
                <w:sz w:val="20"/>
                <w:szCs w:val="20"/>
              </w:rPr>
            </w:pPr>
          </w:p>
        </w:tc>
        <w:tc>
          <w:tcPr>
            <w:tcW w:w="548" w:type="pct"/>
          </w:tcPr>
          <w:p w14:paraId="3414D785" w14:textId="6F96D053" w:rsidR="00ED3516" w:rsidRPr="003C413E" w:rsidRDefault="00ED3516" w:rsidP="0041263A">
            <w:pPr>
              <w:pStyle w:val="Compact"/>
              <w:rPr>
                <w:b w:val="0"/>
                <w:bCs/>
                <w:sz w:val="20"/>
                <w:szCs w:val="20"/>
              </w:rPr>
            </w:pPr>
            <w:r w:rsidRPr="003C413E">
              <w:rPr>
                <w:b w:val="0"/>
                <w:bCs/>
                <w:sz w:val="20"/>
                <w:szCs w:val="20"/>
              </w:rPr>
              <w:t>Sex</w:t>
            </w:r>
          </w:p>
        </w:tc>
        <w:tc>
          <w:tcPr>
            <w:tcW w:w="489" w:type="pct"/>
          </w:tcPr>
          <w:p w14:paraId="1E9CDC44" w14:textId="77777777" w:rsidR="00ED3516" w:rsidRPr="003C413E" w:rsidRDefault="00ED3516" w:rsidP="0041263A">
            <w:pPr>
              <w:pStyle w:val="Compact"/>
              <w:rPr>
                <w:b w:val="0"/>
                <w:bCs/>
                <w:sz w:val="20"/>
                <w:szCs w:val="20"/>
              </w:rPr>
            </w:pPr>
            <w:r w:rsidRPr="003C413E">
              <w:rPr>
                <w:b w:val="0"/>
                <w:bCs/>
                <w:sz w:val="20"/>
                <w:szCs w:val="20"/>
              </w:rPr>
              <w:t>No</w:t>
            </w:r>
          </w:p>
        </w:tc>
        <w:tc>
          <w:tcPr>
            <w:tcW w:w="1650" w:type="pct"/>
          </w:tcPr>
          <w:p w14:paraId="02BAD31B" w14:textId="77777777" w:rsidR="00ED3516" w:rsidRPr="003C413E" w:rsidRDefault="00ED3516" w:rsidP="0041263A">
            <w:pPr>
              <w:pStyle w:val="Compact"/>
              <w:rPr>
                <w:b w:val="0"/>
                <w:bCs/>
                <w:sz w:val="20"/>
                <w:szCs w:val="20"/>
              </w:rPr>
            </w:pPr>
            <w:r w:rsidRPr="003C413E">
              <w:rPr>
                <w:b w:val="0"/>
                <w:bCs/>
                <w:sz w:val="20"/>
                <w:szCs w:val="20"/>
              </w:rPr>
              <w:t>Varies, see appendix</w:t>
            </w:r>
          </w:p>
        </w:tc>
      </w:tr>
      <w:tr w:rsidR="00ED3516" w:rsidRPr="003C413E" w14:paraId="1765719D" w14:textId="77777777" w:rsidTr="00ED3516">
        <w:tc>
          <w:tcPr>
            <w:tcW w:w="199" w:type="pct"/>
          </w:tcPr>
          <w:p w14:paraId="6B4018BA" w14:textId="77777777" w:rsidR="00ED3516" w:rsidRPr="003C413E" w:rsidRDefault="00ED3516" w:rsidP="0041263A">
            <w:pPr>
              <w:pStyle w:val="Compact"/>
              <w:rPr>
                <w:rFonts w:eastAsia="Cambria"/>
                <w:sz w:val="20"/>
                <w:szCs w:val="20"/>
              </w:rPr>
            </w:pPr>
            <m:oMathPara>
              <m:oMath>
                <m:r>
                  <m:rPr>
                    <m:sty m:val="bi"/>
                  </m:rPr>
                  <w:rPr>
                    <w:rFonts w:ascii="Cambria Math" w:hAnsi="Cambria Math"/>
                    <w:sz w:val="20"/>
                    <w:szCs w:val="20"/>
                  </w:rPr>
                  <m:t>σ</m:t>
                </m:r>
              </m:oMath>
            </m:oMathPara>
          </w:p>
        </w:tc>
        <w:tc>
          <w:tcPr>
            <w:tcW w:w="1566" w:type="pct"/>
          </w:tcPr>
          <w:p w14:paraId="15018B6A" w14:textId="77777777" w:rsidR="00ED3516" w:rsidRPr="003C413E" w:rsidRDefault="00ED3516" w:rsidP="0041263A">
            <w:pPr>
              <w:pStyle w:val="Compact"/>
              <w:rPr>
                <w:b w:val="0"/>
                <w:bCs/>
                <w:sz w:val="20"/>
                <w:szCs w:val="20"/>
              </w:rPr>
            </w:pPr>
            <w:r w:rsidRPr="003C413E">
              <w:rPr>
                <w:b w:val="0"/>
                <w:bCs/>
                <w:sz w:val="20"/>
                <w:szCs w:val="20"/>
              </w:rPr>
              <w:t>Probability of STI screening per year</w:t>
            </w:r>
          </w:p>
        </w:tc>
        <w:tc>
          <w:tcPr>
            <w:tcW w:w="548" w:type="pct"/>
          </w:tcPr>
          <w:p w14:paraId="147391EB" w14:textId="77777777" w:rsidR="00ED3516" w:rsidRPr="003C413E" w:rsidRDefault="00ED3516" w:rsidP="0041263A">
            <w:pPr>
              <w:pStyle w:val="Compact"/>
              <w:rPr>
                <w:b w:val="0"/>
                <w:bCs/>
                <w:sz w:val="20"/>
                <w:szCs w:val="20"/>
              </w:rPr>
            </w:pPr>
          </w:p>
        </w:tc>
        <w:tc>
          <w:tcPr>
            <w:tcW w:w="548" w:type="pct"/>
          </w:tcPr>
          <w:p w14:paraId="774E0E16" w14:textId="46C526F0" w:rsidR="00ED3516" w:rsidRPr="003C413E" w:rsidRDefault="00ED3516" w:rsidP="0041263A">
            <w:pPr>
              <w:pStyle w:val="Compact"/>
              <w:rPr>
                <w:b w:val="0"/>
                <w:bCs/>
                <w:sz w:val="20"/>
                <w:szCs w:val="20"/>
              </w:rPr>
            </w:pPr>
            <w:r w:rsidRPr="003C413E">
              <w:rPr>
                <w:b w:val="0"/>
                <w:bCs/>
                <w:sz w:val="20"/>
                <w:szCs w:val="20"/>
              </w:rPr>
              <w:t>Sex &amp; Age</w:t>
            </w:r>
          </w:p>
        </w:tc>
        <w:tc>
          <w:tcPr>
            <w:tcW w:w="489" w:type="pct"/>
          </w:tcPr>
          <w:p w14:paraId="087F651F" w14:textId="77777777" w:rsidR="00ED3516" w:rsidRPr="003C413E" w:rsidRDefault="00ED3516" w:rsidP="0041263A">
            <w:pPr>
              <w:pStyle w:val="Compact"/>
              <w:rPr>
                <w:b w:val="0"/>
                <w:bCs/>
                <w:sz w:val="20"/>
                <w:szCs w:val="20"/>
              </w:rPr>
            </w:pPr>
            <w:r w:rsidRPr="003C413E">
              <w:rPr>
                <w:b w:val="0"/>
                <w:bCs/>
                <w:sz w:val="20"/>
                <w:szCs w:val="20"/>
              </w:rPr>
              <w:t>Yes</w:t>
            </w:r>
          </w:p>
        </w:tc>
        <w:tc>
          <w:tcPr>
            <w:tcW w:w="1650" w:type="pct"/>
          </w:tcPr>
          <w:p w14:paraId="1A5704F2" w14:textId="6736E51C" w:rsidR="00ED3516" w:rsidRPr="003C413E" w:rsidRDefault="00ED3516" w:rsidP="0041263A">
            <w:pPr>
              <w:pStyle w:val="Compact"/>
              <w:rPr>
                <w:b w:val="0"/>
                <w:bCs/>
                <w:sz w:val="20"/>
                <w:szCs w:val="20"/>
              </w:rPr>
            </w:pPr>
            <w:r w:rsidRPr="003C413E">
              <w:rPr>
                <w:b w:val="0"/>
                <w:bCs/>
                <w:sz w:val="20"/>
                <w:szCs w:val="20"/>
              </w:rPr>
              <w:t xml:space="preserve">National Survey of Family Growth </w:t>
            </w:r>
            <w:r w:rsidRPr="003C413E">
              <w:rPr>
                <w:b w:val="0"/>
                <w:bCs/>
                <w:sz w:val="20"/>
                <w:szCs w:val="20"/>
              </w:rPr>
              <w:fldChar w:fldCharType="begin" w:fldLock="1"/>
            </w:r>
            <w:r w:rsidRPr="003C413E">
              <w:rPr>
                <w:b w:val="0"/>
                <w:bCs/>
                <w:sz w:val="20"/>
                <w:szCs w:val="20"/>
              </w:rPr>
              <w:instrText>ADDIN CSL_CITATION {"citationItems":[{"id":"ITEM-1","itemData":{"author":[{"dropping-particle":"","family":"National Center for Health Statistics","given":"","non-dropping-particle":"","parse-names":false,"suffix":""}],"id":"ITEM-1","issued":{"date-parts":[["2011"]]},"publisher":"U.S. Department of Health and Human Services, Centers for Disease Control and Prevention","publisher-place":"Hyattsville, MD","title":"Public Use Data, National Survey of Family Growth: 2006–2010","type":"article"},"uris":["http://www.mendeley.com/documents/?uuid=11b6ee1d-8dd0-4d52-bf2e-fe2279501c2e"]},{"id":"ITEM-2","itemData":{"author":[{"dropping-particle":"","family":"National Center for Health Statistics","given":"","non-dropping-particle":"","parse-names":false,"suffix":""}],"id":"ITEM-2","issued":{"date-parts":[["2014"]]},"publisher":"U.S. Department of Health and Human Services, Centers for Disease Control and Prevention","publisher-place":"Hyattsville, MD","title":"Public Use Data, National Survey of Family Growth: 2011-2013","type":"article"},"uris":["http://www.mendeley.com/documents/?uuid=49d0edb5-073d-4702-a778-d8fe36a3d16b"]},{"id":"ITEM-3","itemData":{"author":[{"dropping-particle":"","family":"National Center for Health Statistics","given":"","non-dropping-particle":"","parse-names":false,"suffix":""}],"id":"ITEM-3","issued":{"date-parts":[["2016"]]},"publisher":"U.S. Department of Health and Human Services, Centers for Disease Control and Prevention","publisher-place":"Hyattsville, MD","title":"Public Use Data, National Survey of Family Growth: 2013-2015","type":"article"},"uris":["http://www.mendeley.com/documents/?uuid=0f661923-2230-479f-b346-f12220631fed"]},{"id":"ITEM-4","itemData":{"author":[{"dropping-particle":"","family":"National Center for Health Statistics","given":"","non-dropping-particle":"","parse-names":false,"suffix":""}],"id":"ITEM-4","issued":{"date-parts":[["2018"]]},"publisher":"U.S. Department of Health and Human Services, Centers for Disease Control and Prevention","publisher-place":"Hyattsville, MD","title":"Public Use Data, National Survey of Family Growth: 2015-2017","type":"article"},"uris":["http://www.mendeley.com/documents/?uuid=7545bbbd-9e82-4d7d-9cf6-ca9ab228eeb5"]},{"id":"ITEM-5","itemData":{"author":[{"dropping-particle":"","family":"National Center for Health Statistics","given":"","non-dropping-particle":"","parse-names":false,"suffix":""}],"id":"ITEM-5","issued":{"date-parts":[["2020"]]},"publisher":"U.S. Department of Health and Human Services, Centers for Disease Control and Prevention","publisher-place":"Hyattsville, MD","title":"Public Use Data, National Survey of Family Growth: 2017-2019","type":"article"},"uris":["http://www.mendeley.com/documents/?uuid=a4176acd-07b3-43aa-9e1c-07e8e1a8988f"]}],"mendeley":{"formattedCitation":"[18]–[22]","plainTextFormattedCitation":"[18]–[22]","previouslyFormattedCitation":"[18]–[22]"},"properties":{"noteIndex":0},"schema":"https://github.com/citation-style-language/schema/raw/master/csl-citation.json"}</w:instrText>
            </w:r>
            <w:r w:rsidRPr="003C413E">
              <w:rPr>
                <w:b w:val="0"/>
                <w:bCs/>
                <w:sz w:val="20"/>
                <w:szCs w:val="20"/>
              </w:rPr>
              <w:fldChar w:fldCharType="separate"/>
            </w:r>
            <w:r w:rsidRPr="003C413E">
              <w:rPr>
                <w:b w:val="0"/>
                <w:bCs/>
                <w:noProof/>
                <w:sz w:val="20"/>
                <w:szCs w:val="20"/>
              </w:rPr>
              <w:t>[18]–[22]</w:t>
            </w:r>
            <w:r w:rsidRPr="003C413E">
              <w:rPr>
                <w:b w:val="0"/>
                <w:bCs/>
                <w:sz w:val="20"/>
                <w:szCs w:val="20"/>
              </w:rPr>
              <w:fldChar w:fldCharType="end"/>
            </w:r>
          </w:p>
        </w:tc>
      </w:tr>
      <w:tr w:rsidR="00ED3516" w:rsidRPr="003C413E" w14:paraId="3EAA11D5" w14:textId="77777777" w:rsidTr="00ED3516">
        <w:tc>
          <w:tcPr>
            <w:tcW w:w="199" w:type="pct"/>
          </w:tcPr>
          <w:p w14:paraId="29C44245" w14:textId="77777777" w:rsidR="00ED3516" w:rsidRPr="003C413E" w:rsidRDefault="00ED3516" w:rsidP="0041263A">
            <w:pPr>
              <w:pStyle w:val="Compact"/>
              <w:rPr>
                <w:rFonts w:eastAsia="Cambria"/>
                <w:sz w:val="20"/>
                <w:szCs w:val="20"/>
              </w:rPr>
            </w:pPr>
            <m:oMathPara>
              <m:oMath>
                <m:r>
                  <m:rPr>
                    <m:sty m:val="bi"/>
                  </m:rPr>
                  <w:rPr>
                    <w:rFonts w:ascii="Cambria Math" w:hAnsi="Cambria Math"/>
                    <w:sz w:val="20"/>
                    <w:szCs w:val="20"/>
                  </w:rPr>
                  <m:t>β</m:t>
                </m:r>
              </m:oMath>
            </m:oMathPara>
          </w:p>
        </w:tc>
        <w:tc>
          <w:tcPr>
            <w:tcW w:w="1566" w:type="pct"/>
          </w:tcPr>
          <w:p w14:paraId="692F0750" w14:textId="649C7DAA" w:rsidR="00ED3516" w:rsidRPr="003C413E" w:rsidRDefault="00ED3516" w:rsidP="27C5738E">
            <w:pPr>
              <w:pStyle w:val="Compact"/>
              <w:rPr>
                <w:b w:val="0"/>
                <w:sz w:val="20"/>
                <w:szCs w:val="20"/>
              </w:rPr>
            </w:pPr>
            <w:r w:rsidRPr="003C413E">
              <w:rPr>
                <w:b w:val="0"/>
                <w:sz w:val="20"/>
                <w:szCs w:val="20"/>
              </w:rPr>
              <w:t>Probability of asymptomatic infection</w:t>
            </w:r>
          </w:p>
        </w:tc>
        <w:tc>
          <w:tcPr>
            <w:tcW w:w="548" w:type="pct"/>
          </w:tcPr>
          <w:p w14:paraId="5C21BAD6" w14:textId="77777777" w:rsidR="00ED3516" w:rsidRPr="003C413E" w:rsidRDefault="00ED3516" w:rsidP="0041263A">
            <w:pPr>
              <w:pStyle w:val="Compact"/>
              <w:rPr>
                <w:b w:val="0"/>
                <w:bCs/>
                <w:sz w:val="20"/>
                <w:szCs w:val="20"/>
              </w:rPr>
            </w:pPr>
          </w:p>
        </w:tc>
        <w:tc>
          <w:tcPr>
            <w:tcW w:w="548" w:type="pct"/>
          </w:tcPr>
          <w:p w14:paraId="4C387562" w14:textId="3646FB41" w:rsidR="00ED3516" w:rsidRPr="003C413E" w:rsidRDefault="00ED3516" w:rsidP="0041263A">
            <w:pPr>
              <w:pStyle w:val="Compact"/>
              <w:rPr>
                <w:b w:val="0"/>
                <w:bCs/>
                <w:sz w:val="20"/>
                <w:szCs w:val="20"/>
              </w:rPr>
            </w:pPr>
            <w:r w:rsidRPr="003C413E">
              <w:rPr>
                <w:b w:val="0"/>
                <w:bCs/>
                <w:sz w:val="20"/>
                <w:szCs w:val="20"/>
              </w:rPr>
              <w:t>Sex</w:t>
            </w:r>
          </w:p>
        </w:tc>
        <w:tc>
          <w:tcPr>
            <w:tcW w:w="489" w:type="pct"/>
          </w:tcPr>
          <w:p w14:paraId="2CFC0AF7" w14:textId="77777777" w:rsidR="00ED3516" w:rsidRPr="003C413E" w:rsidRDefault="00ED3516" w:rsidP="0041263A">
            <w:pPr>
              <w:pStyle w:val="Compact"/>
              <w:rPr>
                <w:b w:val="0"/>
                <w:bCs/>
                <w:sz w:val="20"/>
                <w:szCs w:val="20"/>
              </w:rPr>
            </w:pPr>
            <w:r w:rsidRPr="003C413E">
              <w:rPr>
                <w:b w:val="0"/>
                <w:bCs/>
                <w:sz w:val="20"/>
                <w:szCs w:val="20"/>
              </w:rPr>
              <w:t>No</w:t>
            </w:r>
          </w:p>
        </w:tc>
        <w:tc>
          <w:tcPr>
            <w:tcW w:w="1650" w:type="pct"/>
          </w:tcPr>
          <w:p w14:paraId="5C3D81D1" w14:textId="52E8AE1B" w:rsidR="00ED3516" w:rsidRPr="003C413E" w:rsidRDefault="00ED3516" w:rsidP="0041263A">
            <w:pPr>
              <w:pStyle w:val="Compact"/>
              <w:rPr>
                <w:b w:val="0"/>
                <w:bCs/>
                <w:sz w:val="20"/>
                <w:szCs w:val="20"/>
              </w:rPr>
            </w:pPr>
            <w:r w:rsidRPr="003C413E">
              <w:rPr>
                <w:b w:val="0"/>
                <w:bCs/>
                <w:sz w:val="20"/>
                <w:szCs w:val="20"/>
              </w:rPr>
              <w:fldChar w:fldCharType="begin" w:fldLock="1"/>
            </w:r>
            <w:r w:rsidRPr="003C413E">
              <w:rPr>
                <w:b w:val="0"/>
                <w:bCs/>
                <w:sz w:val="20"/>
                <w:szCs w:val="20"/>
              </w:rPr>
              <w:instrText>ADDIN CSL_CITATION {"citationItems":[{"id":"ITEM-1","itemData":{"DOI":"10.1016/S0091-7435(02)00058-0","ISSN":"00917435","PMID":"12649059","abstract":"Background. The United States has the highest prevalence of sexually transmitted diseases in the developed world. Control strategies should address the most frequent reasons why curable sexually transmitted diseases are not treated. Methods. We approached 1,631 persons ages 18-29 in various sites and offered them screening for gonorrhea and chlamydial infection and surveys regarding past genitourinary symptoms. For those with past symptoms we abstracted medical records or conducted additional interviews. From these data we estimated the total number of persons who had gonorrhea or chlamydial infections in the previous year, the proportion treated, and the primary reasons for nontreatment. Results. The prevalence of gonorrhea was 2.3% and that of chlamydial infection was 10.1%. We estimate that 45 and 77% of all cases of gonorrhea and chlamydial infection, respectively, were never symptomatic and that 86 and 95% of untreated cases of gonorrhea and chlamydial infection, respectively, were untreated because they were never symptomatic. The remaining 14 and 5% of untreated cases of gonorrhea and chlamydia, respectively, were not treated because persons did not receive medical care for symptoms. Conclusions. The primary reason that gonorrhea and chlamydial infections are untreated is that infected persons never have symptoms. The most effective method to control these sexually transmitted diseases is routine screening at high-volume sites. © 2003 American Health Foundation and Elsevier Science (USA). All rights reserved.","author":[{"dropping-particle":"","family":"Farley","given":"Thomas A.","non-dropping-particle":"","parse-names":false,"suffix":""},{"dropping-particle":"","family":"Cohen","given":"Deborah A.","non-dropping-particle":"","parse-names":false,"suffix":""},{"dropping-particle":"","family":"Elkins","given":"Whitney","non-dropping-particle":"","parse-names":false,"suffix":""}],"container-title":"Preventive Medicine","id":"ITEM-1","issue":"4","issued":{"date-parts":[["2003","4","1"]]},"page":"502-509","publisher":"Academic Press Inc.","title":"Asymptomatic sexually transmitted diseases: The case for screening","type":"article-journal","volume":"36"},"uris":["http://www.mendeley.com/documents/?uuid=8fdbaf97-a270-3af0-b692-e563b1fb63e8"]}],"mendeley":{"formattedCitation":"[23]","plainTextFormattedCitation":"[23]","previouslyFormattedCitation":"[23]"},"properties":{"noteIndex":0},"schema":"https://github.com/citation-style-language/schema/raw/master/csl-citation.json"}</w:instrText>
            </w:r>
            <w:r w:rsidRPr="003C413E">
              <w:rPr>
                <w:b w:val="0"/>
                <w:bCs/>
                <w:sz w:val="20"/>
                <w:szCs w:val="20"/>
              </w:rPr>
              <w:fldChar w:fldCharType="separate"/>
            </w:r>
            <w:r w:rsidRPr="003C413E">
              <w:rPr>
                <w:b w:val="0"/>
                <w:bCs/>
                <w:noProof/>
                <w:sz w:val="20"/>
                <w:szCs w:val="20"/>
              </w:rPr>
              <w:t>[23]</w:t>
            </w:r>
            <w:r w:rsidRPr="003C413E">
              <w:rPr>
                <w:b w:val="0"/>
                <w:bCs/>
                <w:sz w:val="20"/>
                <w:szCs w:val="20"/>
              </w:rPr>
              <w:fldChar w:fldCharType="end"/>
            </w:r>
          </w:p>
        </w:tc>
      </w:tr>
      <w:tr w:rsidR="00ED3516" w:rsidRPr="003C413E" w14:paraId="5C2FF613" w14:textId="77777777" w:rsidTr="00ED3516">
        <w:tc>
          <w:tcPr>
            <w:tcW w:w="199" w:type="pct"/>
          </w:tcPr>
          <w:p w14:paraId="1D7AE93B" w14:textId="77777777" w:rsidR="00ED3516" w:rsidRPr="003C413E" w:rsidRDefault="00ED3516" w:rsidP="0041263A">
            <w:pPr>
              <w:pStyle w:val="Compact"/>
              <w:rPr>
                <w:rFonts w:eastAsia="Cambria"/>
                <w:sz w:val="20"/>
                <w:szCs w:val="20"/>
              </w:rPr>
            </w:pPr>
            <m:oMathPara>
              <m:oMath>
                <m:r>
                  <m:rPr>
                    <m:sty m:val="bi"/>
                  </m:rPr>
                  <w:rPr>
                    <w:rFonts w:ascii="Cambria Math" w:hAnsi="Cambria Math"/>
                    <w:sz w:val="20"/>
                    <w:szCs w:val="20"/>
                  </w:rPr>
                  <m:t>τ</m:t>
                </m:r>
              </m:oMath>
            </m:oMathPara>
          </w:p>
        </w:tc>
        <w:tc>
          <w:tcPr>
            <w:tcW w:w="1566" w:type="pct"/>
          </w:tcPr>
          <w:p w14:paraId="0F522F8A" w14:textId="77777777" w:rsidR="00ED3516" w:rsidRPr="003C413E" w:rsidRDefault="00ED3516" w:rsidP="0041263A">
            <w:pPr>
              <w:pStyle w:val="Compact"/>
              <w:rPr>
                <w:b w:val="0"/>
                <w:bCs/>
                <w:sz w:val="20"/>
                <w:szCs w:val="20"/>
              </w:rPr>
            </w:pPr>
            <w:r w:rsidRPr="003C413E">
              <w:rPr>
                <w:b w:val="0"/>
                <w:bCs/>
                <w:sz w:val="20"/>
                <w:szCs w:val="20"/>
              </w:rPr>
              <w:t>Time to treatment seeking (symptomatic infections)</w:t>
            </w:r>
          </w:p>
        </w:tc>
        <w:tc>
          <w:tcPr>
            <w:tcW w:w="548" w:type="pct"/>
          </w:tcPr>
          <w:p w14:paraId="53DD9935" w14:textId="77777777" w:rsidR="00ED3516" w:rsidRPr="003C413E" w:rsidRDefault="00ED3516" w:rsidP="0041263A">
            <w:pPr>
              <w:pStyle w:val="Compact"/>
              <w:rPr>
                <w:b w:val="0"/>
                <w:bCs/>
                <w:sz w:val="20"/>
                <w:szCs w:val="20"/>
              </w:rPr>
            </w:pPr>
          </w:p>
        </w:tc>
        <w:tc>
          <w:tcPr>
            <w:tcW w:w="548" w:type="pct"/>
          </w:tcPr>
          <w:p w14:paraId="5EF66FF6" w14:textId="08482C71" w:rsidR="00ED3516" w:rsidRPr="003C413E" w:rsidRDefault="00ED3516" w:rsidP="0041263A">
            <w:pPr>
              <w:pStyle w:val="Compact"/>
              <w:rPr>
                <w:b w:val="0"/>
                <w:bCs/>
                <w:sz w:val="20"/>
                <w:szCs w:val="20"/>
              </w:rPr>
            </w:pPr>
            <w:r w:rsidRPr="003C413E">
              <w:rPr>
                <w:b w:val="0"/>
                <w:bCs/>
                <w:sz w:val="20"/>
                <w:szCs w:val="20"/>
              </w:rPr>
              <w:t>Sex &amp; Age</w:t>
            </w:r>
          </w:p>
        </w:tc>
        <w:tc>
          <w:tcPr>
            <w:tcW w:w="489" w:type="pct"/>
          </w:tcPr>
          <w:p w14:paraId="2F321E5D" w14:textId="77777777" w:rsidR="00ED3516" w:rsidRPr="003C413E" w:rsidRDefault="00ED3516" w:rsidP="0041263A">
            <w:pPr>
              <w:pStyle w:val="Compact"/>
              <w:rPr>
                <w:b w:val="0"/>
                <w:bCs/>
                <w:sz w:val="20"/>
                <w:szCs w:val="20"/>
              </w:rPr>
            </w:pPr>
            <w:r w:rsidRPr="003C413E">
              <w:rPr>
                <w:b w:val="0"/>
                <w:bCs/>
                <w:sz w:val="20"/>
                <w:szCs w:val="20"/>
              </w:rPr>
              <w:t>Yes</w:t>
            </w:r>
          </w:p>
        </w:tc>
        <w:tc>
          <w:tcPr>
            <w:tcW w:w="1650" w:type="pct"/>
          </w:tcPr>
          <w:p w14:paraId="30C3A223" w14:textId="77777777" w:rsidR="00ED3516" w:rsidRPr="003C413E" w:rsidRDefault="00ED3516" w:rsidP="0041263A">
            <w:pPr>
              <w:pStyle w:val="Compact"/>
              <w:rPr>
                <w:b w:val="0"/>
                <w:bCs/>
                <w:sz w:val="20"/>
                <w:szCs w:val="20"/>
              </w:rPr>
            </w:pPr>
            <w:r w:rsidRPr="003C413E">
              <w:rPr>
                <w:b w:val="0"/>
                <w:bCs/>
                <w:sz w:val="20"/>
                <w:szCs w:val="20"/>
              </w:rPr>
              <w:t>Composite parameter, see appendix.</w:t>
            </w:r>
          </w:p>
        </w:tc>
      </w:tr>
    </w:tbl>
    <w:p w14:paraId="5013637D" w14:textId="77777777" w:rsidR="00810FCA" w:rsidRPr="003C413E" w:rsidRDefault="00810FCA" w:rsidP="003739B6">
      <w:pPr>
        <w:spacing w:line="360" w:lineRule="auto"/>
        <w:rPr>
          <w:rFonts w:ascii="Times New Roman" w:hAnsi="Times New Roman" w:cs="Times New Roman"/>
          <w:b/>
          <w:bCs/>
        </w:rPr>
      </w:pPr>
    </w:p>
    <w:p w14:paraId="1583352D" w14:textId="77777777" w:rsidR="00613DB0" w:rsidRPr="003C413E" w:rsidRDefault="00613DB0" w:rsidP="003739B6">
      <w:pPr>
        <w:spacing w:line="360" w:lineRule="auto"/>
        <w:rPr>
          <w:rFonts w:ascii="Times New Roman" w:hAnsi="Times New Roman" w:cs="Times New Roman"/>
          <w:b/>
          <w:bCs/>
        </w:rPr>
      </w:pPr>
    </w:p>
    <w:p w14:paraId="201FA639" w14:textId="77777777" w:rsidR="00613DB0" w:rsidRPr="003C413E" w:rsidRDefault="00613DB0" w:rsidP="003739B6">
      <w:pPr>
        <w:spacing w:line="360" w:lineRule="auto"/>
        <w:rPr>
          <w:rFonts w:ascii="Times New Roman" w:hAnsi="Times New Roman" w:cs="Times New Roman"/>
          <w:b/>
          <w:bCs/>
        </w:rPr>
      </w:pPr>
    </w:p>
    <w:p w14:paraId="5F7D6AF3" w14:textId="77777777" w:rsidR="00613DB0" w:rsidRPr="003C413E" w:rsidRDefault="00613DB0" w:rsidP="003739B6">
      <w:pPr>
        <w:spacing w:line="360" w:lineRule="auto"/>
        <w:rPr>
          <w:rFonts w:ascii="Times New Roman" w:hAnsi="Times New Roman" w:cs="Times New Roman"/>
          <w:b/>
          <w:bCs/>
        </w:rPr>
      </w:pPr>
    </w:p>
    <w:p w14:paraId="22A5720B" w14:textId="77777777" w:rsidR="00613DB0" w:rsidRPr="003C413E" w:rsidRDefault="00613DB0" w:rsidP="003739B6">
      <w:pPr>
        <w:spacing w:line="360" w:lineRule="auto"/>
        <w:rPr>
          <w:rFonts w:ascii="Times New Roman" w:hAnsi="Times New Roman" w:cs="Times New Roman"/>
          <w:b/>
          <w:bCs/>
        </w:rPr>
      </w:pPr>
    </w:p>
    <w:p w14:paraId="319DA604" w14:textId="77777777" w:rsidR="00613DB0" w:rsidRPr="003C413E" w:rsidRDefault="00613DB0" w:rsidP="003739B6">
      <w:pPr>
        <w:spacing w:line="360" w:lineRule="auto"/>
        <w:rPr>
          <w:rFonts w:ascii="Times New Roman" w:hAnsi="Times New Roman" w:cs="Times New Roman"/>
          <w:b/>
          <w:bCs/>
        </w:rPr>
      </w:pPr>
    </w:p>
    <w:p w14:paraId="6C71A7CC" w14:textId="77777777" w:rsidR="00613DB0" w:rsidRPr="003C413E" w:rsidRDefault="00613DB0" w:rsidP="003739B6">
      <w:pPr>
        <w:spacing w:line="360" w:lineRule="auto"/>
        <w:rPr>
          <w:rFonts w:ascii="Times New Roman" w:hAnsi="Times New Roman" w:cs="Times New Roman"/>
          <w:b/>
          <w:bCs/>
        </w:rPr>
      </w:pPr>
    </w:p>
    <w:p w14:paraId="1E87D956" w14:textId="77777777" w:rsidR="00613DB0" w:rsidRPr="003C413E" w:rsidRDefault="00613DB0" w:rsidP="003739B6">
      <w:pPr>
        <w:spacing w:line="360" w:lineRule="auto"/>
        <w:rPr>
          <w:rFonts w:ascii="Times New Roman" w:hAnsi="Times New Roman" w:cs="Times New Roman"/>
          <w:b/>
          <w:bCs/>
        </w:rPr>
      </w:pPr>
    </w:p>
    <w:p w14:paraId="7A733607" w14:textId="77777777" w:rsidR="00613DB0" w:rsidRPr="003C413E" w:rsidRDefault="00613DB0" w:rsidP="003739B6">
      <w:pPr>
        <w:spacing w:line="360" w:lineRule="auto"/>
        <w:rPr>
          <w:rFonts w:ascii="Times New Roman" w:hAnsi="Times New Roman" w:cs="Times New Roman"/>
          <w:b/>
          <w:bCs/>
        </w:rPr>
      </w:pPr>
    </w:p>
    <w:p w14:paraId="49F8AB1D" w14:textId="77777777" w:rsidR="00613DB0" w:rsidRPr="003C413E" w:rsidRDefault="00613DB0" w:rsidP="003739B6">
      <w:pPr>
        <w:spacing w:line="360" w:lineRule="auto"/>
        <w:rPr>
          <w:rFonts w:ascii="Times New Roman" w:hAnsi="Times New Roman" w:cs="Times New Roman"/>
          <w:b/>
          <w:bCs/>
        </w:rPr>
      </w:pPr>
    </w:p>
    <w:p w14:paraId="11B1098E" w14:textId="77777777" w:rsidR="00613DB0" w:rsidRPr="003C413E" w:rsidRDefault="00613DB0" w:rsidP="003739B6">
      <w:pPr>
        <w:spacing w:line="360" w:lineRule="auto"/>
        <w:rPr>
          <w:rFonts w:ascii="Times New Roman" w:hAnsi="Times New Roman" w:cs="Times New Roman"/>
          <w:b/>
          <w:bCs/>
        </w:rPr>
      </w:pPr>
    </w:p>
    <w:p w14:paraId="52DEC1AA" w14:textId="77777777" w:rsidR="00613DB0" w:rsidRPr="003C413E" w:rsidRDefault="00613DB0" w:rsidP="003739B6">
      <w:pPr>
        <w:spacing w:line="360" w:lineRule="auto"/>
        <w:rPr>
          <w:rFonts w:ascii="Times New Roman" w:hAnsi="Times New Roman" w:cs="Times New Roman"/>
          <w:b/>
          <w:bCs/>
        </w:rPr>
      </w:pPr>
    </w:p>
    <w:p w14:paraId="2632BC45" w14:textId="77777777" w:rsidR="00613DB0" w:rsidRPr="003C413E" w:rsidRDefault="00613DB0" w:rsidP="003739B6">
      <w:pPr>
        <w:spacing w:line="360" w:lineRule="auto"/>
        <w:rPr>
          <w:rFonts w:ascii="Times New Roman" w:hAnsi="Times New Roman" w:cs="Times New Roman"/>
          <w:b/>
          <w:bCs/>
        </w:rPr>
      </w:pPr>
    </w:p>
    <w:p w14:paraId="15078ACE" w14:textId="77777777" w:rsidR="00613DB0" w:rsidRPr="003C413E" w:rsidRDefault="00613DB0" w:rsidP="003739B6">
      <w:pPr>
        <w:spacing w:line="360" w:lineRule="auto"/>
        <w:rPr>
          <w:rFonts w:ascii="Times New Roman" w:hAnsi="Times New Roman" w:cs="Times New Roman"/>
          <w:b/>
          <w:bCs/>
        </w:rPr>
      </w:pPr>
    </w:p>
    <w:p w14:paraId="4A12C96C" w14:textId="77777777" w:rsidR="00613DB0" w:rsidRPr="003C413E" w:rsidRDefault="00613DB0" w:rsidP="003739B6">
      <w:pPr>
        <w:spacing w:line="360" w:lineRule="auto"/>
        <w:rPr>
          <w:rFonts w:ascii="Times New Roman" w:hAnsi="Times New Roman" w:cs="Times New Roman"/>
          <w:b/>
          <w:bCs/>
        </w:rPr>
      </w:pPr>
    </w:p>
    <w:p w14:paraId="5F25CB18" w14:textId="5810DBF9" w:rsidR="001718E7" w:rsidRPr="003C413E" w:rsidRDefault="001718E7" w:rsidP="00043B02">
      <w:pPr>
        <w:pStyle w:val="Heading2"/>
        <w:spacing w:line="360" w:lineRule="auto"/>
        <w:rPr>
          <w:rFonts w:ascii="Times New Roman" w:hAnsi="Times New Roman" w:cs="Times New Roman"/>
        </w:rPr>
      </w:pPr>
      <w:bookmarkStart w:id="21" w:name="_Toc113956978"/>
      <w:r w:rsidRPr="003C413E">
        <w:rPr>
          <w:rFonts w:ascii="Times New Roman" w:hAnsi="Times New Roman" w:cs="Times New Roman"/>
        </w:rPr>
        <w:lastRenderedPageBreak/>
        <w:t>Population</w:t>
      </w:r>
      <w:r w:rsidR="000E545D" w:rsidRPr="003C413E">
        <w:rPr>
          <w:rFonts w:ascii="Times New Roman" w:hAnsi="Times New Roman" w:cs="Times New Roman"/>
        </w:rPr>
        <w:t xml:space="preserve"> </w:t>
      </w:r>
      <w:r w:rsidRPr="003C413E">
        <w:rPr>
          <w:rFonts w:ascii="Times New Roman" w:hAnsi="Times New Roman" w:cs="Times New Roman"/>
        </w:rPr>
        <w:t>Size</w:t>
      </w:r>
      <w:r w:rsidR="000E545D" w:rsidRPr="003C413E">
        <w:rPr>
          <w:rFonts w:ascii="Times New Roman" w:hAnsi="Times New Roman" w:cs="Times New Roman"/>
        </w:rPr>
        <w:t xml:space="preserve"> </w:t>
      </w:r>
      <w:r w:rsidRPr="003C413E">
        <w:rPr>
          <w:rFonts w:ascii="Times New Roman" w:hAnsi="Times New Roman" w:cs="Times New Roman"/>
        </w:rPr>
        <w:t>(N)</w:t>
      </w:r>
      <w:bookmarkEnd w:id="21"/>
      <w:r w:rsidRPr="003C413E">
        <w:rPr>
          <w:rFonts w:ascii="Times New Roman" w:hAnsi="Times New Roman" w:cs="Times New Roman"/>
        </w:rPr>
        <w:t xml:space="preserve"> </w:t>
      </w:r>
    </w:p>
    <w:p w14:paraId="0B230EFE" w14:textId="76B50AF6" w:rsidR="003739B6" w:rsidRPr="003C413E" w:rsidRDefault="001718E7" w:rsidP="00043B02">
      <w:pPr>
        <w:spacing w:line="360" w:lineRule="auto"/>
        <w:ind w:firstLine="720"/>
        <w:rPr>
          <w:rFonts w:ascii="Times New Roman" w:hAnsi="Times New Roman" w:cs="Times New Roman"/>
        </w:rPr>
      </w:pPr>
      <w:r w:rsidRPr="003C413E">
        <w:rPr>
          <w:rFonts w:ascii="Times New Roman" w:hAnsi="Times New Roman" w:cs="Times New Roman"/>
        </w:rPr>
        <w:t>For the population size estimates, we used data from the United States (US) Census Bureau’s American Community Survey</w:t>
      </w:r>
      <w:r w:rsidR="000E545D" w:rsidRPr="003C413E">
        <w:rPr>
          <w:rFonts w:ascii="Times New Roman" w:hAnsi="Times New Roman" w:cs="Times New Roman"/>
        </w:rPr>
        <w:t xml:space="preserve"> </w:t>
      </w:r>
      <w:r w:rsidRPr="003C413E">
        <w:rPr>
          <w:rFonts w:ascii="Times New Roman" w:hAnsi="Times New Roman" w:cs="Times New Roman"/>
        </w:rPr>
        <w:t>(ACS) representing</w:t>
      </w:r>
      <w:r w:rsidR="000E545D" w:rsidRPr="003C413E">
        <w:rPr>
          <w:rFonts w:ascii="Times New Roman" w:hAnsi="Times New Roman" w:cs="Times New Roman"/>
        </w:rPr>
        <w:t xml:space="preserve"> </w:t>
      </w:r>
      <w:r w:rsidRPr="003C413E">
        <w:rPr>
          <w:rFonts w:ascii="Times New Roman" w:hAnsi="Times New Roman" w:cs="Times New Roman"/>
        </w:rPr>
        <w:t xml:space="preserve">the full resident population of the US in </w:t>
      </w:r>
      <w:r w:rsidR="000E545D" w:rsidRPr="003C413E">
        <w:rPr>
          <w:rFonts w:ascii="Times New Roman" w:hAnsi="Times New Roman" w:cs="Times New Roman"/>
        </w:rPr>
        <w:t>each year from 200</w:t>
      </w:r>
      <w:r w:rsidR="000210E0" w:rsidRPr="003C413E">
        <w:rPr>
          <w:rFonts w:ascii="Times New Roman" w:hAnsi="Times New Roman" w:cs="Times New Roman"/>
        </w:rPr>
        <w:t>6</w:t>
      </w:r>
      <w:r w:rsidR="000E545D" w:rsidRPr="003C413E">
        <w:rPr>
          <w:rFonts w:ascii="Times New Roman" w:hAnsi="Times New Roman" w:cs="Times New Roman"/>
        </w:rPr>
        <w:t xml:space="preserve"> to 201</w:t>
      </w:r>
      <w:r w:rsidR="008E02BB" w:rsidRPr="003C413E">
        <w:rPr>
          <w:rFonts w:ascii="Times New Roman" w:hAnsi="Times New Roman" w:cs="Times New Roman"/>
        </w:rPr>
        <w:t>9</w:t>
      </w:r>
      <w:r w:rsidR="00B060A2" w:rsidRPr="003C413E">
        <w:rPr>
          <w:rFonts w:ascii="Times New Roman" w:hAnsi="Times New Roman" w:cs="Times New Roman"/>
        </w:rPr>
        <w:t xml:space="preserve"> </w:t>
      </w:r>
      <w:r w:rsidRPr="003C413E">
        <w:rPr>
          <w:rFonts w:ascii="Times New Roman" w:hAnsi="Times New Roman" w:cs="Times New Roman"/>
        </w:rPr>
        <w:fldChar w:fldCharType="begin" w:fldLock="1"/>
      </w:r>
      <w:r w:rsidR="00303E7E" w:rsidRPr="003C413E">
        <w:rPr>
          <w:rFonts w:ascii="Times New Roman" w:hAnsi="Times New Roman" w:cs="Times New Roman"/>
        </w:rPr>
        <w:instrText>ADDIN CSL_CITATION {"citationItems":[{"id":"ITEM-1","itemData":{"author":[{"dropping-particle":"","family":"United States Census Bureau","given":"","non-dropping-particle":"","parse-names":false,"suffix":""}],"id":"ITEM-1","issued":{"date-parts":[["2021"]]},"title":"American Community Survey, 2019 American Community Survey 1-Year Estimates, Table B01001","type":"article"},"uris":["http://www.mendeley.com/documents/?uuid=3d7b5225-34f2-45a8-a9c9-67fbfde4f3cb"]},{"id":"ITEM-2","itemData":{"author":[{"dropping-particle":"","family":"United States Census Bureau","given":"","non-dropping-particle":"","parse-names":false,"suffix":""}],"id":"ITEM-2","issued":{"date-parts":[["2019"]]},"title":"American Community Survey, 2018 American Community Survey 1-Year Estimates, Table B01001","type":"article"},"uris":["http://www.mendeley.com/documents/?uuid=ee1a0ffb-7537-4dc1-969d-204407227ca9"]},{"id":"ITEM-3","itemData":{"author":[{"dropping-particle":"","family":"United States Census Bureau","given":"","non-dropping-particle":"","parse-names":false,"suffix":""}],"id":"ITEM-3","issued":{"date-parts":[["2018"]]},"title":"American Community Survey, 2017 American Community Survey 1-Year Estimates, Table B01001","type":"article"},"uris":["http://www.mendeley.com/documents/?uuid=13744264-5224-4824-8455-5f760a3de1d7"]},{"id":"ITEM-4","itemData":{"author":[{"dropping-particle":"","family":"United States Census Bureau","given":"","non-dropping-particle":"","parse-names":false,"suffix":""}],"id":"ITEM-4","issued":{"date-parts":[["2017"]]},"title":"American Community Survey, 2016 American Community Survey 1-Year Estimates, Table B01001","type":"article"},"uris":["http://www.mendeley.com/documents/?uuid=53406a89-c7d8-4aa9-9d00-b2ad60a19882"]},{"id":"ITEM-5","itemData":{"author":[{"dropping-particle":"","family":"United States Census Bureau","given":"","non-dropping-particle":"","parse-names":false,"suffix":""}],"id":"ITEM-5","issued":{"date-parts":[["2016"]]},"title":"American Community Survey, 2015 American Community Survey 1-Year Estimates, Table B01001","type":"article"},"uris":["http://www.mendeley.com/documents/?uuid=52d6eb28-040f-4226-b6de-0563c66d62b8"]},{"id":"ITEM-6","itemData":{"author":[{"dropping-particle":"","family":"United States Census Bureau","given":"","non-dropping-particle":"","parse-names":false,"suffix":""}],"id":"ITEM-6","issued":{"date-parts":[["2015"]]},"title":"American Community Survey, 2014 American Community Survey 1-Year Estimates, Table B01001","type":"article"},"uris":["http://www.mendeley.com/documents/?uuid=7718c6c9-7369-4921-9278-f995db7ae33f"]},{"id":"ITEM-7","itemData":{"author":[{"dropping-particle":"","family":"United States Census Bureau","given":"","non-dropping-particle":"","parse-names":false,"suffix":""}],"id":"ITEM-7","issued":{"date-parts":[["2014"]]},"title":"American Community Survey, 2013 American Community Survey 1-Year Estimates, Table B01001","type":"article"},"uris":["http://www.mendeley.com/documents/?uuid=fd0a50c3-2f9d-40da-904b-a3822a139f56"]},{"id":"ITEM-8","itemData":{"author":[{"dropping-particle":"","family":"United States Census Bureau","given":"","non-dropping-particle":"","parse-names":false,"suffix":""}],"id":"ITEM-8","issued":{"date-parts":[["2013"]]},"title":"American Community Survey, 2012 American Community Survey 1-Year Estimates, Table B01001","type":"article"},"uris":["http://www.mendeley.com/documents/?uuid=8dfe6072-5396-415d-8a3e-683a9f85700e"]},{"id":"ITEM-9","itemData":{"author":[{"dropping-particle":"","family":"United States Census Bureau","given":"","non-dropping-particle":"","parse-names":false,"suffix":""}],"id":"ITEM-9","issued":{"date-parts":[["2012"]]},"title":"American Community Survey, 2011 American Community Survey 1-Year Estimates, Table B01001","type":"article"},"uris":["http://www.mendeley.com/documents/?uuid=a49e5efc-3f9d-40b2-b18f-ff94ea358bf4"]},{"id":"ITEM-10","itemData":{"author":[{"dropping-particle":"","family":"United States Census Bureau","given":"","non-dropping-particle":"","parse-names":false,"suffix":""}],"id":"ITEM-10","issued":{"date-parts":[["2011"]]},"title":"American Community Survey, 2010 American Community Survey 1-Year Estimates, Table B01001","type":"article"},"uris":["http://www.mendeley.com/documents/?uuid=16785ea3-fa24-48b5-b2be-1bc9161d2f2c"]},{"id":"ITEM-11","itemData":{"author":[{"dropping-particle":"","family":"United States Census Bureau","given":"","non-dropping-particle":"","parse-names":false,"suffix":""}],"id":"ITEM-11","issued":{"date-parts":[["2010"]]},"title":"American Community Survey, 2009 American Community Survey 1-Year Estimates, Table B01001","type":"article"},"uris":["http://www.mendeley.com/documents/?uuid=761671b3-bc61-4004-9d92-e1785e070e44"]},{"id":"ITEM-12","itemData":{"author":[{"dropping-particle":"","family":"United States Census Bureau","given":"","non-dropping-particle":"","parse-names":false,"suffix":""}],"id":"ITEM-12","issued":{"date-parts":[["2009"]]},"title":"American Community Survey, 2008 American Community Survey 1-Year Estimates, Table B01001","type":"article"},"uris":["http://www.mendeley.com/documents/?uuid=f12254d6-b115-4250-b83e-944389c25dd5"]},{"id":"ITEM-13","itemData":{"author":[{"dropping-particle":"","family":"United States Census Bureau","given":"","non-dropping-particle":"","parse-names":false,"suffix":""}],"id":"ITEM-13","issued":{"date-parts":[["2008"]]},"title":"American Community Survey, 2007 American Community Survey 1-Year Estimates, Table B01001","type":"article"},"uris":["http://www.mendeley.com/documents/?uuid=1fe3b7ef-e5c5-41c8-adad-88e6cbecd953"]},{"id":"ITEM-14","itemData":{"author":[{"dropping-particle":"","family":"United States Census Bureau","given":"","non-dropping-particle":"","parse-names":false,"suffix":""}],"id":"ITEM-14","issued":{"date-parts":[["2007"]]},"title":"American Community Survey, 2006 American Community Survey 1-Year Estimates, Table B01001","type":"article"},"uris":["http://www.mendeley.com/documents/?uuid=59f17fc5-f249-4abc-85fb-035aeccd1bac"]}],"mendeley":{"formattedCitation":"[1], [2], [11]–[13], [24], [3]–[10]","plainTextFormattedCitation":"[1], [2], [11]–[13], [24], [3]–[10]","previouslyFormattedCitation":"[1], [2], [11]–[13], [3]–[10]"},"properties":{"noteIndex":0},"schema":"https://github.com/citation-style-language/schema/raw/master/csl-citation.json"}</w:instrText>
      </w:r>
      <w:r w:rsidRPr="003C413E">
        <w:rPr>
          <w:rFonts w:ascii="Times New Roman" w:hAnsi="Times New Roman" w:cs="Times New Roman"/>
        </w:rPr>
        <w:fldChar w:fldCharType="separate"/>
      </w:r>
      <w:r w:rsidR="00303E7E" w:rsidRPr="003C413E">
        <w:rPr>
          <w:rFonts w:ascii="Times New Roman" w:hAnsi="Times New Roman" w:cs="Times New Roman"/>
          <w:noProof/>
        </w:rPr>
        <w:t>[1], [2], [11]–[13], [24], [3]–[10]</w:t>
      </w:r>
      <w:r w:rsidRPr="003C413E">
        <w:rPr>
          <w:rFonts w:ascii="Times New Roman" w:hAnsi="Times New Roman" w:cs="Times New Roman"/>
        </w:rPr>
        <w:fldChar w:fldCharType="end"/>
      </w:r>
      <w:r w:rsidR="00AC3116" w:rsidRPr="003C413E">
        <w:rPr>
          <w:rFonts w:ascii="Times New Roman" w:hAnsi="Times New Roman" w:cs="Times New Roman"/>
        </w:rPr>
        <w:t xml:space="preserve">. </w:t>
      </w:r>
      <w:r w:rsidR="00205982" w:rsidRPr="003C413E">
        <w:rPr>
          <w:rFonts w:ascii="Times New Roman" w:hAnsi="Times New Roman" w:cs="Times New Roman"/>
        </w:rPr>
        <w:t xml:space="preserve">We assume that these </w:t>
      </w:r>
      <w:r w:rsidR="00C750E4" w:rsidRPr="003C413E">
        <w:rPr>
          <w:rFonts w:ascii="Times New Roman" w:hAnsi="Times New Roman" w:cs="Times New Roman"/>
        </w:rPr>
        <w:t xml:space="preserve">population </w:t>
      </w:r>
      <w:r w:rsidR="00205982" w:rsidRPr="003C413E">
        <w:rPr>
          <w:rFonts w:ascii="Times New Roman" w:hAnsi="Times New Roman" w:cs="Times New Roman"/>
        </w:rPr>
        <w:t xml:space="preserve">estimates </w:t>
      </w:r>
      <w:r w:rsidR="00C750E4" w:rsidRPr="003C413E">
        <w:rPr>
          <w:rFonts w:ascii="Times New Roman" w:hAnsi="Times New Roman" w:cs="Times New Roman"/>
        </w:rPr>
        <w:t xml:space="preserve">are </w:t>
      </w:r>
      <w:r w:rsidRPr="003C413E">
        <w:rPr>
          <w:rFonts w:ascii="Times New Roman" w:hAnsi="Times New Roman" w:cs="Times New Roman"/>
        </w:rPr>
        <w:t xml:space="preserve">constant and stable throughout </w:t>
      </w:r>
      <w:r w:rsidR="00AC3116" w:rsidRPr="003C413E">
        <w:rPr>
          <w:rFonts w:ascii="Times New Roman" w:hAnsi="Times New Roman" w:cs="Times New Roman"/>
        </w:rPr>
        <w:t>each</w:t>
      </w:r>
      <w:r w:rsidRPr="003C413E">
        <w:rPr>
          <w:rFonts w:ascii="Times New Roman" w:hAnsi="Times New Roman" w:cs="Times New Roman"/>
        </w:rPr>
        <w:t xml:space="preserve"> year. </w:t>
      </w:r>
    </w:p>
    <w:p w14:paraId="2B606B17" w14:textId="6089DE50" w:rsidR="00122CB3" w:rsidRPr="003C413E" w:rsidRDefault="00122CB3" w:rsidP="00043B02">
      <w:pPr>
        <w:pStyle w:val="Heading3"/>
        <w:jc w:val="center"/>
        <w:rPr>
          <w:rFonts w:ascii="Times New Roman" w:hAnsi="Times New Roman" w:cs="Times New Roman"/>
          <w:i/>
        </w:rPr>
      </w:pPr>
      <w:bookmarkStart w:id="22" w:name="_Toc113956979"/>
      <w:r w:rsidRPr="003C413E">
        <w:rPr>
          <w:rFonts w:ascii="Times New Roman" w:hAnsi="Times New Roman" w:cs="Times New Roman"/>
          <w:bCs/>
        </w:rPr>
        <w:t>Table</w:t>
      </w:r>
      <w:r w:rsidR="003739B6" w:rsidRPr="003C413E">
        <w:rPr>
          <w:rFonts w:ascii="Times New Roman" w:hAnsi="Times New Roman" w:cs="Times New Roman"/>
          <w:bCs/>
        </w:rPr>
        <w:t xml:space="preserve"> </w:t>
      </w:r>
      <w:r w:rsidR="0040468A" w:rsidRPr="003C413E">
        <w:rPr>
          <w:rFonts w:ascii="Times New Roman" w:hAnsi="Times New Roman" w:cs="Times New Roman"/>
          <w:bCs/>
        </w:rPr>
        <w:t>S</w:t>
      </w:r>
      <w:r w:rsidR="00A83BC4" w:rsidRPr="003C413E">
        <w:rPr>
          <w:rFonts w:ascii="Times New Roman" w:hAnsi="Times New Roman" w:cs="Times New Roman"/>
          <w:bCs/>
        </w:rPr>
        <w:t>4</w:t>
      </w:r>
      <w:r w:rsidRPr="003C413E">
        <w:rPr>
          <w:rFonts w:ascii="Times New Roman" w:hAnsi="Times New Roman" w:cs="Times New Roman"/>
          <w:bCs/>
        </w:rPr>
        <w:t xml:space="preserve"> </w:t>
      </w:r>
      <w:r w:rsidRPr="003C413E">
        <w:rPr>
          <w:rFonts w:ascii="Times New Roman" w:hAnsi="Times New Roman" w:cs="Times New Roman"/>
          <w:bCs/>
          <w:i/>
        </w:rPr>
        <w:fldChar w:fldCharType="begin"/>
      </w:r>
      <w:r w:rsidRPr="003C413E">
        <w:rPr>
          <w:rFonts w:ascii="Times New Roman" w:hAnsi="Times New Roman" w:cs="Times New Roman"/>
          <w:bCs/>
        </w:rPr>
        <w:instrText>SEQ tab \* Arabic</w:instrText>
      </w:r>
      <w:r w:rsidRPr="003C413E">
        <w:rPr>
          <w:rFonts w:ascii="Times New Roman" w:hAnsi="Times New Roman" w:cs="Times New Roman"/>
          <w:bCs/>
          <w:i/>
        </w:rPr>
        <w:fldChar w:fldCharType="end"/>
      </w:r>
      <w:r w:rsidRPr="003C413E">
        <w:rPr>
          <w:rFonts w:ascii="Times New Roman" w:hAnsi="Times New Roman" w:cs="Times New Roman"/>
          <w:bCs/>
        </w:rPr>
        <w:t>:</w:t>
      </w:r>
      <w:r w:rsidRPr="003C413E">
        <w:rPr>
          <w:rFonts w:ascii="Times New Roman" w:hAnsi="Times New Roman" w:cs="Times New Roman"/>
        </w:rPr>
        <w:t xml:space="preserve"> Population Sizes from ACS, 200</w:t>
      </w:r>
      <w:r w:rsidR="000210E0" w:rsidRPr="003C413E">
        <w:rPr>
          <w:rFonts w:ascii="Times New Roman" w:hAnsi="Times New Roman" w:cs="Times New Roman"/>
        </w:rPr>
        <w:t>6</w:t>
      </w:r>
      <w:r w:rsidRPr="003C413E">
        <w:rPr>
          <w:rFonts w:ascii="Times New Roman" w:hAnsi="Times New Roman" w:cs="Times New Roman"/>
        </w:rPr>
        <w:t>-201</w:t>
      </w:r>
      <w:r w:rsidR="008E02BB" w:rsidRPr="003C413E">
        <w:rPr>
          <w:rFonts w:ascii="Times New Roman" w:hAnsi="Times New Roman" w:cs="Times New Roman"/>
        </w:rPr>
        <w:t>9</w:t>
      </w:r>
      <w:bookmarkEnd w:id="22"/>
    </w:p>
    <w:tbl>
      <w:tblPr>
        <w:tblW w:w="0" w:type="auto"/>
        <w:jc w:val="center"/>
        <w:tblLook w:val="0420" w:firstRow="1" w:lastRow="0" w:firstColumn="0" w:lastColumn="0" w:noHBand="0" w:noVBand="1"/>
      </w:tblPr>
      <w:tblGrid>
        <w:gridCol w:w="665"/>
        <w:gridCol w:w="1190"/>
        <w:gridCol w:w="1190"/>
        <w:gridCol w:w="1190"/>
        <w:gridCol w:w="1190"/>
      </w:tblGrid>
      <w:tr w:rsidR="004548A7" w:rsidRPr="003C413E" w14:paraId="29836745" w14:textId="77777777" w:rsidTr="00054336">
        <w:trPr>
          <w:cantSplit/>
          <w:tblHeader/>
          <w:jc w:val="center"/>
        </w:trPr>
        <w:tc>
          <w:tcPr>
            <w:tcW w:w="665" w:type="dxa"/>
            <w:tcBorders>
              <w:top w:val="single" w:sz="16" w:space="0" w:color="666666"/>
              <w:bottom w:val="single" w:sz="8" w:space="0" w:color="666666"/>
            </w:tcBorders>
            <w:shd w:val="clear" w:color="auto" w:fill="FFFFFF"/>
            <w:tcMar>
              <w:top w:w="0" w:type="dxa"/>
              <w:left w:w="0" w:type="dxa"/>
              <w:bottom w:w="0" w:type="dxa"/>
              <w:right w:w="0" w:type="dxa"/>
            </w:tcMar>
            <w:vAlign w:val="center"/>
          </w:tcPr>
          <w:p w14:paraId="2C785174" w14:textId="77777777" w:rsidR="004548A7" w:rsidRPr="003C413E" w:rsidRDefault="004548A7" w:rsidP="0041263A">
            <w:pPr>
              <w:spacing w:before="100" w:after="100"/>
              <w:ind w:left="100" w:right="100"/>
              <w:rPr>
                <w:rFonts w:ascii="Times New Roman" w:hAnsi="Times New Roman" w:cs="Times New Roman"/>
              </w:rPr>
            </w:pPr>
            <w:r w:rsidRPr="003C413E">
              <w:rPr>
                <w:rFonts w:ascii="Times New Roman" w:eastAsia="Arial" w:hAnsi="Times New Roman" w:cs="Times New Roman"/>
                <w:b/>
                <w:color w:val="000000"/>
              </w:rPr>
              <w:t xml:space="preserve"> </w:t>
            </w:r>
          </w:p>
        </w:tc>
        <w:tc>
          <w:tcPr>
            <w:tcW w:w="0" w:type="auto"/>
            <w:gridSpan w:val="2"/>
            <w:tcBorders>
              <w:top w:val="single" w:sz="16" w:space="0" w:color="666666"/>
              <w:bottom w:val="single" w:sz="8" w:space="0" w:color="666666"/>
            </w:tcBorders>
            <w:shd w:val="clear" w:color="auto" w:fill="FFFFFF"/>
            <w:tcMar>
              <w:top w:w="0" w:type="dxa"/>
              <w:left w:w="0" w:type="dxa"/>
              <w:bottom w:w="0" w:type="dxa"/>
              <w:right w:w="0" w:type="dxa"/>
            </w:tcMar>
            <w:vAlign w:val="center"/>
          </w:tcPr>
          <w:p w14:paraId="1ED99593" w14:textId="77777777" w:rsidR="004548A7" w:rsidRPr="003C413E" w:rsidRDefault="004548A7" w:rsidP="0041263A">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Women</w:t>
            </w:r>
          </w:p>
        </w:tc>
        <w:tc>
          <w:tcPr>
            <w:tcW w:w="0" w:type="auto"/>
            <w:gridSpan w:val="2"/>
            <w:tcBorders>
              <w:top w:val="single" w:sz="16" w:space="0" w:color="666666"/>
              <w:bottom w:val="single" w:sz="8" w:space="0" w:color="666666"/>
            </w:tcBorders>
            <w:shd w:val="clear" w:color="auto" w:fill="FFFFFF"/>
            <w:tcMar>
              <w:top w:w="0" w:type="dxa"/>
              <w:left w:w="0" w:type="dxa"/>
              <w:bottom w:w="0" w:type="dxa"/>
              <w:right w:w="0" w:type="dxa"/>
            </w:tcMar>
            <w:vAlign w:val="center"/>
          </w:tcPr>
          <w:p w14:paraId="1C4BF85A" w14:textId="77777777" w:rsidR="004548A7" w:rsidRPr="003C413E" w:rsidRDefault="004548A7" w:rsidP="0041263A">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Men</w:t>
            </w:r>
          </w:p>
        </w:tc>
      </w:tr>
      <w:tr w:rsidR="004548A7" w:rsidRPr="003C413E" w14:paraId="79C854A4" w14:textId="77777777" w:rsidTr="00054336">
        <w:trPr>
          <w:cantSplit/>
          <w:tblHeader/>
          <w:jc w:val="center"/>
        </w:trPr>
        <w:tc>
          <w:tcPr>
            <w:tcW w:w="665" w:type="dxa"/>
            <w:tcBorders>
              <w:top w:val="single" w:sz="8" w:space="0" w:color="666666"/>
              <w:bottom w:val="single" w:sz="16" w:space="0" w:color="666666"/>
            </w:tcBorders>
            <w:shd w:val="clear" w:color="auto" w:fill="FFFFFF"/>
            <w:tcMar>
              <w:top w:w="0" w:type="dxa"/>
              <w:left w:w="0" w:type="dxa"/>
              <w:bottom w:w="0" w:type="dxa"/>
              <w:right w:w="0" w:type="dxa"/>
            </w:tcMar>
            <w:vAlign w:val="center"/>
          </w:tcPr>
          <w:p w14:paraId="311D7BFD" w14:textId="77777777" w:rsidR="004548A7" w:rsidRPr="003C413E" w:rsidRDefault="004548A7" w:rsidP="0041263A">
            <w:pPr>
              <w:spacing w:before="100" w:after="100"/>
              <w:ind w:left="100" w:right="100"/>
              <w:rPr>
                <w:rFonts w:ascii="Times New Roman" w:hAnsi="Times New Roman" w:cs="Times New Roman"/>
              </w:rPr>
            </w:pPr>
            <w:r w:rsidRPr="003C413E">
              <w:rPr>
                <w:rFonts w:ascii="Times New Roman" w:eastAsia="Arial" w:hAnsi="Times New Roman" w:cs="Times New Roman"/>
                <w:b/>
                <w:color w:val="000000"/>
              </w:rPr>
              <w:t>Year</w:t>
            </w:r>
          </w:p>
        </w:tc>
        <w:tc>
          <w:tcPr>
            <w:tcW w:w="0" w:type="auto"/>
            <w:tcBorders>
              <w:top w:val="single" w:sz="8" w:space="0" w:color="666666"/>
              <w:bottom w:val="single" w:sz="16" w:space="0" w:color="666666"/>
            </w:tcBorders>
            <w:shd w:val="clear" w:color="auto" w:fill="FFFFFF"/>
            <w:tcMar>
              <w:top w:w="0" w:type="dxa"/>
              <w:left w:w="0" w:type="dxa"/>
              <w:bottom w:w="0" w:type="dxa"/>
              <w:right w:w="0" w:type="dxa"/>
            </w:tcMar>
            <w:vAlign w:val="center"/>
          </w:tcPr>
          <w:p w14:paraId="532A5C0C" w14:textId="77777777" w:rsidR="004548A7" w:rsidRPr="003C413E" w:rsidRDefault="004548A7" w:rsidP="0041263A">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15-24</w:t>
            </w:r>
          </w:p>
        </w:tc>
        <w:tc>
          <w:tcPr>
            <w:tcW w:w="0" w:type="auto"/>
            <w:tcBorders>
              <w:top w:val="single" w:sz="8" w:space="0" w:color="666666"/>
              <w:bottom w:val="single" w:sz="16" w:space="0" w:color="666666"/>
            </w:tcBorders>
            <w:shd w:val="clear" w:color="auto" w:fill="FFFFFF"/>
            <w:tcMar>
              <w:top w:w="0" w:type="dxa"/>
              <w:left w:w="0" w:type="dxa"/>
              <w:bottom w:w="0" w:type="dxa"/>
              <w:right w:w="0" w:type="dxa"/>
            </w:tcMar>
            <w:vAlign w:val="center"/>
          </w:tcPr>
          <w:p w14:paraId="1B1A089C" w14:textId="77777777" w:rsidR="004548A7" w:rsidRPr="003C413E" w:rsidRDefault="004548A7" w:rsidP="0041263A">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25-39</w:t>
            </w:r>
          </w:p>
        </w:tc>
        <w:tc>
          <w:tcPr>
            <w:tcW w:w="0" w:type="auto"/>
            <w:tcBorders>
              <w:top w:val="single" w:sz="8" w:space="0" w:color="666666"/>
              <w:bottom w:val="single" w:sz="16" w:space="0" w:color="666666"/>
            </w:tcBorders>
            <w:shd w:val="clear" w:color="auto" w:fill="FFFFFF"/>
            <w:tcMar>
              <w:top w:w="0" w:type="dxa"/>
              <w:left w:w="0" w:type="dxa"/>
              <w:bottom w:w="0" w:type="dxa"/>
              <w:right w:w="0" w:type="dxa"/>
            </w:tcMar>
            <w:vAlign w:val="center"/>
          </w:tcPr>
          <w:p w14:paraId="50C910C1" w14:textId="77777777" w:rsidR="004548A7" w:rsidRPr="003C413E" w:rsidRDefault="004548A7" w:rsidP="0041263A">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15-24</w:t>
            </w:r>
          </w:p>
        </w:tc>
        <w:tc>
          <w:tcPr>
            <w:tcW w:w="0" w:type="auto"/>
            <w:tcBorders>
              <w:top w:val="single" w:sz="8" w:space="0" w:color="666666"/>
              <w:bottom w:val="single" w:sz="16" w:space="0" w:color="666666"/>
            </w:tcBorders>
            <w:shd w:val="clear" w:color="auto" w:fill="FFFFFF"/>
            <w:tcMar>
              <w:top w:w="0" w:type="dxa"/>
              <w:left w:w="0" w:type="dxa"/>
              <w:bottom w:w="0" w:type="dxa"/>
              <w:right w:w="0" w:type="dxa"/>
            </w:tcMar>
            <w:vAlign w:val="center"/>
          </w:tcPr>
          <w:p w14:paraId="4C948BE9" w14:textId="77777777" w:rsidR="004548A7" w:rsidRPr="003C413E" w:rsidRDefault="004548A7" w:rsidP="0041263A">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25-39</w:t>
            </w:r>
          </w:p>
        </w:tc>
      </w:tr>
      <w:tr w:rsidR="00054336" w:rsidRPr="003C413E" w14:paraId="2483E093" w14:textId="77777777" w:rsidTr="000C2024">
        <w:trPr>
          <w:cantSplit/>
          <w:jc w:val="center"/>
        </w:trPr>
        <w:tc>
          <w:tcPr>
            <w:tcW w:w="0" w:type="auto"/>
            <w:shd w:val="clear" w:color="auto" w:fill="FFFFFF"/>
            <w:tcMar>
              <w:top w:w="0" w:type="dxa"/>
              <w:left w:w="0" w:type="dxa"/>
              <w:bottom w:w="0" w:type="dxa"/>
              <w:right w:w="0" w:type="dxa"/>
            </w:tcMar>
            <w:vAlign w:val="center"/>
          </w:tcPr>
          <w:p w14:paraId="1E2DE32A"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2006</w:t>
            </w:r>
          </w:p>
        </w:tc>
        <w:tc>
          <w:tcPr>
            <w:tcW w:w="0" w:type="auto"/>
            <w:shd w:val="clear" w:color="auto" w:fill="FFFFFF"/>
            <w:tcMar>
              <w:top w:w="0" w:type="dxa"/>
              <w:left w:w="0" w:type="dxa"/>
              <w:bottom w:w="0" w:type="dxa"/>
              <w:right w:w="0" w:type="dxa"/>
            </w:tcMar>
            <w:vAlign w:val="center"/>
          </w:tcPr>
          <w:p w14:paraId="617078A7"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20,663,430</w:t>
            </w:r>
          </w:p>
        </w:tc>
        <w:tc>
          <w:tcPr>
            <w:tcW w:w="0" w:type="auto"/>
            <w:shd w:val="clear" w:color="auto" w:fill="FFFFFF"/>
            <w:tcMar>
              <w:top w:w="0" w:type="dxa"/>
              <w:left w:w="0" w:type="dxa"/>
              <w:bottom w:w="0" w:type="dxa"/>
              <w:right w:w="0" w:type="dxa"/>
            </w:tcMar>
            <w:vAlign w:val="center"/>
          </w:tcPr>
          <w:p w14:paraId="32D199ED"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30,221,735</w:t>
            </w:r>
          </w:p>
        </w:tc>
        <w:tc>
          <w:tcPr>
            <w:tcW w:w="0" w:type="auto"/>
            <w:shd w:val="clear" w:color="auto" w:fill="FFFFFF"/>
            <w:tcMar>
              <w:top w:w="0" w:type="dxa"/>
              <w:left w:w="0" w:type="dxa"/>
              <w:bottom w:w="0" w:type="dxa"/>
              <w:right w:w="0" w:type="dxa"/>
            </w:tcMar>
            <w:vAlign w:val="center"/>
          </w:tcPr>
          <w:p w14:paraId="2E0AEB38"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21,940,188</w:t>
            </w:r>
          </w:p>
        </w:tc>
        <w:tc>
          <w:tcPr>
            <w:tcW w:w="0" w:type="auto"/>
            <w:shd w:val="clear" w:color="auto" w:fill="FFFFFF"/>
            <w:tcMar>
              <w:top w:w="0" w:type="dxa"/>
              <w:left w:w="0" w:type="dxa"/>
              <w:bottom w:w="0" w:type="dxa"/>
              <w:right w:w="0" w:type="dxa"/>
            </w:tcMar>
            <w:vAlign w:val="center"/>
          </w:tcPr>
          <w:p w14:paraId="73EEA02D"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30,941,575</w:t>
            </w:r>
          </w:p>
        </w:tc>
      </w:tr>
      <w:tr w:rsidR="00054336" w:rsidRPr="003C413E" w14:paraId="6F5CBE67" w14:textId="77777777" w:rsidTr="000C2024">
        <w:trPr>
          <w:cantSplit/>
          <w:jc w:val="center"/>
        </w:trPr>
        <w:tc>
          <w:tcPr>
            <w:tcW w:w="0" w:type="auto"/>
            <w:shd w:val="clear" w:color="auto" w:fill="FFFFFF"/>
            <w:tcMar>
              <w:top w:w="0" w:type="dxa"/>
              <w:left w:w="0" w:type="dxa"/>
              <w:bottom w:w="0" w:type="dxa"/>
              <w:right w:w="0" w:type="dxa"/>
            </w:tcMar>
            <w:vAlign w:val="center"/>
          </w:tcPr>
          <w:p w14:paraId="724B358D"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2007</w:t>
            </w:r>
          </w:p>
        </w:tc>
        <w:tc>
          <w:tcPr>
            <w:tcW w:w="0" w:type="auto"/>
            <w:shd w:val="clear" w:color="auto" w:fill="FFFFFF"/>
            <w:tcMar>
              <w:top w:w="0" w:type="dxa"/>
              <w:left w:w="0" w:type="dxa"/>
              <w:bottom w:w="0" w:type="dxa"/>
              <w:right w:w="0" w:type="dxa"/>
            </w:tcMar>
            <w:vAlign w:val="center"/>
          </w:tcPr>
          <w:p w14:paraId="4A524D5F"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20,690,932</w:t>
            </w:r>
          </w:p>
        </w:tc>
        <w:tc>
          <w:tcPr>
            <w:tcW w:w="0" w:type="auto"/>
            <w:shd w:val="clear" w:color="auto" w:fill="FFFFFF"/>
            <w:tcMar>
              <w:top w:w="0" w:type="dxa"/>
              <w:left w:w="0" w:type="dxa"/>
              <w:bottom w:w="0" w:type="dxa"/>
              <w:right w:w="0" w:type="dxa"/>
            </w:tcMar>
            <w:vAlign w:val="center"/>
          </w:tcPr>
          <w:p w14:paraId="526F05C2"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30,259,297</w:t>
            </w:r>
          </w:p>
        </w:tc>
        <w:tc>
          <w:tcPr>
            <w:tcW w:w="0" w:type="auto"/>
            <w:shd w:val="clear" w:color="auto" w:fill="FFFFFF"/>
            <w:tcMar>
              <w:top w:w="0" w:type="dxa"/>
              <w:left w:w="0" w:type="dxa"/>
              <w:bottom w:w="0" w:type="dxa"/>
              <w:right w:w="0" w:type="dxa"/>
            </w:tcMar>
            <w:vAlign w:val="center"/>
          </w:tcPr>
          <w:p w14:paraId="083CD1ED"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22,080,993</w:t>
            </w:r>
          </w:p>
        </w:tc>
        <w:tc>
          <w:tcPr>
            <w:tcW w:w="0" w:type="auto"/>
            <w:shd w:val="clear" w:color="auto" w:fill="FFFFFF"/>
            <w:tcMar>
              <w:top w:w="0" w:type="dxa"/>
              <w:left w:w="0" w:type="dxa"/>
              <w:bottom w:w="0" w:type="dxa"/>
              <w:right w:w="0" w:type="dxa"/>
            </w:tcMar>
            <w:vAlign w:val="center"/>
          </w:tcPr>
          <w:p w14:paraId="204E1A89"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30,975,829</w:t>
            </w:r>
          </w:p>
        </w:tc>
      </w:tr>
      <w:tr w:rsidR="00054336" w:rsidRPr="003C413E" w14:paraId="2E8EDE24" w14:textId="77777777" w:rsidTr="000C2024">
        <w:trPr>
          <w:cantSplit/>
          <w:jc w:val="center"/>
        </w:trPr>
        <w:tc>
          <w:tcPr>
            <w:tcW w:w="0" w:type="auto"/>
            <w:shd w:val="clear" w:color="auto" w:fill="FFFFFF"/>
            <w:tcMar>
              <w:top w:w="0" w:type="dxa"/>
              <w:left w:w="0" w:type="dxa"/>
              <w:bottom w:w="0" w:type="dxa"/>
              <w:right w:w="0" w:type="dxa"/>
            </w:tcMar>
            <w:vAlign w:val="center"/>
          </w:tcPr>
          <w:p w14:paraId="54015DF1"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2008</w:t>
            </w:r>
          </w:p>
        </w:tc>
        <w:tc>
          <w:tcPr>
            <w:tcW w:w="0" w:type="auto"/>
            <w:shd w:val="clear" w:color="auto" w:fill="FFFFFF"/>
            <w:tcMar>
              <w:top w:w="0" w:type="dxa"/>
              <w:left w:w="0" w:type="dxa"/>
              <w:bottom w:w="0" w:type="dxa"/>
              <w:right w:w="0" w:type="dxa"/>
            </w:tcMar>
            <w:vAlign w:val="center"/>
          </w:tcPr>
          <w:p w14:paraId="537DCF60"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20,881,854</w:t>
            </w:r>
          </w:p>
        </w:tc>
        <w:tc>
          <w:tcPr>
            <w:tcW w:w="0" w:type="auto"/>
            <w:shd w:val="clear" w:color="auto" w:fill="FFFFFF"/>
            <w:tcMar>
              <w:top w:w="0" w:type="dxa"/>
              <w:left w:w="0" w:type="dxa"/>
              <w:bottom w:w="0" w:type="dxa"/>
              <w:right w:w="0" w:type="dxa"/>
            </w:tcMar>
            <w:vAlign w:val="center"/>
          </w:tcPr>
          <w:p w14:paraId="1C897423"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30,272,683</w:t>
            </w:r>
          </w:p>
        </w:tc>
        <w:tc>
          <w:tcPr>
            <w:tcW w:w="0" w:type="auto"/>
            <w:shd w:val="clear" w:color="auto" w:fill="FFFFFF"/>
            <w:tcMar>
              <w:top w:w="0" w:type="dxa"/>
              <w:left w:w="0" w:type="dxa"/>
              <w:bottom w:w="0" w:type="dxa"/>
              <w:right w:w="0" w:type="dxa"/>
            </w:tcMar>
            <w:vAlign w:val="center"/>
          </w:tcPr>
          <w:p w14:paraId="60392985"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22,093,052</w:t>
            </w:r>
          </w:p>
        </w:tc>
        <w:tc>
          <w:tcPr>
            <w:tcW w:w="0" w:type="auto"/>
            <w:shd w:val="clear" w:color="auto" w:fill="FFFFFF"/>
            <w:tcMar>
              <w:top w:w="0" w:type="dxa"/>
              <w:left w:w="0" w:type="dxa"/>
              <w:bottom w:w="0" w:type="dxa"/>
              <w:right w:w="0" w:type="dxa"/>
            </w:tcMar>
            <w:vAlign w:val="center"/>
          </w:tcPr>
          <w:p w14:paraId="0BFAC61C"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31,068,928</w:t>
            </w:r>
          </w:p>
        </w:tc>
      </w:tr>
      <w:tr w:rsidR="00054336" w:rsidRPr="003C413E" w14:paraId="5053A914" w14:textId="77777777" w:rsidTr="000C2024">
        <w:trPr>
          <w:cantSplit/>
          <w:jc w:val="center"/>
        </w:trPr>
        <w:tc>
          <w:tcPr>
            <w:tcW w:w="0" w:type="auto"/>
            <w:shd w:val="clear" w:color="auto" w:fill="FFFFFF"/>
            <w:tcMar>
              <w:top w:w="0" w:type="dxa"/>
              <w:left w:w="0" w:type="dxa"/>
              <w:bottom w:w="0" w:type="dxa"/>
              <w:right w:w="0" w:type="dxa"/>
            </w:tcMar>
            <w:vAlign w:val="center"/>
          </w:tcPr>
          <w:p w14:paraId="39ECC6DF"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2009</w:t>
            </w:r>
          </w:p>
        </w:tc>
        <w:tc>
          <w:tcPr>
            <w:tcW w:w="0" w:type="auto"/>
            <w:shd w:val="clear" w:color="auto" w:fill="FFFFFF"/>
            <w:tcMar>
              <w:top w:w="0" w:type="dxa"/>
              <w:left w:w="0" w:type="dxa"/>
              <w:bottom w:w="0" w:type="dxa"/>
              <w:right w:w="0" w:type="dxa"/>
            </w:tcMar>
            <w:vAlign w:val="center"/>
          </w:tcPr>
          <w:p w14:paraId="4B9630E7"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20,947,774</w:t>
            </w:r>
          </w:p>
        </w:tc>
        <w:tc>
          <w:tcPr>
            <w:tcW w:w="0" w:type="auto"/>
            <w:shd w:val="clear" w:color="auto" w:fill="FFFFFF"/>
            <w:tcMar>
              <w:top w:w="0" w:type="dxa"/>
              <w:left w:w="0" w:type="dxa"/>
              <w:bottom w:w="0" w:type="dxa"/>
              <w:right w:w="0" w:type="dxa"/>
            </w:tcMar>
            <w:vAlign w:val="center"/>
          </w:tcPr>
          <w:p w14:paraId="5BDEEA3A"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30,476,694</w:t>
            </w:r>
          </w:p>
        </w:tc>
        <w:tc>
          <w:tcPr>
            <w:tcW w:w="0" w:type="auto"/>
            <w:shd w:val="clear" w:color="auto" w:fill="FFFFFF"/>
            <w:tcMar>
              <w:top w:w="0" w:type="dxa"/>
              <w:left w:w="0" w:type="dxa"/>
              <w:bottom w:w="0" w:type="dxa"/>
              <w:right w:w="0" w:type="dxa"/>
            </w:tcMar>
            <w:vAlign w:val="center"/>
          </w:tcPr>
          <w:p w14:paraId="11CCAAE2"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22,204,375</w:t>
            </w:r>
          </w:p>
        </w:tc>
        <w:tc>
          <w:tcPr>
            <w:tcW w:w="0" w:type="auto"/>
            <w:shd w:val="clear" w:color="auto" w:fill="FFFFFF"/>
            <w:tcMar>
              <w:top w:w="0" w:type="dxa"/>
              <w:left w:w="0" w:type="dxa"/>
              <w:bottom w:w="0" w:type="dxa"/>
              <w:right w:w="0" w:type="dxa"/>
            </w:tcMar>
            <w:vAlign w:val="center"/>
          </w:tcPr>
          <w:p w14:paraId="73C46495"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31,321,010</w:t>
            </w:r>
          </w:p>
        </w:tc>
      </w:tr>
      <w:tr w:rsidR="00054336" w:rsidRPr="003C413E" w14:paraId="44224CFF" w14:textId="77777777" w:rsidTr="000C2024">
        <w:trPr>
          <w:cantSplit/>
          <w:jc w:val="center"/>
        </w:trPr>
        <w:tc>
          <w:tcPr>
            <w:tcW w:w="0" w:type="auto"/>
            <w:shd w:val="clear" w:color="auto" w:fill="FFFFFF"/>
            <w:tcMar>
              <w:top w:w="0" w:type="dxa"/>
              <w:left w:w="0" w:type="dxa"/>
              <w:bottom w:w="0" w:type="dxa"/>
              <w:right w:w="0" w:type="dxa"/>
            </w:tcMar>
            <w:vAlign w:val="center"/>
          </w:tcPr>
          <w:p w14:paraId="348A5555"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2010</w:t>
            </w:r>
          </w:p>
        </w:tc>
        <w:tc>
          <w:tcPr>
            <w:tcW w:w="0" w:type="auto"/>
            <w:shd w:val="clear" w:color="auto" w:fill="FFFFFF"/>
            <w:tcMar>
              <w:top w:w="0" w:type="dxa"/>
              <w:left w:w="0" w:type="dxa"/>
              <w:bottom w:w="0" w:type="dxa"/>
              <w:right w:w="0" w:type="dxa"/>
            </w:tcMar>
            <w:vAlign w:val="center"/>
          </w:tcPr>
          <w:p w14:paraId="39F87B64"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21,290,166</w:t>
            </w:r>
          </w:p>
        </w:tc>
        <w:tc>
          <w:tcPr>
            <w:tcW w:w="0" w:type="auto"/>
            <w:shd w:val="clear" w:color="auto" w:fill="FFFFFF"/>
            <w:tcMar>
              <w:top w:w="0" w:type="dxa"/>
              <w:left w:w="0" w:type="dxa"/>
              <w:bottom w:w="0" w:type="dxa"/>
              <w:right w:w="0" w:type="dxa"/>
            </w:tcMar>
            <w:vAlign w:val="center"/>
          </w:tcPr>
          <w:p w14:paraId="0CA2792F"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30,582,417</w:t>
            </w:r>
          </w:p>
        </w:tc>
        <w:tc>
          <w:tcPr>
            <w:tcW w:w="0" w:type="auto"/>
            <w:shd w:val="clear" w:color="auto" w:fill="FFFFFF"/>
            <w:tcMar>
              <w:top w:w="0" w:type="dxa"/>
              <w:left w:w="0" w:type="dxa"/>
              <w:bottom w:w="0" w:type="dxa"/>
              <w:right w:w="0" w:type="dxa"/>
            </w:tcMar>
            <w:vAlign w:val="center"/>
          </w:tcPr>
          <w:p w14:paraId="500FA8FC"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22,416,963</w:t>
            </w:r>
          </w:p>
        </w:tc>
        <w:tc>
          <w:tcPr>
            <w:tcW w:w="0" w:type="auto"/>
            <w:shd w:val="clear" w:color="auto" w:fill="FFFFFF"/>
            <w:tcMar>
              <w:top w:w="0" w:type="dxa"/>
              <w:left w:w="0" w:type="dxa"/>
              <w:bottom w:w="0" w:type="dxa"/>
              <w:right w:w="0" w:type="dxa"/>
            </w:tcMar>
            <w:vAlign w:val="center"/>
          </w:tcPr>
          <w:p w14:paraId="03D2AC22"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30,566,397</w:t>
            </w:r>
          </w:p>
        </w:tc>
      </w:tr>
      <w:tr w:rsidR="00054336" w:rsidRPr="003C413E" w14:paraId="21E276C1" w14:textId="77777777" w:rsidTr="000C2024">
        <w:trPr>
          <w:cantSplit/>
          <w:jc w:val="center"/>
        </w:trPr>
        <w:tc>
          <w:tcPr>
            <w:tcW w:w="0" w:type="auto"/>
            <w:shd w:val="clear" w:color="auto" w:fill="FFFFFF"/>
            <w:tcMar>
              <w:top w:w="0" w:type="dxa"/>
              <w:left w:w="0" w:type="dxa"/>
              <w:bottom w:w="0" w:type="dxa"/>
              <w:right w:w="0" w:type="dxa"/>
            </w:tcMar>
            <w:vAlign w:val="center"/>
          </w:tcPr>
          <w:p w14:paraId="72F0B8C3"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2011</w:t>
            </w:r>
          </w:p>
        </w:tc>
        <w:tc>
          <w:tcPr>
            <w:tcW w:w="0" w:type="auto"/>
            <w:shd w:val="clear" w:color="auto" w:fill="FFFFFF"/>
            <w:tcMar>
              <w:top w:w="0" w:type="dxa"/>
              <w:left w:w="0" w:type="dxa"/>
              <w:bottom w:w="0" w:type="dxa"/>
              <w:right w:w="0" w:type="dxa"/>
            </w:tcMar>
            <w:vAlign w:val="center"/>
          </w:tcPr>
          <w:p w14:paraId="17ED00C9"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21,373,662</w:t>
            </w:r>
          </w:p>
        </w:tc>
        <w:tc>
          <w:tcPr>
            <w:tcW w:w="0" w:type="auto"/>
            <w:shd w:val="clear" w:color="auto" w:fill="FFFFFF"/>
            <w:tcMar>
              <w:top w:w="0" w:type="dxa"/>
              <w:left w:w="0" w:type="dxa"/>
              <w:bottom w:w="0" w:type="dxa"/>
              <w:right w:w="0" w:type="dxa"/>
            </w:tcMar>
            <w:vAlign w:val="center"/>
          </w:tcPr>
          <w:p w14:paraId="7A43E0E1"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30,563,887</w:t>
            </w:r>
          </w:p>
        </w:tc>
        <w:tc>
          <w:tcPr>
            <w:tcW w:w="0" w:type="auto"/>
            <w:shd w:val="clear" w:color="auto" w:fill="FFFFFF"/>
            <w:tcMar>
              <w:top w:w="0" w:type="dxa"/>
              <w:left w:w="0" w:type="dxa"/>
              <w:bottom w:w="0" w:type="dxa"/>
              <w:right w:w="0" w:type="dxa"/>
            </w:tcMar>
            <w:vAlign w:val="center"/>
          </w:tcPr>
          <w:p w14:paraId="19170AFB"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22,528,285</w:t>
            </w:r>
          </w:p>
        </w:tc>
        <w:tc>
          <w:tcPr>
            <w:tcW w:w="0" w:type="auto"/>
            <w:shd w:val="clear" w:color="auto" w:fill="FFFFFF"/>
            <w:tcMar>
              <w:top w:w="0" w:type="dxa"/>
              <w:left w:w="0" w:type="dxa"/>
              <w:bottom w:w="0" w:type="dxa"/>
              <w:right w:w="0" w:type="dxa"/>
            </w:tcMar>
            <w:vAlign w:val="center"/>
          </w:tcPr>
          <w:p w14:paraId="240D00BF"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30,685,561</w:t>
            </w:r>
          </w:p>
        </w:tc>
      </w:tr>
      <w:tr w:rsidR="00054336" w:rsidRPr="003C413E" w14:paraId="549E75FF" w14:textId="77777777" w:rsidTr="000C2024">
        <w:trPr>
          <w:cantSplit/>
          <w:jc w:val="center"/>
        </w:trPr>
        <w:tc>
          <w:tcPr>
            <w:tcW w:w="0" w:type="auto"/>
            <w:shd w:val="clear" w:color="auto" w:fill="FFFFFF"/>
            <w:tcMar>
              <w:top w:w="0" w:type="dxa"/>
              <w:left w:w="0" w:type="dxa"/>
              <w:bottom w:w="0" w:type="dxa"/>
              <w:right w:w="0" w:type="dxa"/>
            </w:tcMar>
            <w:vAlign w:val="center"/>
          </w:tcPr>
          <w:p w14:paraId="07F29C03"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2012</w:t>
            </w:r>
          </w:p>
        </w:tc>
        <w:tc>
          <w:tcPr>
            <w:tcW w:w="0" w:type="auto"/>
            <w:shd w:val="clear" w:color="auto" w:fill="FFFFFF"/>
            <w:tcMar>
              <w:top w:w="0" w:type="dxa"/>
              <w:left w:w="0" w:type="dxa"/>
              <w:bottom w:w="0" w:type="dxa"/>
              <w:right w:w="0" w:type="dxa"/>
            </w:tcMar>
            <w:vAlign w:val="center"/>
          </w:tcPr>
          <w:p w14:paraId="0157E706"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21,438,463</w:t>
            </w:r>
          </w:p>
        </w:tc>
        <w:tc>
          <w:tcPr>
            <w:tcW w:w="0" w:type="auto"/>
            <w:shd w:val="clear" w:color="auto" w:fill="FFFFFF"/>
            <w:tcMar>
              <w:top w:w="0" w:type="dxa"/>
              <w:left w:w="0" w:type="dxa"/>
              <w:bottom w:w="0" w:type="dxa"/>
              <w:right w:w="0" w:type="dxa"/>
            </w:tcMar>
            <w:vAlign w:val="center"/>
          </w:tcPr>
          <w:p w14:paraId="2446930B"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30,705,878</w:t>
            </w:r>
          </w:p>
        </w:tc>
        <w:tc>
          <w:tcPr>
            <w:tcW w:w="0" w:type="auto"/>
            <w:shd w:val="clear" w:color="auto" w:fill="FFFFFF"/>
            <w:tcMar>
              <w:top w:w="0" w:type="dxa"/>
              <w:left w:w="0" w:type="dxa"/>
              <w:bottom w:w="0" w:type="dxa"/>
              <w:right w:w="0" w:type="dxa"/>
            </w:tcMar>
            <w:vAlign w:val="center"/>
          </w:tcPr>
          <w:p w14:paraId="4283D9E0"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22,482,748</w:t>
            </w:r>
          </w:p>
        </w:tc>
        <w:tc>
          <w:tcPr>
            <w:tcW w:w="0" w:type="auto"/>
            <w:shd w:val="clear" w:color="auto" w:fill="FFFFFF"/>
            <w:tcMar>
              <w:top w:w="0" w:type="dxa"/>
              <w:left w:w="0" w:type="dxa"/>
              <w:bottom w:w="0" w:type="dxa"/>
              <w:right w:w="0" w:type="dxa"/>
            </w:tcMar>
            <w:vAlign w:val="center"/>
          </w:tcPr>
          <w:p w14:paraId="574A334A"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30,964,172</w:t>
            </w:r>
          </w:p>
        </w:tc>
      </w:tr>
      <w:tr w:rsidR="00054336" w:rsidRPr="003C413E" w14:paraId="40D2C5C2" w14:textId="77777777" w:rsidTr="000C2024">
        <w:trPr>
          <w:cantSplit/>
          <w:jc w:val="center"/>
        </w:trPr>
        <w:tc>
          <w:tcPr>
            <w:tcW w:w="0" w:type="auto"/>
            <w:shd w:val="clear" w:color="auto" w:fill="FFFFFF"/>
            <w:tcMar>
              <w:top w:w="0" w:type="dxa"/>
              <w:left w:w="0" w:type="dxa"/>
              <w:bottom w:w="0" w:type="dxa"/>
              <w:right w:w="0" w:type="dxa"/>
            </w:tcMar>
            <w:vAlign w:val="center"/>
          </w:tcPr>
          <w:p w14:paraId="5E21A8DA"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2013</w:t>
            </w:r>
          </w:p>
        </w:tc>
        <w:tc>
          <w:tcPr>
            <w:tcW w:w="0" w:type="auto"/>
            <w:shd w:val="clear" w:color="auto" w:fill="FFFFFF"/>
            <w:tcMar>
              <w:top w:w="0" w:type="dxa"/>
              <w:left w:w="0" w:type="dxa"/>
              <w:bottom w:w="0" w:type="dxa"/>
              <w:right w:w="0" w:type="dxa"/>
            </w:tcMar>
            <w:vAlign w:val="center"/>
          </w:tcPr>
          <w:p w14:paraId="4C579EA4"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21,453,673</w:t>
            </w:r>
          </w:p>
        </w:tc>
        <w:tc>
          <w:tcPr>
            <w:tcW w:w="0" w:type="auto"/>
            <w:shd w:val="clear" w:color="auto" w:fill="FFFFFF"/>
            <w:tcMar>
              <w:top w:w="0" w:type="dxa"/>
              <w:left w:w="0" w:type="dxa"/>
              <w:bottom w:w="0" w:type="dxa"/>
              <w:right w:w="0" w:type="dxa"/>
            </w:tcMar>
            <w:vAlign w:val="center"/>
          </w:tcPr>
          <w:p w14:paraId="586DE58C"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31,036,621</w:t>
            </w:r>
          </w:p>
        </w:tc>
        <w:tc>
          <w:tcPr>
            <w:tcW w:w="0" w:type="auto"/>
            <w:shd w:val="clear" w:color="auto" w:fill="FFFFFF"/>
            <w:tcMar>
              <w:top w:w="0" w:type="dxa"/>
              <w:left w:w="0" w:type="dxa"/>
              <w:bottom w:w="0" w:type="dxa"/>
              <w:right w:w="0" w:type="dxa"/>
            </w:tcMar>
            <w:vAlign w:val="center"/>
          </w:tcPr>
          <w:p w14:paraId="0B0C2240"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22,610,585</w:t>
            </w:r>
          </w:p>
        </w:tc>
        <w:tc>
          <w:tcPr>
            <w:tcW w:w="0" w:type="auto"/>
            <w:shd w:val="clear" w:color="auto" w:fill="FFFFFF"/>
            <w:tcMar>
              <w:top w:w="0" w:type="dxa"/>
              <w:left w:w="0" w:type="dxa"/>
              <w:bottom w:w="0" w:type="dxa"/>
              <w:right w:w="0" w:type="dxa"/>
            </w:tcMar>
            <w:vAlign w:val="center"/>
          </w:tcPr>
          <w:p w14:paraId="6B8AA46C"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31,331,576</w:t>
            </w:r>
          </w:p>
        </w:tc>
      </w:tr>
      <w:tr w:rsidR="00054336" w:rsidRPr="003C413E" w14:paraId="074B8932" w14:textId="77777777" w:rsidTr="000C2024">
        <w:trPr>
          <w:cantSplit/>
          <w:jc w:val="center"/>
        </w:trPr>
        <w:tc>
          <w:tcPr>
            <w:tcW w:w="0" w:type="auto"/>
            <w:shd w:val="clear" w:color="auto" w:fill="FFFFFF"/>
            <w:tcMar>
              <w:top w:w="0" w:type="dxa"/>
              <w:left w:w="0" w:type="dxa"/>
              <w:bottom w:w="0" w:type="dxa"/>
              <w:right w:w="0" w:type="dxa"/>
            </w:tcMar>
            <w:vAlign w:val="center"/>
          </w:tcPr>
          <w:p w14:paraId="70F98D7F"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2014</w:t>
            </w:r>
          </w:p>
        </w:tc>
        <w:tc>
          <w:tcPr>
            <w:tcW w:w="0" w:type="auto"/>
            <w:shd w:val="clear" w:color="auto" w:fill="FFFFFF"/>
            <w:tcMar>
              <w:top w:w="0" w:type="dxa"/>
              <w:left w:w="0" w:type="dxa"/>
              <w:bottom w:w="0" w:type="dxa"/>
              <w:right w:w="0" w:type="dxa"/>
            </w:tcMar>
            <w:vAlign w:val="center"/>
          </w:tcPr>
          <w:p w14:paraId="30B6422A"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21,439,028</w:t>
            </w:r>
          </w:p>
        </w:tc>
        <w:tc>
          <w:tcPr>
            <w:tcW w:w="0" w:type="auto"/>
            <w:shd w:val="clear" w:color="auto" w:fill="FFFFFF"/>
            <w:tcMar>
              <w:top w:w="0" w:type="dxa"/>
              <w:left w:w="0" w:type="dxa"/>
              <w:bottom w:w="0" w:type="dxa"/>
              <w:right w:w="0" w:type="dxa"/>
            </w:tcMar>
            <w:vAlign w:val="center"/>
          </w:tcPr>
          <w:p w14:paraId="5B151701"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31,554,480</w:t>
            </w:r>
          </w:p>
        </w:tc>
        <w:tc>
          <w:tcPr>
            <w:tcW w:w="0" w:type="auto"/>
            <w:shd w:val="clear" w:color="auto" w:fill="FFFFFF"/>
            <w:tcMar>
              <w:top w:w="0" w:type="dxa"/>
              <w:left w:w="0" w:type="dxa"/>
              <w:bottom w:w="0" w:type="dxa"/>
              <w:right w:w="0" w:type="dxa"/>
            </w:tcMar>
            <w:vAlign w:val="center"/>
          </w:tcPr>
          <w:p w14:paraId="532061B8"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22,579,211</w:t>
            </w:r>
          </w:p>
        </w:tc>
        <w:tc>
          <w:tcPr>
            <w:tcW w:w="0" w:type="auto"/>
            <w:shd w:val="clear" w:color="auto" w:fill="FFFFFF"/>
            <w:tcMar>
              <w:top w:w="0" w:type="dxa"/>
              <w:left w:w="0" w:type="dxa"/>
              <w:bottom w:w="0" w:type="dxa"/>
              <w:right w:w="0" w:type="dxa"/>
            </w:tcMar>
            <w:vAlign w:val="center"/>
          </w:tcPr>
          <w:p w14:paraId="1C51C050"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31,831,558</w:t>
            </w:r>
          </w:p>
        </w:tc>
      </w:tr>
      <w:tr w:rsidR="00054336" w:rsidRPr="003C413E" w14:paraId="5196B8F1" w14:textId="77777777" w:rsidTr="000C2024">
        <w:trPr>
          <w:cantSplit/>
          <w:jc w:val="center"/>
        </w:trPr>
        <w:tc>
          <w:tcPr>
            <w:tcW w:w="0" w:type="auto"/>
            <w:shd w:val="clear" w:color="auto" w:fill="FFFFFF"/>
            <w:tcMar>
              <w:top w:w="0" w:type="dxa"/>
              <w:left w:w="0" w:type="dxa"/>
              <w:bottom w:w="0" w:type="dxa"/>
              <w:right w:w="0" w:type="dxa"/>
            </w:tcMar>
            <w:vAlign w:val="center"/>
          </w:tcPr>
          <w:p w14:paraId="77DAE541"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2015</w:t>
            </w:r>
          </w:p>
        </w:tc>
        <w:tc>
          <w:tcPr>
            <w:tcW w:w="0" w:type="auto"/>
            <w:shd w:val="clear" w:color="auto" w:fill="FFFFFF"/>
            <w:tcMar>
              <w:top w:w="0" w:type="dxa"/>
              <w:left w:w="0" w:type="dxa"/>
              <w:bottom w:w="0" w:type="dxa"/>
              <w:right w:w="0" w:type="dxa"/>
            </w:tcMar>
            <w:vAlign w:val="center"/>
          </w:tcPr>
          <w:p w14:paraId="2399E141"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21,400,208</w:t>
            </w:r>
          </w:p>
        </w:tc>
        <w:tc>
          <w:tcPr>
            <w:tcW w:w="0" w:type="auto"/>
            <w:shd w:val="clear" w:color="auto" w:fill="FFFFFF"/>
            <w:tcMar>
              <w:top w:w="0" w:type="dxa"/>
              <w:left w:w="0" w:type="dxa"/>
              <w:bottom w:w="0" w:type="dxa"/>
              <w:right w:w="0" w:type="dxa"/>
            </w:tcMar>
            <w:vAlign w:val="center"/>
          </w:tcPr>
          <w:p w14:paraId="61635127"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32,054,135</w:t>
            </w:r>
          </w:p>
        </w:tc>
        <w:tc>
          <w:tcPr>
            <w:tcW w:w="0" w:type="auto"/>
            <w:shd w:val="clear" w:color="auto" w:fill="FFFFFF"/>
            <w:tcMar>
              <w:top w:w="0" w:type="dxa"/>
              <w:left w:w="0" w:type="dxa"/>
              <w:bottom w:w="0" w:type="dxa"/>
              <w:right w:w="0" w:type="dxa"/>
            </w:tcMar>
            <w:vAlign w:val="center"/>
          </w:tcPr>
          <w:p w14:paraId="3A2D3D81"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22,505,621</w:t>
            </w:r>
          </w:p>
        </w:tc>
        <w:tc>
          <w:tcPr>
            <w:tcW w:w="0" w:type="auto"/>
            <w:shd w:val="clear" w:color="auto" w:fill="FFFFFF"/>
            <w:tcMar>
              <w:top w:w="0" w:type="dxa"/>
              <w:left w:w="0" w:type="dxa"/>
              <w:bottom w:w="0" w:type="dxa"/>
              <w:right w:w="0" w:type="dxa"/>
            </w:tcMar>
            <w:vAlign w:val="center"/>
          </w:tcPr>
          <w:p w14:paraId="749D4CC3"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32,329,190</w:t>
            </w:r>
          </w:p>
        </w:tc>
      </w:tr>
      <w:tr w:rsidR="00054336" w:rsidRPr="003C413E" w14:paraId="57F84C66" w14:textId="77777777" w:rsidTr="000C2024">
        <w:trPr>
          <w:cantSplit/>
          <w:jc w:val="center"/>
        </w:trPr>
        <w:tc>
          <w:tcPr>
            <w:tcW w:w="0" w:type="auto"/>
            <w:shd w:val="clear" w:color="auto" w:fill="FFFFFF"/>
            <w:tcMar>
              <w:top w:w="0" w:type="dxa"/>
              <w:left w:w="0" w:type="dxa"/>
              <w:bottom w:w="0" w:type="dxa"/>
              <w:right w:w="0" w:type="dxa"/>
            </w:tcMar>
            <w:vAlign w:val="center"/>
          </w:tcPr>
          <w:p w14:paraId="1E41E92B"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2016</w:t>
            </w:r>
          </w:p>
        </w:tc>
        <w:tc>
          <w:tcPr>
            <w:tcW w:w="0" w:type="auto"/>
            <w:shd w:val="clear" w:color="auto" w:fill="FFFFFF"/>
            <w:tcMar>
              <w:top w:w="0" w:type="dxa"/>
              <w:left w:w="0" w:type="dxa"/>
              <w:bottom w:w="0" w:type="dxa"/>
              <w:right w:w="0" w:type="dxa"/>
            </w:tcMar>
            <w:vAlign w:val="center"/>
          </w:tcPr>
          <w:p w14:paraId="619AD483"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21,240,936</w:t>
            </w:r>
          </w:p>
        </w:tc>
        <w:tc>
          <w:tcPr>
            <w:tcW w:w="0" w:type="auto"/>
            <w:shd w:val="clear" w:color="auto" w:fill="FFFFFF"/>
            <w:tcMar>
              <w:top w:w="0" w:type="dxa"/>
              <w:left w:w="0" w:type="dxa"/>
              <w:bottom w:w="0" w:type="dxa"/>
              <w:right w:w="0" w:type="dxa"/>
            </w:tcMar>
            <w:vAlign w:val="center"/>
          </w:tcPr>
          <w:p w14:paraId="0BD780C8"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32,454,197</w:t>
            </w:r>
          </w:p>
        </w:tc>
        <w:tc>
          <w:tcPr>
            <w:tcW w:w="0" w:type="auto"/>
            <w:shd w:val="clear" w:color="auto" w:fill="FFFFFF"/>
            <w:tcMar>
              <w:top w:w="0" w:type="dxa"/>
              <w:left w:w="0" w:type="dxa"/>
              <w:bottom w:w="0" w:type="dxa"/>
              <w:right w:w="0" w:type="dxa"/>
            </w:tcMar>
            <w:vAlign w:val="center"/>
          </w:tcPr>
          <w:p w14:paraId="65742E4E"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22,389,627</w:t>
            </w:r>
          </w:p>
        </w:tc>
        <w:tc>
          <w:tcPr>
            <w:tcW w:w="0" w:type="auto"/>
            <w:shd w:val="clear" w:color="auto" w:fill="FFFFFF"/>
            <w:tcMar>
              <w:top w:w="0" w:type="dxa"/>
              <w:left w:w="0" w:type="dxa"/>
              <w:bottom w:w="0" w:type="dxa"/>
              <w:right w:w="0" w:type="dxa"/>
            </w:tcMar>
            <w:vAlign w:val="center"/>
          </w:tcPr>
          <w:p w14:paraId="35214246"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32,767,421</w:t>
            </w:r>
          </w:p>
        </w:tc>
      </w:tr>
      <w:tr w:rsidR="00054336" w:rsidRPr="003C413E" w14:paraId="79B4FDC2" w14:textId="77777777" w:rsidTr="000C2024">
        <w:trPr>
          <w:cantSplit/>
          <w:jc w:val="center"/>
        </w:trPr>
        <w:tc>
          <w:tcPr>
            <w:tcW w:w="0" w:type="auto"/>
            <w:shd w:val="clear" w:color="auto" w:fill="FFFFFF"/>
            <w:tcMar>
              <w:top w:w="0" w:type="dxa"/>
              <w:left w:w="0" w:type="dxa"/>
              <w:bottom w:w="0" w:type="dxa"/>
              <w:right w:w="0" w:type="dxa"/>
            </w:tcMar>
            <w:vAlign w:val="center"/>
          </w:tcPr>
          <w:p w14:paraId="6B97BE24"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2017</w:t>
            </w:r>
          </w:p>
        </w:tc>
        <w:tc>
          <w:tcPr>
            <w:tcW w:w="0" w:type="auto"/>
            <w:shd w:val="clear" w:color="auto" w:fill="FFFFFF"/>
            <w:tcMar>
              <w:top w:w="0" w:type="dxa"/>
              <w:left w:w="0" w:type="dxa"/>
              <w:bottom w:w="0" w:type="dxa"/>
              <w:right w:w="0" w:type="dxa"/>
            </w:tcMar>
            <w:vAlign w:val="center"/>
          </w:tcPr>
          <w:p w14:paraId="37666A28"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21,157,069</w:t>
            </w:r>
          </w:p>
        </w:tc>
        <w:tc>
          <w:tcPr>
            <w:tcW w:w="0" w:type="auto"/>
            <w:shd w:val="clear" w:color="auto" w:fill="FFFFFF"/>
            <w:tcMar>
              <w:top w:w="0" w:type="dxa"/>
              <w:left w:w="0" w:type="dxa"/>
              <w:bottom w:w="0" w:type="dxa"/>
              <w:right w:w="0" w:type="dxa"/>
            </w:tcMar>
            <w:vAlign w:val="center"/>
          </w:tcPr>
          <w:p w14:paraId="6F035CC4"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32,922,210</w:t>
            </w:r>
          </w:p>
        </w:tc>
        <w:tc>
          <w:tcPr>
            <w:tcW w:w="0" w:type="auto"/>
            <w:shd w:val="clear" w:color="auto" w:fill="FFFFFF"/>
            <w:tcMar>
              <w:top w:w="0" w:type="dxa"/>
              <w:left w:w="0" w:type="dxa"/>
              <w:bottom w:w="0" w:type="dxa"/>
              <w:right w:w="0" w:type="dxa"/>
            </w:tcMar>
            <w:vAlign w:val="center"/>
          </w:tcPr>
          <w:p w14:paraId="6F0ABC0B"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22,255,024</w:t>
            </w:r>
          </w:p>
        </w:tc>
        <w:tc>
          <w:tcPr>
            <w:tcW w:w="0" w:type="auto"/>
            <w:shd w:val="clear" w:color="auto" w:fill="FFFFFF"/>
            <w:tcMar>
              <w:top w:w="0" w:type="dxa"/>
              <w:left w:w="0" w:type="dxa"/>
              <w:bottom w:w="0" w:type="dxa"/>
              <w:right w:w="0" w:type="dxa"/>
            </w:tcMar>
            <w:vAlign w:val="center"/>
          </w:tcPr>
          <w:p w14:paraId="09DCE11E"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33,411,414</w:t>
            </w:r>
          </w:p>
        </w:tc>
      </w:tr>
      <w:tr w:rsidR="00054336" w:rsidRPr="003C413E" w14:paraId="4AAE3504" w14:textId="77777777" w:rsidTr="000C2024">
        <w:trPr>
          <w:cantSplit/>
          <w:jc w:val="center"/>
        </w:trPr>
        <w:tc>
          <w:tcPr>
            <w:tcW w:w="0" w:type="auto"/>
            <w:shd w:val="clear" w:color="auto" w:fill="FFFFFF"/>
            <w:tcMar>
              <w:top w:w="0" w:type="dxa"/>
              <w:left w:w="0" w:type="dxa"/>
              <w:bottom w:w="0" w:type="dxa"/>
              <w:right w:w="0" w:type="dxa"/>
            </w:tcMar>
            <w:vAlign w:val="center"/>
          </w:tcPr>
          <w:p w14:paraId="2F77EEB8"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2018</w:t>
            </w:r>
          </w:p>
        </w:tc>
        <w:tc>
          <w:tcPr>
            <w:tcW w:w="0" w:type="auto"/>
            <w:shd w:val="clear" w:color="auto" w:fill="FFFFFF"/>
            <w:tcMar>
              <w:top w:w="0" w:type="dxa"/>
              <w:left w:w="0" w:type="dxa"/>
              <w:bottom w:w="0" w:type="dxa"/>
              <w:right w:w="0" w:type="dxa"/>
            </w:tcMar>
            <w:vAlign w:val="center"/>
          </w:tcPr>
          <w:p w14:paraId="270DCA68"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21,025,717</w:t>
            </w:r>
          </w:p>
        </w:tc>
        <w:tc>
          <w:tcPr>
            <w:tcW w:w="0" w:type="auto"/>
            <w:shd w:val="clear" w:color="auto" w:fill="FFFFFF"/>
            <w:tcMar>
              <w:top w:w="0" w:type="dxa"/>
              <w:left w:w="0" w:type="dxa"/>
              <w:bottom w:w="0" w:type="dxa"/>
              <w:right w:w="0" w:type="dxa"/>
            </w:tcMar>
            <w:vAlign w:val="center"/>
          </w:tcPr>
          <w:p w14:paraId="571ACF26"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33,171,851</w:t>
            </w:r>
          </w:p>
        </w:tc>
        <w:tc>
          <w:tcPr>
            <w:tcW w:w="0" w:type="auto"/>
            <w:shd w:val="clear" w:color="auto" w:fill="FFFFFF"/>
            <w:tcMar>
              <w:top w:w="0" w:type="dxa"/>
              <w:left w:w="0" w:type="dxa"/>
              <w:bottom w:w="0" w:type="dxa"/>
              <w:right w:w="0" w:type="dxa"/>
            </w:tcMar>
            <w:vAlign w:val="center"/>
          </w:tcPr>
          <w:p w14:paraId="3A89B6B4"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22,076,120</w:t>
            </w:r>
          </w:p>
        </w:tc>
        <w:tc>
          <w:tcPr>
            <w:tcW w:w="0" w:type="auto"/>
            <w:shd w:val="clear" w:color="auto" w:fill="FFFFFF"/>
            <w:tcMar>
              <w:top w:w="0" w:type="dxa"/>
              <w:left w:w="0" w:type="dxa"/>
              <w:bottom w:w="0" w:type="dxa"/>
              <w:right w:w="0" w:type="dxa"/>
            </w:tcMar>
            <w:vAlign w:val="center"/>
          </w:tcPr>
          <w:p w14:paraId="5032DF52"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33,757,505</w:t>
            </w:r>
          </w:p>
        </w:tc>
      </w:tr>
      <w:tr w:rsidR="00054336" w:rsidRPr="003C413E" w14:paraId="236CBBA0" w14:textId="77777777" w:rsidTr="000C2024">
        <w:trPr>
          <w:cantSplit/>
          <w:jc w:val="center"/>
        </w:trPr>
        <w:tc>
          <w:tcPr>
            <w:tcW w:w="0" w:type="auto"/>
            <w:tcBorders>
              <w:bottom w:val="single" w:sz="16" w:space="0" w:color="666666"/>
            </w:tcBorders>
            <w:shd w:val="clear" w:color="auto" w:fill="FFFFFF"/>
            <w:tcMar>
              <w:top w:w="0" w:type="dxa"/>
              <w:left w:w="0" w:type="dxa"/>
              <w:bottom w:w="0" w:type="dxa"/>
              <w:right w:w="0" w:type="dxa"/>
            </w:tcMar>
            <w:vAlign w:val="center"/>
          </w:tcPr>
          <w:p w14:paraId="1834A755" w14:textId="77777777" w:rsidR="00054336" w:rsidRPr="003C413E" w:rsidRDefault="00054336"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2019</w:t>
            </w:r>
          </w:p>
        </w:tc>
        <w:tc>
          <w:tcPr>
            <w:tcW w:w="0" w:type="auto"/>
            <w:tcBorders>
              <w:bottom w:val="single" w:sz="16" w:space="0" w:color="666666"/>
            </w:tcBorders>
            <w:shd w:val="clear" w:color="auto" w:fill="FFFFFF"/>
            <w:tcMar>
              <w:top w:w="0" w:type="dxa"/>
              <w:left w:w="0" w:type="dxa"/>
              <w:bottom w:w="0" w:type="dxa"/>
              <w:right w:w="0" w:type="dxa"/>
            </w:tcMar>
            <w:vAlign w:val="center"/>
          </w:tcPr>
          <w:p w14:paraId="3704294B"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20,858,211</w:t>
            </w:r>
          </w:p>
        </w:tc>
        <w:tc>
          <w:tcPr>
            <w:tcW w:w="0" w:type="auto"/>
            <w:tcBorders>
              <w:bottom w:val="single" w:sz="16" w:space="0" w:color="666666"/>
            </w:tcBorders>
            <w:shd w:val="clear" w:color="auto" w:fill="FFFFFF"/>
            <w:tcMar>
              <w:top w:w="0" w:type="dxa"/>
              <w:left w:w="0" w:type="dxa"/>
              <w:bottom w:w="0" w:type="dxa"/>
              <w:right w:w="0" w:type="dxa"/>
            </w:tcMar>
            <w:vAlign w:val="center"/>
          </w:tcPr>
          <w:p w14:paraId="35B0EBAD"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33,363,757</w:t>
            </w:r>
          </w:p>
        </w:tc>
        <w:tc>
          <w:tcPr>
            <w:tcW w:w="0" w:type="auto"/>
            <w:tcBorders>
              <w:bottom w:val="single" w:sz="16" w:space="0" w:color="666666"/>
            </w:tcBorders>
            <w:shd w:val="clear" w:color="auto" w:fill="FFFFFF"/>
            <w:tcMar>
              <w:top w:w="0" w:type="dxa"/>
              <w:left w:w="0" w:type="dxa"/>
              <w:bottom w:w="0" w:type="dxa"/>
              <w:right w:w="0" w:type="dxa"/>
            </w:tcMar>
            <w:vAlign w:val="center"/>
          </w:tcPr>
          <w:p w14:paraId="5F4E25FC"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21,912,920</w:t>
            </w:r>
          </w:p>
        </w:tc>
        <w:tc>
          <w:tcPr>
            <w:tcW w:w="0" w:type="auto"/>
            <w:tcBorders>
              <w:bottom w:val="single" w:sz="16" w:space="0" w:color="666666"/>
            </w:tcBorders>
            <w:shd w:val="clear" w:color="auto" w:fill="FFFFFF"/>
            <w:tcMar>
              <w:top w:w="0" w:type="dxa"/>
              <w:left w:w="0" w:type="dxa"/>
              <w:bottom w:w="0" w:type="dxa"/>
              <w:right w:w="0" w:type="dxa"/>
            </w:tcMar>
            <w:vAlign w:val="center"/>
          </w:tcPr>
          <w:p w14:paraId="54142217" w14:textId="77777777" w:rsidR="00054336" w:rsidRPr="003C413E" w:rsidRDefault="00054336"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33,993,899</w:t>
            </w:r>
          </w:p>
        </w:tc>
      </w:tr>
    </w:tbl>
    <w:p w14:paraId="2FF8002A" w14:textId="77777777" w:rsidR="005B0A1E" w:rsidRPr="003C413E" w:rsidRDefault="005B0A1E" w:rsidP="001718E7">
      <w:pPr>
        <w:rPr>
          <w:rFonts w:ascii="Times New Roman" w:hAnsi="Times New Roman" w:cs="Times New Roman"/>
          <w:b/>
          <w:bCs/>
        </w:rPr>
      </w:pPr>
    </w:p>
    <w:p w14:paraId="6296E478" w14:textId="77777777" w:rsidR="00613DB0" w:rsidRPr="003C413E" w:rsidRDefault="00613DB0" w:rsidP="001718E7">
      <w:pPr>
        <w:rPr>
          <w:rFonts w:ascii="Times New Roman" w:hAnsi="Times New Roman" w:cs="Times New Roman"/>
          <w:b/>
          <w:bCs/>
        </w:rPr>
      </w:pPr>
    </w:p>
    <w:p w14:paraId="4A259176" w14:textId="77777777" w:rsidR="00613DB0" w:rsidRPr="003C413E" w:rsidRDefault="00613DB0" w:rsidP="001718E7">
      <w:pPr>
        <w:rPr>
          <w:rFonts w:ascii="Times New Roman" w:hAnsi="Times New Roman" w:cs="Times New Roman"/>
          <w:b/>
          <w:bCs/>
        </w:rPr>
      </w:pPr>
    </w:p>
    <w:p w14:paraId="18B2C79A" w14:textId="77777777" w:rsidR="00613DB0" w:rsidRPr="003C413E" w:rsidRDefault="00613DB0" w:rsidP="001718E7">
      <w:pPr>
        <w:rPr>
          <w:rFonts w:ascii="Times New Roman" w:hAnsi="Times New Roman" w:cs="Times New Roman"/>
          <w:b/>
          <w:bCs/>
        </w:rPr>
      </w:pPr>
    </w:p>
    <w:p w14:paraId="19B0B490" w14:textId="48D85B01" w:rsidR="00613DB0" w:rsidRPr="003C413E" w:rsidRDefault="006D3605" w:rsidP="001718E7">
      <w:pPr>
        <w:rPr>
          <w:rFonts w:ascii="Times New Roman" w:hAnsi="Times New Roman" w:cs="Times New Roman"/>
          <w:b/>
          <w:bCs/>
        </w:rPr>
      </w:pPr>
      <w:r w:rsidRPr="003C413E">
        <w:rPr>
          <w:rFonts w:ascii="Times New Roman" w:hAnsi="Times New Roman" w:cs="Times New Roman"/>
          <w:b/>
          <w:bCs/>
        </w:rPr>
        <w:t xml:space="preserve"> </w:t>
      </w:r>
    </w:p>
    <w:p w14:paraId="1CC6AAE3" w14:textId="1413D2A5" w:rsidR="001718E7" w:rsidRPr="003C413E" w:rsidRDefault="001718E7" w:rsidP="00A1269F">
      <w:pPr>
        <w:pStyle w:val="Heading2"/>
        <w:spacing w:line="360" w:lineRule="auto"/>
        <w:rPr>
          <w:rFonts w:ascii="Times New Roman" w:hAnsi="Times New Roman" w:cs="Times New Roman"/>
        </w:rPr>
      </w:pPr>
      <w:bookmarkStart w:id="23" w:name="_Toc113956980"/>
      <w:r w:rsidRPr="003C413E">
        <w:rPr>
          <w:rFonts w:ascii="Times New Roman" w:hAnsi="Times New Roman" w:cs="Times New Roman"/>
        </w:rPr>
        <w:lastRenderedPageBreak/>
        <w:t>Number</w:t>
      </w:r>
      <w:r w:rsidR="00AC3116" w:rsidRPr="003C413E">
        <w:rPr>
          <w:rFonts w:ascii="Times New Roman" w:hAnsi="Times New Roman" w:cs="Times New Roman"/>
        </w:rPr>
        <w:t xml:space="preserve"> </w:t>
      </w:r>
      <w:r w:rsidRPr="003C413E">
        <w:rPr>
          <w:rFonts w:ascii="Times New Roman" w:hAnsi="Times New Roman" w:cs="Times New Roman"/>
        </w:rPr>
        <w:t>of</w:t>
      </w:r>
      <w:r w:rsidR="00AC3116" w:rsidRPr="003C413E">
        <w:rPr>
          <w:rFonts w:ascii="Times New Roman" w:hAnsi="Times New Roman" w:cs="Times New Roman"/>
        </w:rPr>
        <w:t xml:space="preserve"> </w:t>
      </w:r>
      <w:r w:rsidRPr="003C413E">
        <w:rPr>
          <w:rFonts w:ascii="Times New Roman" w:hAnsi="Times New Roman" w:cs="Times New Roman"/>
        </w:rPr>
        <w:t>Case</w:t>
      </w:r>
      <w:r w:rsidR="00AC3116" w:rsidRPr="003C413E">
        <w:rPr>
          <w:rFonts w:ascii="Times New Roman" w:hAnsi="Times New Roman" w:cs="Times New Roman"/>
        </w:rPr>
        <w:t xml:space="preserve"> </w:t>
      </w:r>
      <w:r w:rsidRPr="003C413E">
        <w:rPr>
          <w:rFonts w:ascii="Times New Roman" w:hAnsi="Times New Roman" w:cs="Times New Roman"/>
        </w:rPr>
        <w:t>Reports</w:t>
      </w:r>
      <w:r w:rsidR="00AC3116" w:rsidRPr="003C413E">
        <w:rPr>
          <w:rFonts w:ascii="Times New Roman" w:hAnsi="Times New Roman" w:cs="Times New Roman"/>
        </w:rPr>
        <w:t xml:space="preserve"> </w:t>
      </w:r>
      <w:r w:rsidRPr="003C413E">
        <w:rPr>
          <w:rFonts w:ascii="Times New Roman" w:hAnsi="Times New Roman" w:cs="Times New Roman"/>
        </w:rPr>
        <w:t>(κ)</w:t>
      </w:r>
      <w:bookmarkEnd w:id="23"/>
      <w:r w:rsidRPr="003C413E">
        <w:rPr>
          <w:rFonts w:ascii="Times New Roman" w:hAnsi="Times New Roman" w:cs="Times New Roman"/>
        </w:rPr>
        <w:t xml:space="preserve"> </w:t>
      </w:r>
    </w:p>
    <w:p w14:paraId="15464C16" w14:textId="0C379659" w:rsidR="00AC3116" w:rsidRPr="003C413E" w:rsidRDefault="00AC3116" w:rsidP="00D518DC">
      <w:pPr>
        <w:spacing w:line="360" w:lineRule="auto"/>
        <w:ind w:firstLine="720"/>
        <w:rPr>
          <w:rFonts w:ascii="Times New Roman" w:hAnsi="Times New Roman" w:cs="Times New Roman"/>
        </w:rPr>
      </w:pPr>
      <w:r w:rsidRPr="003C413E">
        <w:rPr>
          <w:rFonts w:ascii="Times New Roman" w:hAnsi="Times New Roman" w:cs="Times New Roman"/>
        </w:rPr>
        <w:t xml:space="preserve">Case reports </w:t>
      </w:r>
      <w:r w:rsidR="001718E7" w:rsidRPr="003C413E">
        <w:rPr>
          <w:rFonts w:ascii="Times New Roman" w:hAnsi="Times New Roman" w:cs="Times New Roman"/>
        </w:rPr>
        <w:t xml:space="preserve">represent diagnosed gonococcal infections reported to the Centers for Disease Control and Prevention (CDC) </w:t>
      </w:r>
      <w:r w:rsidRPr="003C413E">
        <w:rPr>
          <w:rFonts w:ascii="Times New Roman" w:hAnsi="Times New Roman" w:cs="Times New Roman"/>
        </w:rPr>
        <w:t>via the Nationally Notifiable Disease Surveillance System (NNDSS) from 200</w:t>
      </w:r>
      <w:r w:rsidR="005530E3" w:rsidRPr="003C413E">
        <w:rPr>
          <w:rFonts w:ascii="Times New Roman" w:hAnsi="Times New Roman" w:cs="Times New Roman"/>
        </w:rPr>
        <w:t>6</w:t>
      </w:r>
      <w:r w:rsidRPr="003C413E">
        <w:rPr>
          <w:rFonts w:ascii="Times New Roman" w:hAnsi="Times New Roman" w:cs="Times New Roman"/>
        </w:rPr>
        <w:t xml:space="preserve"> to 201</w:t>
      </w:r>
      <w:r w:rsidR="008D2996" w:rsidRPr="003C413E">
        <w:rPr>
          <w:rFonts w:ascii="Times New Roman" w:hAnsi="Times New Roman" w:cs="Times New Roman"/>
        </w:rPr>
        <w:t>9</w:t>
      </w:r>
      <w:r w:rsidR="001718E7" w:rsidRPr="003C413E">
        <w:rPr>
          <w:rFonts w:ascii="Times New Roman" w:hAnsi="Times New Roman" w:cs="Times New Roman"/>
        </w:rPr>
        <w:t xml:space="preserve"> </w:t>
      </w:r>
      <w:r w:rsidRPr="003C413E">
        <w:rPr>
          <w:rFonts w:ascii="Times New Roman" w:hAnsi="Times New Roman" w:cs="Times New Roman"/>
        </w:rPr>
        <w:fldChar w:fldCharType="begin" w:fldLock="1"/>
      </w:r>
      <w:r w:rsidR="000B7B66" w:rsidRPr="003C413E">
        <w:rPr>
          <w:rFonts w:ascii="Times New Roman" w:hAnsi="Times New Roman" w:cs="Times New Roman"/>
        </w:rPr>
        <w:instrText>ADDIN CSL_CITATION {"citationItems":[{"id":"ITEM-1","itemData":{"author":[{"dropping-particle":"","family":"Centers for Disease Control and Prevention","given":"","non-dropping-particle":"","parse-names":false,"suffix":""}],"id":"ITEM-1","issued":{"date-parts":[["2021"]]},"publisher-place":"Atlanta","title":"Sexually Transmitted Disease Surveillance 2019: Table 21","type":"report"},"uris":["http://www.mendeley.com/documents/?uuid=49a0704f-aabf-3ae7-b91f-96b664144f52"]}],"mendeley":{"formattedCitation":"[14]","plainTextFormattedCitation":"[14]","previouslyFormattedCitation":"[14]"},"properties":{"noteIndex":0},"schema":"https://github.com/citation-style-language/schema/raw/master/csl-citation.json"}</w:instrText>
      </w:r>
      <w:r w:rsidRPr="003C413E">
        <w:rPr>
          <w:rFonts w:ascii="Times New Roman" w:hAnsi="Times New Roman" w:cs="Times New Roman"/>
        </w:rPr>
        <w:fldChar w:fldCharType="separate"/>
      </w:r>
      <w:r w:rsidR="00A16E16" w:rsidRPr="003C413E">
        <w:rPr>
          <w:rFonts w:ascii="Times New Roman" w:hAnsi="Times New Roman" w:cs="Times New Roman"/>
          <w:noProof/>
        </w:rPr>
        <w:t>[14]</w:t>
      </w:r>
      <w:r w:rsidRPr="003C413E">
        <w:rPr>
          <w:rFonts w:ascii="Times New Roman" w:hAnsi="Times New Roman" w:cs="Times New Roman"/>
        </w:rPr>
        <w:fldChar w:fldCharType="end"/>
      </w:r>
      <w:r w:rsidRPr="003C413E">
        <w:rPr>
          <w:rFonts w:ascii="Times New Roman" w:hAnsi="Times New Roman" w:cs="Times New Roman"/>
        </w:rPr>
        <w:t>. The counts among each age and sex subgroup used are included below.</w:t>
      </w:r>
    </w:p>
    <w:p w14:paraId="1B24BF1B" w14:textId="1EE23A3E" w:rsidR="001718E7" w:rsidRPr="003C413E" w:rsidRDefault="001718E7" w:rsidP="00D518DC">
      <w:pPr>
        <w:spacing w:line="360" w:lineRule="auto"/>
        <w:ind w:firstLine="720"/>
        <w:rPr>
          <w:rFonts w:ascii="Times New Roman" w:hAnsi="Times New Roman" w:cs="Times New Roman"/>
        </w:rPr>
      </w:pPr>
      <w:r w:rsidRPr="003C413E">
        <w:rPr>
          <w:rFonts w:ascii="Times New Roman" w:hAnsi="Times New Roman" w:cs="Times New Roman"/>
        </w:rPr>
        <w:t xml:space="preserve">Various factors should be considered when interpreting gonococcal case report data. These data </w:t>
      </w:r>
      <w:r w:rsidR="0015200E">
        <w:rPr>
          <w:rFonts w:ascii="Times New Roman" w:hAnsi="Times New Roman" w:cs="Times New Roman"/>
        </w:rPr>
        <w:t xml:space="preserve">do not </w:t>
      </w:r>
      <w:r w:rsidRPr="003C413E">
        <w:rPr>
          <w:rFonts w:ascii="Times New Roman" w:hAnsi="Times New Roman" w:cs="Times New Roman"/>
        </w:rPr>
        <w:t xml:space="preserve">include infections that remained undiagnosed, nor infections </w:t>
      </w:r>
      <w:r w:rsidR="0015200E">
        <w:rPr>
          <w:rFonts w:ascii="Times New Roman" w:hAnsi="Times New Roman" w:cs="Times New Roman"/>
        </w:rPr>
        <w:t xml:space="preserve">that </w:t>
      </w:r>
      <w:r w:rsidRPr="003C413E">
        <w:rPr>
          <w:rFonts w:ascii="Times New Roman" w:hAnsi="Times New Roman" w:cs="Times New Roman"/>
        </w:rPr>
        <w:t xml:space="preserve">may have been diagnosed but not reported to </w:t>
      </w:r>
      <w:r w:rsidR="00C86367" w:rsidRPr="003C413E">
        <w:rPr>
          <w:rFonts w:ascii="Times New Roman" w:hAnsi="Times New Roman" w:cs="Times New Roman"/>
        </w:rPr>
        <w:t>the C</w:t>
      </w:r>
      <w:r w:rsidRPr="003C413E">
        <w:rPr>
          <w:rFonts w:ascii="Times New Roman" w:hAnsi="Times New Roman" w:cs="Times New Roman"/>
        </w:rPr>
        <w:t>DC. Also, given the current inability of case report data to adequately capture all anatomic sites of infection of a reported case, we assumed they represented urogenital</w:t>
      </w:r>
      <w:r w:rsidR="00AC3116" w:rsidRPr="003C413E">
        <w:rPr>
          <w:rFonts w:ascii="Times New Roman" w:hAnsi="Times New Roman" w:cs="Times New Roman"/>
        </w:rPr>
        <w:t xml:space="preserve"> </w:t>
      </w:r>
      <w:r w:rsidRPr="003C413E">
        <w:rPr>
          <w:rFonts w:ascii="Times New Roman" w:hAnsi="Times New Roman" w:cs="Times New Roman"/>
        </w:rPr>
        <w:t>infections only,</w:t>
      </w:r>
      <w:r w:rsidR="00C86367" w:rsidRPr="003C413E">
        <w:rPr>
          <w:rFonts w:ascii="Times New Roman" w:hAnsi="Times New Roman" w:cs="Times New Roman"/>
        </w:rPr>
        <w:t xml:space="preserve"> </w:t>
      </w:r>
      <w:r w:rsidRPr="003C413E">
        <w:rPr>
          <w:rFonts w:ascii="Times New Roman" w:hAnsi="Times New Roman" w:cs="Times New Roman"/>
        </w:rPr>
        <w:t xml:space="preserve">ignoring infections at extragenital sites, such as the rectum and oropharynx. As a result, the full burden </w:t>
      </w:r>
      <w:r w:rsidR="00AC3116" w:rsidRPr="003C413E">
        <w:rPr>
          <w:rFonts w:ascii="Times New Roman" w:hAnsi="Times New Roman" w:cs="Times New Roman"/>
        </w:rPr>
        <w:t>of</w:t>
      </w:r>
      <w:r w:rsidRPr="003C413E">
        <w:rPr>
          <w:rFonts w:ascii="Times New Roman" w:hAnsi="Times New Roman" w:cs="Times New Roman"/>
        </w:rPr>
        <w:t xml:space="preserve"> gonorrhea may be underestimated due to the possibility of gonococcal infection at additional anatomic sites. In addition, we assumed no</w:t>
      </w:r>
      <w:r w:rsidR="00AC3116" w:rsidRPr="003C413E">
        <w:rPr>
          <w:rFonts w:ascii="Times New Roman" w:hAnsi="Times New Roman" w:cs="Times New Roman"/>
        </w:rPr>
        <w:t xml:space="preserve"> </w:t>
      </w:r>
      <w:r w:rsidRPr="003C413E">
        <w:rPr>
          <w:rFonts w:ascii="Times New Roman" w:hAnsi="Times New Roman" w:cs="Times New Roman"/>
        </w:rPr>
        <w:t xml:space="preserve">uncertainty in the case report data.  </w:t>
      </w:r>
    </w:p>
    <w:p w14:paraId="22E3ABE0" w14:textId="5C82C00B" w:rsidR="00122CB3" w:rsidRPr="003C413E" w:rsidRDefault="00122CB3" w:rsidP="00043B02">
      <w:pPr>
        <w:pStyle w:val="Heading3"/>
        <w:jc w:val="center"/>
        <w:rPr>
          <w:rFonts w:ascii="Times New Roman" w:hAnsi="Times New Roman" w:cs="Times New Roman"/>
          <w:i/>
        </w:rPr>
      </w:pPr>
      <w:bookmarkStart w:id="24" w:name="_Toc113956981"/>
      <w:r w:rsidRPr="003C413E">
        <w:rPr>
          <w:rFonts w:ascii="Times New Roman" w:hAnsi="Times New Roman" w:cs="Times New Roman"/>
        </w:rPr>
        <w:t>Table</w:t>
      </w:r>
      <w:r w:rsidR="003739B6" w:rsidRPr="003C413E">
        <w:rPr>
          <w:rFonts w:ascii="Times New Roman" w:hAnsi="Times New Roman" w:cs="Times New Roman"/>
        </w:rPr>
        <w:t xml:space="preserve"> </w:t>
      </w:r>
      <w:r w:rsidR="0040468A" w:rsidRPr="003C413E">
        <w:rPr>
          <w:rFonts w:ascii="Times New Roman" w:hAnsi="Times New Roman" w:cs="Times New Roman"/>
        </w:rPr>
        <w:t>S</w:t>
      </w:r>
      <w:r w:rsidR="00A83BC4" w:rsidRPr="003C413E">
        <w:rPr>
          <w:rFonts w:ascii="Times New Roman" w:hAnsi="Times New Roman" w:cs="Times New Roman"/>
        </w:rPr>
        <w:t>5</w:t>
      </w:r>
      <w:r w:rsidRPr="003C413E">
        <w:rPr>
          <w:rFonts w:ascii="Times New Roman" w:hAnsi="Times New Roman" w:cs="Times New Roman"/>
          <w:i/>
        </w:rPr>
        <w:fldChar w:fldCharType="begin"/>
      </w:r>
      <w:r w:rsidRPr="003C413E">
        <w:rPr>
          <w:rFonts w:ascii="Times New Roman" w:hAnsi="Times New Roman" w:cs="Times New Roman"/>
        </w:rPr>
        <w:instrText>SEQ tab \* Arabic</w:instrText>
      </w:r>
      <w:r w:rsidRPr="003C413E">
        <w:rPr>
          <w:rFonts w:ascii="Times New Roman" w:hAnsi="Times New Roman" w:cs="Times New Roman"/>
          <w:i/>
        </w:rPr>
        <w:fldChar w:fldCharType="end"/>
      </w:r>
      <w:r w:rsidRPr="003C413E">
        <w:rPr>
          <w:rFonts w:ascii="Times New Roman" w:hAnsi="Times New Roman" w:cs="Times New Roman"/>
        </w:rPr>
        <w:t>: Case Reports, 200</w:t>
      </w:r>
      <w:r w:rsidR="00003D12" w:rsidRPr="003C413E">
        <w:rPr>
          <w:rFonts w:ascii="Times New Roman" w:hAnsi="Times New Roman" w:cs="Times New Roman"/>
        </w:rPr>
        <w:t>6</w:t>
      </w:r>
      <w:r w:rsidRPr="003C413E">
        <w:rPr>
          <w:rFonts w:ascii="Times New Roman" w:hAnsi="Times New Roman" w:cs="Times New Roman"/>
        </w:rPr>
        <w:t>-201</w:t>
      </w:r>
      <w:r w:rsidR="008E02BB" w:rsidRPr="003C413E">
        <w:rPr>
          <w:rFonts w:ascii="Times New Roman" w:hAnsi="Times New Roman" w:cs="Times New Roman"/>
        </w:rPr>
        <w:t>9</w:t>
      </w:r>
      <w:bookmarkEnd w:id="24"/>
    </w:p>
    <w:tbl>
      <w:tblPr>
        <w:tblW w:w="0" w:type="auto"/>
        <w:jc w:val="center"/>
        <w:tblLook w:val="0420" w:firstRow="1" w:lastRow="0" w:firstColumn="0" w:lastColumn="0" w:noHBand="0" w:noVBand="1"/>
      </w:tblPr>
      <w:tblGrid>
        <w:gridCol w:w="1028"/>
        <w:gridCol w:w="850"/>
        <w:gridCol w:w="750"/>
        <w:gridCol w:w="850"/>
        <w:gridCol w:w="850"/>
      </w:tblGrid>
      <w:tr w:rsidR="004548A7" w:rsidRPr="003C413E" w14:paraId="24E33892" w14:textId="77777777" w:rsidTr="0041263A">
        <w:trPr>
          <w:cantSplit/>
          <w:tblHeader/>
          <w:jc w:val="center"/>
        </w:trPr>
        <w:tc>
          <w:tcPr>
            <w:tcW w:w="0" w:type="auto"/>
            <w:tcBorders>
              <w:top w:val="single" w:sz="16" w:space="0" w:color="666666"/>
              <w:bottom w:val="single" w:sz="8" w:space="0" w:color="666666"/>
            </w:tcBorders>
            <w:shd w:val="clear" w:color="auto" w:fill="FFFFFF"/>
            <w:tcMar>
              <w:top w:w="0" w:type="dxa"/>
              <w:left w:w="0" w:type="dxa"/>
              <w:bottom w:w="0" w:type="dxa"/>
              <w:right w:w="0" w:type="dxa"/>
            </w:tcMar>
            <w:vAlign w:val="center"/>
          </w:tcPr>
          <w:p w14:paraId="6E02D138" w14:textId="77777777" w:rsidR="004548A7" w:rsidRPr="003C413E" w:rsidRDefault="004548A7" w:rsidP="0041263A">
            <w:pPr>
              <w:spacing w:before="100" w:after="100"/>
              <w:ind w:left="100" w:right="100"/>
              <w:rPr>
                <w:rFonts w:ascii="Times New Roman" w:hAnsi="Times New Roman" w:cs="Times New Roman"/>
              </w:rPr>
            </w:pPr>
            <w:r w:rsidRPr="003C413E">
              <w:rPr>
                <w:rFonts w:ascii="Times New Roman" w:eastAsia="Arial" w:hAnsi="Times New Roman" w:cs="Times New Roman"/>
                <w:b/>
                <w:color w:val="000000"/>
              </w:rPr>
              <w:t xml:space="preserve"> </w:t>
            </w:r>
          </w:p>
        </w:tc>
        <w:tc>
          <w:tcPr>
            <w:tcW w:w="0" w:type="auto"/>
            <w:gridSpan w:val="2"/>
            <w:tcBorders>
              <w:top w:val="single" w:sz="16" w:space="0" w:color="666666"/>
              <w:bottom w:val="single" w:sz="8" w:space="0" w:color="666666"/>
            </w:tcBorders>
            <w:shd w:val="clear" w:color="auto" w:fill="FFFFFF"/>
            <w:tcMar>
              <w:top w:w="0" w:type="dxa"/>
              <w:left w:w="0" w:type="dxa"/>
              <w:bottom w:w="0" w:type="dxa"/>
              <w:right w:w="0" w:type="dxa"/>
            </w:tcMar>
            <w:vAlign w:val="center"/>
          </w:tcPr>
          <w:p w14:paraId="7D2132D2" w14:textId="77777777" w:rsidR="004548A7" w:rsidRPr="003C413E" w:rsidRDefault="004548A7" w:rsidP="00F129FF">
            <w:pPr>
              <w:spacing w:before="100" w:after="100"/>
              <w:ind w:left="100" w:right="100"/>
              <w:jc w:val="center"/>
              <w:rPr>
                <w:rFonts w:ascii="Times New Roman" w:hAnsi="Times New Roman" w:cs="Times New Roman"/>
              </w:rPr>
            </w:pPr>
            <w:r w:rsidRPr="003C413E">
              <w:rPr>
                <w:rFonts w:ascii="Times New Roman" w:eastAsia="Arial" w:hAnsi="Times New Roman" w:cs="Times New Roman"/>
                <w:b/>
                <w:color w:val="000000"/>
              </w:rPr>
              <w:t>Women</w:t>
            </w:r>
          </w:p>
        </w:tc>
        <w:tc>
          <w:tcPr>
            <w:tcW w:w="0" w:type="auto"/>
            <w:gridSpan w:val="2"/>
            <w:tcBorders>
              <w:top w:val="single" w:sz="16" w:space="0" w:color="666666"/>
              <w:bottom w:val="single" w:sz="8" w:space="0" w:color="666666"/>
            </w:tcBorders>
            <w:shd w:val="clear" w:color="auto" w:fill="FFFFFF"/>
            <w:tcMar>
              <w:top w:w="0" w:type="dxa"/>
              <w:left w:w="0" w:type="dxa"/>
              <w:bottom w:w="0" w:type="dxa"/>
              <w:right w:w="0" w:type="dxa"/>
            </w:tcMar>
            <w:vAlign w:val="center"/>
          </w:tcPr>
          <w:p w14:paraId="7DA7AEA0" w14:textId="77777777" w:rsidR="004548A7" w:rsidRPr="003C413E" w:rsidRDefault="004548A7" w:rsidP="00F129FF">
            <w:pPr>
              <w:spacing w:before="100" w:after="100"/>
              <w:ind w:left="100" w:right="100"/>
              <w:jc w:val="center"/>
              <w:rPr>
                <w:rFonts w:ascii="Times New Roman" w:hAnsi="Times New Roman" w:cs="Times New Roman"/>
              </w:rPr>
            </w:pPr>
            <w:r w:rsidRPr="003C413E">
              <w:rPr>
                <w:rFonts w:ascii="Times New Roman" w:eastAsia="Arial" w:hAnsi="Times New Roman" w:cs="Times New Roman"/>
                <w:b/>
                <w:color w:val="000000"/>
              </w:rPr>
              <w:t>Men</w:t>
            </w:r>
          </w:p>
        </w:tc>
      </w:tr>
      <w:tr w:rsidR="004548A7" w:rsidRPr="003C413E" w14:paraId="143BD459" w14:textId="77777777" w:rsidTr="0041263A">
        <w:trPr>
          <w:cantSplit/>
          <w:tblHeader/>
          <w:jc w:val="center"/>
        </w:trPr>
        <w:tc>
          <w:tcPr>
            <w:tcW w:w="0" w:type="auto"/>
            <w:tcBorders>
              <w:top w:val="single" w:sz="8" w:space="0" w:color="666666"/>
              <w:bottom w:val="single" w:sz="16" w:space="0" w:color="666666"/>
            </w:tcBorders>
            <w:shd w:val="clear" w:color="auto" w:fill="FFFFFF"/>
            <w:tcMar>
              <w:top w:w="0" w:type="dxa"/>
              <w:left w:w="0" w:type="dxa"/>
              <w:bottom w:w="0" w:type="dxa"/>
              <w:right w:w="0" w:type="dxa"/>
            </w:tcMar>
            <w:vAlign w:val="center"/>
          </w:tcPr>
          <w:p w14:paraId="3BFE0A0A" w14:textId="77777777" w:rsidR="004548A7" w:rsidRPr="003C413E" w:rsidRDefault="004548A7" w:rsidP="0041263A">
            <w:pPr>
              <w:spacing w:before="100" w:after="100"/>
              <w:ind w:left="100" w:right="100"/>
              <w:rPr>
                <w:rFonts w:ascii="Times New Roman" w:hAnsi="Times New Roman" w:cs="Times New Roman"/>
              </w:rPr>
            </w:pPr>
            <w:r w:rsidRPr="003C413E">
              <w:rPr>
                <w:rFonts w:ascii="Times New Roman" w:eastAsia="Arial" w:hAnsi="Times New Roman" w:cs="Times New Roman"/>
                <w:b/>
                <w:color w:val="000000"/>
              </w:rPr>
              <w:t>Year</w:t>
            </w:r>
          </w:p>
        </w:tc>
        <w:tc>
          <w:tcPr>
            <w:tcW w:w="0" w:type="auto"/>
            <w:tcBorders>
              <w:top w:val="single" w:sz="8" w:space="0" w:color="666666"/>
              <w:bottom w:val="single" w:sz="16" w:space="0" w:color="666666"/>
            </w:tcBorders>
            <w:shd w:val="clear" w:color="auto" w:fill="FFFFFF"/>
            <w:tcMar>
              <w:top w:w="0" w:type="dxa"/>
              <w:left w:w="0" w:type="dxa"/>
              <w:bottom w:w="0" w:type="dxa"/>
              <w:right w:w="0" w:type="dxa"/>
            </w:tcMar>
            <w:vAlign w:val="center"/>
          </w:tcPr>
          <w:p w14:paraId="1BD3E2AC" w14:textId="77777777" w:rsidR="004548A7" w:rsidRPr="003C413E" w:rsidRDefault="004548A7" w:rsidP="0041263A">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15-24</w:t>
            </w:r>
          </w:p>
        </w:tc>
        <w:tc>
          <w:tcPr>
            <w:tcW w:w="0" w:type="auto"/>
            <w:tcBorders>
              <w:top w:val="single" w:sz="8" w:space="0" w:color="666666"/>
              <w:bottom w:val="single" w:sz="16" w:space="0" w:color="666666"/>
            </w:tcBorders>
            <w:shd w:val="clear" w:color="auto" w:fill="FFFFFF"/>
            <w:tcMar>
              <w:top w:w="0" w:type="dxa"/>
              <w:left w:w="0" w:type="dxa"/>
              <w:bottom w:w="0" w:type="dxa"/>
              <w:right w:w="0" w:type="dxa"/>
            </w:tcMar>
            <w:vAlign w:val="center"/>
          </w:tcPr>
          <w:p w14:paraId="2AABAD70" w14:textId="77777777" w:rsidR="004548A7" w:rsidRPr="003C413E" w:rsidRDefault="004548A7" w:rsidP="0041263A">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25-39</w:t>
            </w:r>
          </w:p>
        </w:tc>
        <w:tc>
          <w:tcPr>
            <w:tcW w:w="0" w:type="auto"/>
            <w:tcBorders>
              <w:top w:val="single" w:sz="8" w:space="0" w:color="666666"/>
              <w:bottom w:val="single" w:sz="16" w:space="0" w:color="666666"/>
            </w:tcBorders>
            <w:shd w:val="clear" w:color="auto" w:fill="FFFFFF"/>
            <w:tcMar>
              <w:top w:w="0" w:type="dxa"/>
              <w:left w:w="0" w:type="dxa"/>
              <w:bottom w:w="0" w:type="dxa"/>
              <w:right w:w="0" w:type="dxa"/>
            </w:tcMar>
            <w:vAlign w:val="center"/>
          </w:tcPr>
          <w:p w14:paraId="17296A12" w14:textId="77777777" w:rsidR="004548A7" w:rsidRPr="003C413E" w:rsidRDefault="004548A7" w:rsidP="0041263A">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15-24</w:t>
            </w:r>
          </w:p>
        </w:tc>
        <w:tc>
          <w:tcPr>
            <w:tcW w:w="0" w:type="auto"/>
            <w:tcBorders>
              <w:top w:val="single" w:sz="8" w:space="0" w:color="666666"/>
              <w:bottom w:val="single" w:sz="16" w:space="0" w:color="666666"/>
            </w:tcBorders>
            <w:shd w:val="clear" w:color="auto" w:fill="FFFFFF"/>
            <w:tcMar>
              <w:top w:w="0" w:type="dxa"/>
              <w:left w:w="0" w:type="dxa"/>
              <w:bottom w:w="0" w:type="dxa"/>
              <w:right w:w="0" w:type="dxa"/>
            </w:tcMar>
            <w:vAlign w:val="center"/>
          </w:tcPr>
          <w:p w14:paraId="2AD6F9D9" w14:textId="77777777" w:rsidR="004548A7" w:rsidRPr="003C413E" w:rsidRDefault="004548A7" w:rsidP="0041263A">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25-39</w:t>
            </w:r>
          </w:p>
        </w:tc>
      </w:tr>
      <w:tr w:rsidR="004A6D2B" w:rsidRPr="003C413E" w14:paraId="1DBD356F" w14:textId="77777777" w:rsidTr="0041263A">
        <w:trPr>
          <w:cantSplit/>
          <w:jc w:val="center"/>
        </w:trPr>
        <w:tc>
          <w:tcPr>
            <w:tcW w:w="0" w:type="auto"/>
            <w:shd w:val="clear" w:color="auto" w:fill="FFFFFF"/>
            <w:tcMar>
              <w:top w:w="0" w:type="dxa"/>
              <w:left w:w="0" w:type="dxa"/>
              <w:bottom w:w="0" w:type="dxa"/>
              <w:right w:w="0" w:type="dxa"/>
            </w:tcMar>
            <w:vAlign w:val="center"/>
          </w:tcPr>
          <w:p w14:paraId="564E1DFE" w14:textId="55B84FB6"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2006</w:t>
            </w:r>
          </w:p>
        </w:tc>
        <w:tc>
          <w:tcPr>
            <w:tcW w:w="0" w:type="auto"/>
            <w:shd w:val="clear" w:color="auto" w:fill="FFFFFF"/>
            <w:tcMar>
              <w:top w:w="0" w:type="dxa"/>
              <w:left w:w="0" w:type="dxa"/>
              <w:bottom w:w="0" w:type="dxa"/>
              <w:right w:w="0" w:type="dxa"/>
            </w:tcMar>
            <w:vAlign w:val="center"/>
          </w:tcPr>
          <w:p w14:paraId="0DE173F1" w14:textId="2BFF7BF0"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127,328</w:t>
            </w:r>
          </w:p>
        </w:tc>
        <w:tc>
          <w:tcPr>
            <w:tcW w:w="0" w:type="auto"/>
            <w:shd w:val="clear" w:color="auto" w:fill="FFFFFF"/>
            <w:tcMar>
              <w:top w:w="0" w:type="dxa"/>
              <w:left w:w="0" w:type="dxa"/>
              <w:bottom w:w="0" w:type="dxa"/>
              <w:right w:w="0" w:type="dxa"/>
            </w:tcMar>
            <w:vAlign w:val="center"/>
          </w:tcPr>
          <w:p w14:paraId="1D298FC9" w14:textId="03426C2D"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51,817</w:t>
            </w:r>
          </w:p>
        </w:tc>
        <w:tc>
          <w:tcPr>
            <w:tcW w:w="0" w:type="auto"/>
            <w:shd w:val="clear" w:color="auto" w:fill="FFFFFF"/>
            <w:tcMar>
              <w:top w:w="0" w:type="dxa"/>
              <w:left w:w="0" w:type="dxa"/>
              <w:bottom w:w="0" w:type="dxa"/>
              <w:right w:w="0" w:type="dxa"/>
            </w:tcMar>
            <w:vAlign w:val="center"/>
          </w:tcPr>
          <w:p w14:paraId="5E7DE470" w14:textId="263CA07D"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78,850</w:t>
            </w:r>
          </w:p>
        </w:tc>
        <w:tc>
          <w:tcPr>
            <w:tcW w:w="0" w:type="auto"/>
            <w:shd w:val="clear" w:color="auto" w:fill="FFFFFF"/>
            <w:tcMar>
              <w:top w:w="0" w:type="dxa"/>
              <w:left w:w="0" w:type="dxa"/>
              <w:bottom w:w="0" w:type="dxa"/>
              <w:right w:w="0" w:type="dxa"/>
            </w:tcMar>
            <w:vAlign w:val="center"/>
          </w:tcPr>
          <w:p w14:paraId="1EB19566" w14:textId="7EE5A058"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65,972</w:t>
            </w:r>
          </w:p>
        </w:tc>
      </w:tr>
      <w:tr w:rsidR="004A6D2B" w:rsidRPr="003C413E" w14:paraId="51D29B9D" w14:textId="77777777" w:rsidTr="0041263A">
        <w:trPr>
          <w:cantSplit/>
          <w:jc w:val="center"/>
        </w:trPr>
        <w:tc>
          <w:tcPr>
            <w:tcW w:w="0" w:type="auto"/>
            <w:shd w:val="clear" w:color="auto" w:fill="FFFFFF"/>
            <w:tcMar>
              <w:top w:w="0" w:type="dxa"/>
              <w:left w:w="0" w:type="dxa"/>
              <w:bottom w:w="0" w:type="dxa"/>
              <w:right w:w="0" w:type="dxa"/>
            </w:tcMar>
            <w:vAlign w:val="center"/>
          </w:tcPr>
          <w:p w14:paraId="7EB7B2D2" w14:textId="3F0A791C"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2007</w:t>
            </w:r>
          </w:p>
        </w:tc>
        <w:tc>
          <w:tcPr>
            <w:tcW w:w="0" w:type="auto"/>
            <w:shd w:val="clear" w:color="auto" w:fill="FFFFFF"/>
            <w:tcMar>
              <w:top w:w="0" w:type="dxa"/>
              <w:left w:w="0" w:type="dxa"/>
              <w:bottom w:w="0" w:type="dxa"/>
              <w:right w:w="0" w:type="dxa"/>
            </w:tcMar>
            <w:vAlign w:val="center"/>
          </w:tcPr>
          <w:p w14:paraId="685417C6" w14:textId="4A454502"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129,362</w:t>
            </w:r>
          </w:p>
        </w:tc>
        <w:tc>
          <w:tcPr>
            <w:tcW w:w="0" w:type="auto"/>
            <w:shd w:val="clear" w:color="auto" w:fill="FFFFFF"/>
            <w:tcMar>
              <w:top w:w="0" w:type="dxa"/>
              <w:left w:w="0" w:type="dxa"/>
              <w:bottom w:w="0" w:type="dxa"/>
              <w:right w:w="0" w:type="dxa"/>
            </w:tcMar>
            <w:vAlign w:val="center"/>
          </w:tcPr>
          <w:p w14:paraId="7D20FFEF" w14:textId="5E752D13"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50,863</w:t>
            </w:r>
          </w:p>
        </w:tc>
        <w:tc>
          <w:tcPr>
            <w:tcW w:w="0" w:type="auto"/>
            <w:shd w:val="clear" w:color="auto" w:fill="FFFFFF"/>
            <w:tcMar>
              <w:top w:w="0" w:type="dxa"/>
              <w:left w:w="0" w:type="dxa"/>
              <w:bottom w:w="0" w:type="dxa"/>
              <w:right w:w="0" w:type="dxa"/>
            </w:tcMar>
            <w:vAlign w:val="center"/>
          </w:tcPr>
          <w:p w14:paraId="76078170" w14:textId="504F1974"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79,938</w:t>
            </w:r>
          </w:p>
        </w:tc>
        <w:tc>
          <w:tcPr>
            <w:tcW w:w="0" w:type="auto"/>
            <w:shd w:val="clear" w:color="auto" w:fill="FFFFFF"/>
            <w:tcMar>
              <w:top w:w="0" w:type="dxa"/>
              <w:left w:w="0" w:type="dxa"/>
              <w:bottom w:w="0" w:type="dxa"/>
              <w:right w:w="0" w:type="dxa"/>
            </w:tcMar>
            <w:vAlign w:val="center"/>
          </w:tcPr>
          <w:p w14:paraId="18FD8B38" w14:textId="05905208"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63,596</w:t>
            </w:r>
          </w:p>
        </w:tc>
      </w:tr>
      <w:tr w:rsidR="004A6D2B" w:rsidRPr="003C413E" w14:paraId="3C3B4C83" w14:textId="77777777" w:rsidTr="0041263A">
        <w:trPr>
          <w:cantSplit/>
          <w:jc w:val="center"/>
        </w:trPr>
        <w:tc>
          <w:tcPr>
            <w:tcW w:w="0" w:type="auto"/>
            <w:shd w:val="clear" w:color="auto" w:fill="FFFFFF"/>
            <w:tcMar>
              <w:top w:w="0" w:type="dxa"/>
              <w:left w:w="0" w:type="dxa"/>
              <w:bottom w:w="0" w:type="dxa"/>
              <w:right w:w="0" w:type="dxa"/>
            </w:tcMar>
            <w:vAlign w:val="center"/>
          </w:tcPr>
          <w:p w14:paraId="17A8BFB0" w14:textId="1EB5BE8D"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2008</w:t>
            </w:r>
          </w:p>
        </w:tc>
        <w:tc>
          <w:tcPr>
            <w:tcW w:w="0" w:type="auto"/>
            <w:shd w:val="clear" w:color="auto" w:fill="FFFFFF"/>
            <w:tcMar>
              <w:top w:w="0" w:type="dxa"/>
              <w:left w:w="0" w:type="dxa"/>
              <w:bottom w:w="0" w:type="dxa"/>
              <w:right w:w="0" w:type="dxa"/>
            </w:tcMar>
            <w:vAlign w:val="center"/>
          </w:tcPr>
          <w:p w14:paraId="3FCE7AC2" w14:textId="0CA7BD0C"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127,973</w:t>
            </w:r>
          </w:p>
        </w:tc>
        <w:tc>
          <w:tcPr>
            <w:tcW w:w="0" w:type="auto"/>
            <w:shd w:val="clear" w:color="auto" w:fill="FFFFFF"/>
            <w:tcMar>
              <w:top w:w="0" w:type="dxa"/>
              <w:left w:w="0" w:type="dxa"/>
              <w:bottom w:w="0" w:type="dxa"/>
              <w:right w:w="0" w:type="dxa"/>
            </w:tcMar>
            <w:vAlign w:val="center"/>
          </w:tcPr>
          <w:p w14:paraId="6F484AAD" w14:textId="1A0C3B6C"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47,893</w:t>
            </w:r>
          </w:p>
        </w:tc>
        <w:tc>
          <w:tcPr>
            <w:tcW w:w="0" w:type="auto"/>
            <w:shd w:val="clear" w:color="auto" w:fill="FFFFFF"/>
            <w:tcMar>
              <w:top w:w="0" w:type="dxa"/>
              <w:left w:w="0" w:type="dxa"/>
              <w:bottom w:w="0" w:type="dxa"/>
              <w:right w:w="0" w:type="dxa"/>
            </w:tcMar>
            <w:vAlign w:val="center"/>
          </w:tcPr>
          <w:p w14:paraId="4365C5C2" w14:textId="62504B57"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77,264</w:t>
            </w:r>
          </w:p>
        </w:tc>
        <w:tc>
          <w:tcPr>
            <w:tcW w:w="0" w:type="auto"/>
            <w:shd w:val="clear" w:color="auto" w:fill="FFFFFF"/>
            <w:tcMar>
              <w:top w:w="0" w:type="dxa"/>
              <w:left w:w="0" w:type="dxa"/>
              <w:bottom w:w="0" w:type="dxa"/>
              <w:right w:w="0" w:type="dxa"/>
            </w:tcMar>
            <w:vAlign w:val="center"/>
          </w:tcPr>
          <w:p w14:paraId="32608782" w14:textId="3D672FC8"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56,308</w:t>
            </w:r>
          </w:p>
        </w:tc>
      </w:tr>
      <w:tr w:rsidR="004A6D2B" w:rsidRPr="003C413E" w14:paraId="445A5198" w14:textId="77777777" w:rsidTr="0041263A">
        <w:trPr>
          <w:cantSplit/>
          <w:jc w:val="center"/>
        </w:trPr>
        <w:tc>
          <w:tcPr>
            <w:tcW w:w="0" w:type="auto"/>
            <w:shd w:val="clear" w:color="auto" w:fill="FFFFFF"/>
            <w:tcMar>
              <w:top w:w="0" w:type="dxa"/>
              <w:left w:w="0" w:type="dxa"/>
              <w:bottom w:w="0" w:type="dxa"/>
              <w:right w:w="0" w:type="dxa"/>
            </w:tcMar>
            <w:vAlign w:val="center"/>
          </w:tcPr>
          <w:p w14:paraId="49F2FF9A" w14:textId="4E896484"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2009</w:t>
            </w:r>
          </w:p>
        </w:tc>
        <w:tc>
          <w:tcPr>
            <w:tcW w:w="0" w:type="auto"/>
            <w:shd w:val="clear" w:color="auto" w:fill="FFFFFF"/>
            <w:tcMar>
              <w:top w:w="0" w:type="dxa"/>
              <w:left w:w="0" w:type="dxa"/>
              <w:bottom w:w="0" w:type="dxa"/>
              <w:right w:w="0" w:type="dxa"/>
            </w:tcMar>
            <w:vAlign w:val="center"/>
          </w:tcPr>
          <w:p w14:paraId="0A4491C3" w14:textId="3AA0EA11"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115,789</w:t>
            </w:r>
          </w:p>
        </w:tc>
        <w:tc>
          <w:tcPr>
            <w:tcW w:w="0" w:type="auto"/>
            <w:shd w:val="clear" w:color="auto" w:fill="FFFFFF"/>
            <w:tcMar>
              <w:top w:w="0" w:type="dxa"/>
              <w:left w:w="0" w:type="dxa"/>
              <w:bottom w:w="0" w:type="dxa"/>
              <w:right w:w="0" w:type="dxa"/>
            </w:tcMar>
            <w:vAlign w:val="center"/>
          </w:tcPr>
          <w:p w14:paraId="03989F04" w14:textId="4A4062EB"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41,271</w:t>
            </w:r>
          </w:p>
        </w:tc>
        <w:tc>
          <w:tcPr>
            <w:tcW w:w="0" w:type="auto"/>
            <w:shd w:val="clear" w:color="auto" w:fill="FFFFFF"/>
            <w:tcMar>
              <w:top w:w="0" w:type="dxa"/>
              <w:left w:w="0" w:type="dxa"/>
              <w:bottom w:w="0" w:type="dxa"/>
              <w:right w:w="0" w:type="dxa"/>
            </w:tcMar>
            <w:vAlign w:val="center"/>
          </w:tcPr>
          <w:p w14:paraId="11190046" w14:textId="231FBBEC"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71,430</w:t>
            </w:r>
          </w:p>
        </w:tc>
        <w:tc>
          <w:tcPr>
            <w:tcW w:w="0" w:type="auto"/>
            <w:shd w:val="clear" w:color="auto" w:fill="FFFFFF"/>
            <w:tcMar>
              <w:top w:w="0" w:type="dxa"/>
              <w:left w:w="0" w:type="dxa"/>
              <w:bottom w:w="0" w:type="dxa"/>
              <w:right w:w="0" w:type="dxa"/>
            </w:tcMar>
            <w:vAlign w:val="center"/>
          </w:tcPr>
          <w:p w14:paraId="072C2A2A" w14:textId="13790B74"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49,980</w:t>
            </w:r>
          </w:p>
        </w:tc>
      </w:tr>
      <w:tr w:rsidR="004A6D2B" w:rsidRPr="003C413E" w14:paraId="4C24FD5B" w14:textId="77777777" w:rsidTr="0041263A">
        <w:trPr>
          <w:cantSplit/>
          <w:jc w:val="center"/>
        </w:trPr>
        <w:tc>
          <w:tcPr>
            <w:tcW w:w="0" w:type="auto"/>
            <w:shd w:val="clear" w:color="auto" w:fill="FFFFFF"/>
            <w:tcMar>
              <w:top w:w="0" w:type="dxa"/>
              <w:left w:w="0" w:type="dxa"/>
              <w:bottom w:w="0" w:type="dxa"/>
              <w:right w:w="0" w:type="dxa"/>
            </w:tcMar>
            <w:vAlign w:val="center"/>
          </w:tcPr>
          <w:p w14:paraId="57F900DF" w14:textId="1BDBB1BC"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2010</w:t>
            </w:r>
          </w:p>
        </w:tc>
        <w:tc>
          <w:tcPr>
            <w:tcW w:w="0" w:type="auto"/>
            <w:shd w:val="clear" w:color="auto" w:fill="FFFFFF"/>
            <w:tcMar>
              <w:top w:w="0" w:type="dxa"/>
              <w:left w:w="0" w:type="dxa"/>
              <w:bottom w:w="0" w:type="dxa"/>
              <w:right w:w="0" w:type="dxa"/>
            </w:tcMar>
            <w:vAlign w:val="center"/>
          </w:tcPr>
          <w:p w14:paraId="06A33DE3" w14:textId="25B915E4"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118,441</w:t>
            </w:r>
          </w:p>
        </w:tc>
        <w:tc>
          <w:tcPr>
            <w:tcW w:w="0" w:type="auto"/>
            <w:shd w:val="clear" w:color="auto" w:fill="FFFFFF"/>
            <w:tcMar>
              <w:top w:w="0" w:type="dxa"/>
              <w:left w:w="0" w:type="dxa"/>
              <w:bottom w:w="0" w:type="dxa"/>
              <w:right w:w="0" w:type="dxa"/>
            </w:tcMar>
            <w:vAlign w:val="center"/>
          </w:tcPr>
          <w:p w14:paraId="3F89DCE5" w14:textId="4889A0DF"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41,819</w:t>
            </w:r>
          </w:p>
        </w:tc>
        <w:tc>
          <w:tcPr>
            <w:tcW w:w="0" w:type="auto"/>
            <w:shd w:val="clear" w:color="auto" w:fill="FFFFFF"/>
            <w:tcMar>
              <w:top w:w="0" w:type="dxa"/>
              <w:left w:w="0" w:type="dxa"/>
              <w:bottom w:w="0" w:type="dxa"/>
              <w:right w:w="0" w:type="dxa"/>
            </w:tcMar>
            <w:vAlign w:val="center"/>
          </w:tcPr>
          <w:p w14:paraId="26EC1635" w14:textId="62ED6B11"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74,710</w:t>
            </w:r>
          </w:p>
        </w:tc>
        <w:tc>
          <w:tcPr>
            <w:tcW w:w="0" w:type="auto"/>
            <w:shd w:val="clear" w:color="auto" w:fill="FFFFFF"/>
            <w:tcMar>
              <w:top w:w="0" w:type="dxa"/>
              <w:left w:w="0" w:type="dxa"/>
              <w:bottom w:w="0" w:type="dxa"/>
              <w:right w:w="0" w:type="dxa"/>
            </w:tcMar>
            <w:vAlign w:val="center"/>
          </w:tcPr>
          <w:p w14:paraId="4A1CC100" w14:textId="49316622"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51,005</w:t>
            </w:r>
          </w:p>
        </w:tc>
      </w:tr>
      <w:tr w:rsidR="004A6D2B" w:rsidRPr="003C413E" w14:paraId="09BE20AF" w14:textId="77777777" w:rsidTr="0041263A">
        <w:trPr>
          <w:cantSplit/>
          <w:jc w:val="center"/>
        </w:trPr>
        <w:tc>
          <w:tcPr>
            <w:tcW w:w="0" w:type="auto"/>
            <w:shd w:val="clear" w:color="auto" w:fill="FFFFFF"/>
            <w:tcMar>
              <w:top w:w="0" w:type="dxa"/>
              <w:left w:w="0" w:type="dxa"/>
              <w:bottom w:w="0" w:type="dxa"/>
              <w:right w:w="0" w:type="dxa"/>
            </w:tcMar>
            <w:vAlign w:val="center"/>
          </w:tcPr>
          <w:p w14:paraId="42187C87" w14:textId="06ACFFD6"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2011</w:t>
            </w:r>
          </w:p>
        </w:tc>
        <w:tc>
          <w:tcPr>
            <w:tcW w:w="0" w:type="auto"/>
            <w:shd w:val="clear" w:color="auto" w:fill="FFFFFF"/>
            <w:tcMar>
              <w:top w:w="0" w:type="dxa"/>
              <w:left w:w="0" w:type="dxa"/>
              <w:bottom w:w="0" w:type="dxa"/>
              <w:right w:w="0" w:type="dxa"/>
            </w:tcMar>
            <w:vAlign w:val="center"/>
          </w:tcPr>
          <w:p w14:paraId="406E132C" w14:textId="072802F7"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121,503</w:t>
            </w:r>
          </w:p>
        </w:tc>
        <w:tc>
          <w:tcPr>
            <w:tcW w:w="0" w:type="auto"/>
            <w:shd w:val="clear" w:color="auto" w:fill="FFFFFF"/>
            <w:tcMar>
              <w:top w:w="0" w:type="dxa"/>
              <w:left w:w="0" w:type="dxa"/>
              <w:bottom w:w="0" w:type="dxa"/>
              <w:right w:w="0" w:type="dxa"/>
            </w:tcMar>
            <w:vAlign w:val="center"/>
          </w:tcPr>
          <w:p w14:paraId="59E24770" w14:textId="250684B1"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43,669</w:t>
            </w:r>
          </w:p>
        </w:tc>
        <w:tc>
          <w:tcPr>
            <w:tcW w:w="0" w:type="auto"/>
            <w:shd w:val="clear" w:color="auto" w:fill="FFFFFF"/>
            <w:tcMar>
              <w:top w:w="0" w:type="dxa"/>
              <w:left w:w="0" w:type="dxa"/>
              <w:bottom w:w="0" w:type="dxa"/>
              <w:right w:w="0" w:type="dxa"/>
            </w:tcMar>
            <w:vAlign w:val="center"/>
          </w:tcPr>
          <w:p w14:paraId="58DB8654" w14:textId="061D2E4E"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77,735</w:t>
            </w:r>
          </w:p>
        </w:tc>
        <w:tc>
          <w:tcPr>
            <w:tcW w:w="0" w:type="auto"/>
            <w:shd w:val="clear" w:color="auto" w:fill="FFFFFF"/>
            <w:tcMar>
              <w:top w:w="0" w:type="dxa"/>
              <w:left w:w="0" w:type="dxa"/>
              <w:bottom w:w="0" w:type="dxa"/>
              <w:right w:w="0" w:type="dxa"/>
            </w:tcMar>
            <w:vAlign w:val="center"/>
          </w:tcPr>
          <w:p w14:paraId="78BD1AE8" w14:textId="28861C10"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53,910</w:t>
            </w:r>
          </w:p>
        </w:tc>
      </w:tr>
      <w:tr w:rsidR="004A6D2B" w:rsidRPr="003C413E" w14:paraId="6180AD68" w14:textId="77777777" w:rsidTr="0041263A">
        <w:trPr>
          <w:cantSplit/>
          <w:jc w:val="center"/>
        </w:trPr>
        <w:tc>
          <w:tcPr>
            <w:tcW w:w="0" w:type="auto"/>
            <w:shd w:val="clear" w:color="auto" w:fill="FFFFFF"/>
            <w:tcMar>
              <w:top w:w="0" w:type="dxa"/>
              <w:left w:w="0" w:type="dxa"/>
              <w:bottom w:w="0" w:type="dxa"/>
              <w:right w:w="0" w:type="dxa"/>
            </w:tcMar>
            <w:vAlign w:val="center"/>
          </w:tcPr>
          <w:p w14:paraId="5DF88A5A" w14:textId="462571F0"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2012</w:t>
            </w:r>
          </w:p>
        </w:tc>
        <w:tc>
          <w:tcPr>
            <w:tcW w:w="0" w:type="auto"/>
            <w:shd w:val="clear" w:color="auto" w:fill="FFFFFF"/>
            <w:tcMar>
              <w:top w:w="0" w:type="dxa"/>
              <w:left w:w="0" w:type="dxa"/>
              <w:bottom w:w="0" w:type="dxa"/>
              <w:right w:w="0" w:type="dxa"/>
            </w:tcMar>
            <w:vAlign w:val="center"/>
          </w:tcPr>
          <w:p w14:paraId="22E0820D" w14:textId="3BEF4E5B"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117,563</w:t>
            </w:r>
          </w:p>
        </w:tc>
        <w:tc>
          <w:tcPr>
            <w:tcW w:w="0" w:type="auto"/>
            <w:shd w:val="clear" w:color="auto" w:fill="FFFFFF"/>
            <w:tcMar>
              <w:top w:w="0" w:type="dxa"/>
              <w:left w:w="0" w:type="dxa"/>
              <w:bottom w:w="0" w:type="dxa"/>
              <w:right w:w="0" w:type="dxa"/>
            </w:tcMar>
            <w:vAlign w:val="center"/>
          </w:tcPr>
          <w:p w14:paraId="19EA0105" w14:textId="669DC9E7"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47,917</w:t>
            </w:r>
          </w:p>
        </w:tc>
        <w:tc>
          <w:tcPr>
            <w:tcW w:w="0" w:type="auto"/>
            <w:shd w:val="clear" w:color="auto" w:fill="FFFFFF"/>
            <w:tcMar>
              <w:top w:w="0" w:type="dxa"/>
              <w:left w:w="0" w:type="dxa"/>
              <w:bottom w:w="0" w:type="dxa"/>
              <w:right w:w="0" w:type="dxa"/>
            </w:tcMar>
            <w:vAlign w:val="center"/>
          </w:tcPr>
          <w:p w14:paraId="4135DD8E" w14:textId="4E57A2BF"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78,929</w:t>
            </w:r>
          </w:p>
        </w:tc>
        <w:tc>
          <w:tcPr>
            <w:tcW w:w="0" w:type="auto"/>
            <w:shd w:val="clear" w:color="auto" w:fill="FFFFFF"/>
            <w:tcMar>
              <w:top w:w="0" w:type="dxa"/>
              <w:left w:w="0" w:type="dxa"/>
              <w:bottom w:w="0" w:type="dxa"/>
              <w:right w:w="0" w:type="dxa"/>
            </w:tcMar>
            <w:vAlign w:val="center"/>
          </w:tcPr>
          <w:p w14:paraId="4A816807" w14:textId="130B4E95"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61,721</w:t>
            </w:r>
          </w:p>
        </w:tc>
      </w:tr>
      <w:tr w:rsidR="004A6D2B" w:rsidRPr="003C413E" w14:paraId="2FF5AD8D" w14:textId="77777777" w:rsidTr="0041263A">
        <w:trPr>
          <w:cantSplit/>
          <w:jc w:val="center"/>
        </w:trPr>
        <w:tc>
          <w:tcPr>
            <w:tcW w:w="0" w:type="auto"/>
            <w:shd w:val="clear" w:color="auto" w:fill="FFFFFF"/>
            <w:tcMar>
              <w:top w:w="0" w:type="dxa"/>
              <w:left w:w="0" w:type="dxa"/>
              <w:bottom w:w="0" w:type="dxa"/>
              <w:right w:w="0" w:type="dxa"/>
            </w:tcMar>
            <w:vAlign w:val="center"/>
          </w:tcPr>
          <w:p w14:paraId="208958F5" w14:textId="75F5B3A8"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2013</w:t>
            </w:r>
          </w:p>
        </w:tc>
        <w:tc>
          <w:tcPr>
            <w:tcW w:w="0" w:type="auto"/>
            <w:shd w:val="clear" w:color="auto" w:fill="FFFFFF"/>
            <w:tcMar>
              <w:top w:w="0" w:type="dxa"/>
              <w:left w:w="0" w:type="dxa"/>
              <w:bottom w:w="0" w:type="dxa"/>
              <w:right w:w="0" w:type="dxa"/>
            </w:tcMar>
            <w:vAlign w:val="center"/>
          </w:tcPr>
          <w:p w14:paraId="5026713D" w14:textId="33D271C3"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107,509</w:t>
            </w:r>
          </w:p>
        </w:tc>
        <w:tc>
          <w:tcPr>
            <w:tcW w:w="0" w:type="auto"/>
            <w:shd w:val="clear" w:color="auto" w:fill="FFFFFF"/>
            <w:tcMar>
              <w:top w:w="0" w:type="dxa"/>
              <w:left w:w="0" w:type="dxa"/>
              <w:bottom w:w="0" w:type="dxa"/>
              <w:right w:w="0" w:type="dxa"/>
            </w:tcMar>
            <w:vAlign w:val="center"/>
          </w:tcPr>
          <w:p w14:paraId="6DD320E0" w14:textId="2B631231"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49,746</w:t>
            </w:r>
          </w:p>
        </w:tc>
        <w:tc>
          <w:tcPr>
            <w:tcW w:w="0" w:type="auto"/>
            <w:shd w:val="clear" w:color="auto" w:fill="FFFFFF"/>
            <w:tcMar>
              <w:top w:w="0" w:type="dxa"/>
              <w:left w:w="0" w:type="dxa"/>
              <w:bottom w:w="0" w:type="dxa"/>
              <w:right w:w="0" w:type="dxa"/>
            </w:tcMar>
            <w:vAlign w:val="center"/>
          </w:tcPr>
          <w:p w14:paraId="57A12AE8" w14:textId="12BDBF2A"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77,267</w:t>
            </w:r>
          </w:p>
        </w:tc>
        <w:tc>
          <w:tcPr>
            <w:tcW w:w="0" w:type="auto"/>
            <w:shd w:val="clear" w:color="auto" w:fill="FFFFFF"/>
            <w:tcMar>
              <w:top w:w="0" w:type="dxa"/>
              <w:left w:w="0" w:type="dxa"/>
              <w:bottom w:w="0" w:type="dxa"/>
              <w:right w:w="0" w:type="dxa"/>
            </w:tcMar>
            <w:vAlign w:val="center"/>
          </w:tcPr>
          <w:p w14:paraId="5CF7F819" w14:textId="145B6E2D"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68,002</w:t>
            </w:r>
          </w:p>
        </w:tc>
      </w:tr>
      <w:tr w:rsidR="004A6D2B" w:rsidRPr="003C413E" w14:paraId="52874857" w14:textId="77777777" w:rsidTr="0041263A">
        <w:trPr>
          <w:cantSplit/>
          <w:jc w:val="center"/>
        </w:trPr>
        <w:tc>
          <w:tcPr>
            <w:tcW w:w="0" w:type="auto"/>
            <w:shd w:val="clear" w:color="auto" w:fill="FFFFFF"/>
            <w:tcMar>
              <w:top w:w="0" w:type="dxa"/>
              <w:left w:w="0" w:type="dxa"/>
              <w:bottom w:w="0" w:type="dxa"/>
              <w:right w:w="0" w:type="dxa"/>
            </w:tcMar>
            <w:vAlign w:val="center"/>
          </w:tcPr>
          <w:p w14:paraId="7F0FC539" w14:textId="2A463253"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2014</w:t>
            </w:r>
          </w:p>
        </w:tc>
        <w:tc>
          <w:tcPr>
            <w:tcW w:w="0" w:type="auto"/>
            <w:shd w:val="clear" w:color="auto" w:fill="FFFFFF"/>
            <w:tcMar>
              <w:top w:w="0" w:type="dxa"/>
              <w:left w:w="0" w:type="dxa"/>
              <w:bottom w:w="0" w:type="dxa"/>
              <w:right w:w="0" w:type="dxa"/>
            </w:tcMar>
            <w:vAlign w:val="center"/>
          </w:tcPr>
          <w:p w14:paraId="1B0E1518" w14:textId="129E6581"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103,728</w:t>
            </w:r>
          </w:p>
        </w:tc>
        <w:tc>
          <w:tcPr>
            <w:tcW w:w="0" w:type="auto"/>
            <w:shd w:val="clear" w:color="auto" w:fill="FFFFFF"/>
            <w:tcMar>
              <w:top w:w="0" w:type="dxa"/>
              <w:left w:w="0" w:type="dxa"/>
              <w:bottom w:w="0" w:type="dxa"/>
              <w:right w:w="0" w:type="dxa"/>
            </w:tcMar>
            <w:vAlign w:val="center"/>
          </w:tcPr>
          <w:p w14:paraId="064BF717" w14:textId="61A8BF55"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52,861</w:t>
            </w:r>
          </w:p>
        </w:tc>
        <w:tc>
          <w:tcPr>
            <w:tcW w:w="0" w:type="auto"/>
            <w:shd w:val="clear" w:color="auto" w:fill="FFFFFF"/>
            <w:tcMar>
              <w:top w:w="0" w:type="dxa"/>
              <w:left w:w="0" w:type="dxa"/>
              <w:bottom w:w="0" w:type="dxa"/>
              <w:right w:w="0" w:type="dxa"/>
            </w:tcMar>
            <w:vAlign w:val="center"/>
          </w:tcPr>
          <w:p w14:paraId="2B52D7C4" w14:textId="21C105EF"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80,695</w:t>
            </w:r>
          </w:p>
        </w:tc>
        <w:tc>
          <w:tcPr>
            <w:tcW w:w="0" w:type="auto"/>
            <w:shd w:val="clear" w:color="auto" w:fill="FFFFFF"/>
            <w:tcMar>
              <w:top w:w="0" w:type="dxa"/>
              <w:left w:w="0" w:type="dxa"/>
              <w:bottom w:w="0" w:type="dxa"/>
              <w:right w:w="0" w:type="dxa"/>
            </w:tcMar>
            <w:vAlign w:val="center"/>
          </w:tcPr>
          <w:p w14:paraId="242C4CB4" w14:textId="050D6470"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79,574</w:t>
            </w:r>
          </w:p>
        </w:tc>
      </w:tr>
      <w:tr w:rsidR="004A6D2B" w:rsidRPr="003C413E" w14:paraId="0C0244D9" w14:textId="77777777" w:rsidTr="0041263A">
        <w:trPr>
          <w:cantSplit/>
          <w:jc w:val="center"/>
        </w:trPr>
        <w:tc>
          <w:tcPr>
            <w:tcW w:w="0" w:type="auto"/>
            <w:shd w:val="clear" w:color="auto" w:fill="FFFFFF"/>
            <w:tcMar>
              <w:top w:w="0" w:type="dxa"/>
              <w:left w:w="0" w:type="dxa"/>
              <w:bottom w:w="0" w:type="dxa"/>
              <w:right w:w="0" w:type="dxa"/>
            </w:tcMar>
            <w:vAlign w:val="center"/>
          </w:tcPr>
          <w:p w14:paraId="2AEF1F3A" w14:textId="06A018A5"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2015</w:t>
            </w:r>
          </w:p>
        </w:tc>
        <w:tc>
          <w:tcPr>
            <w:tcW w:w="0" w:type="auto"/>
            <w:shd w:val="clear" w:color="auto" w:fill="FFFFFF"/>
            <w:tcMar>
              <w:top w:w="0" w:type="dxa"/>
              <w:left w:w="0" w:type="dxa"/>
              <w:bottom w:w="0" w:type="dxa"/>
              <w:right w:w="0" w:type="dxa"/>
            </w:tcMar>
            <w:vAlign w:val="center"/>
          </w:tcPr>
          <w:p w14:paraId="328DC3F2" w14:textId="6DD2E285"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106,582</w:t>
            </w:r>
          </w:p>
        </w:tc>
        <w:tc>
          <w:tcPr>
            <w:tcW w:w="0" w:type="auto"/>
            <w:shd w:val="clear" w:color="auto" w:fill="FFFFFF"/>
            <w:tcMar>
              <w:top w:w="0" w:type="dxa"/>
              <w:left w:w="0" w:type="dxa"/>
              <w:bottom w:w="0" w:type="dxa"/>
              <w:right w:w="0" w:type="dxa"/>
            </w:tcMar>
            <w:vAlign w:val="center"/>
          </w:tcPr>
          <w:p w14:paraId="03A2E685" w14:textId="4E48ED3F"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60,324</w:t>
            </w:r>
          </w:p>
        </w:tc>
        <w:tc>
          <w:tcPr>
            <w:tcW w:w="0" w:type="auto"/>
            <w:shd w:val="clear" w:color="auto" w:fill="FFFFFF"/>
            <w:tcMar>
              <w:top w:w="0" w:type="dxa"/>
              <w:left w:w="0" w:type="dxa"/>
              <w:bottom w:w="0" w:type="dxa"/>
              <w:right w:w="0" w:type="dxa"/>
            </w:tcMar>
            <w:vAlign w:val="center"/>
          </w:tcPr>
          <w:p w14:paraId="1B723A5C" w14:textId="5EC25723"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89,690</w:t>
            </w:r>
          </w:p>
        </w:tc>
        <w:tc>
          <w:tcPr>
            <w:tcW w:w="0" w:type="auto"/>
            <w:shd w:val="clear" w:color="auto" w:fill="FFFFFF"/>
            <w:tcMar>
              <w:top w:w="0" w:type="dxa"/>
              <w:left w:w="0" w:type="dxa"/>
              <w:bottom w:w="0" w:type="dxa"/>
              <w:right w:w="0" w:type="dxa"/>
            </w:tcMar>
            <w:vAlign w:val="center"/>
          </w:tcPr>
          <w:p w14:paraId="08359E30" w14:textId="6095BDF8"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98,481</w:t>
            </w:r>
          </w:p>
        </w:tc>
      </w:tr>
      <w:tr w:rsidR="004A6D2B" w:rsidRPr="003C413E" w14:paraId="26EBAC97" w14:textId="77777777" w:rsidTr="0041263A">
        <w:trPr>
          <w:cantSplit/>
          <w:jc w:val="center"/>
        </w:trPr>
        <w:tc>
          <w:tcPr>
            <w:tcW w:w="0" w:type="auto"/>
            <w:shd w:val="clear" w:color="auto" w:fill="FFFFFF"/>
            <w:tcMar>
              <w:top w:w="0" w:type="dxa"/>
              <w:left w:w="0" w:type="dxa"/>
              <w:bottom w:w="0" w:type="dxa"/>
              <w:right w:w="0" w:type="dxa"/>
            </w:tcMar>
            <w:vAlign w:val="center"/>
          </w:tcPr>
          <w:p w14:paraId="4E17EF28" w14:textId="6B3D0CFA"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2016</w:t>
            </w:r>
          </w:p>
        </w:tc>
        <w:tc>
          <w:tcPr>
            <w:tcW w:w="0" w:type="auto"/>
            <w:shd w:val="clear" w:color="auto" w:fill="FFFFFF"/>
            <w:tcMar>
              <w:top w:w="0" w:type="dxa"/>
              <w:left w:w="0" w:type="dxa"/>
              <w:bottom w:w="0" w:type="dxa"/>
              <w:right w:w="0" w:type="dxa"/>
            </w:tcMar>
            <w:vAlign w:val="center"/>
          </w:tcPr>
          <w:p w14:paraId="073E9F76" w14:textId="6BA5AE47"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115,640</w:t>
            </w:r>
          </w:p>
        </w:tc>
        <w:tc>
          <w:tcPr>
            <w:tcW w:w="0" w:type="auto"/>
            <w:shd w:val="clear" w:color="auto" w:fill="FFFFFF"/>
            <w:tcMar>
              <w:top w:w="0" w:type="dxa"/>
              <w:left w:w="0" w:type="dxa"/>
              <w:bottom w:w="0" w:type="dxa"/>
              <w:right w:w="0" w:type="dxa"/>
            </w:tcMar>
            <w:vAlign w:val="center"/>
          </w:tcPr>
          <w:p w14:paraId="087821C0" w14:textId="4E1BDC2B"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73,352</w:t>
            </w:r>
          </w:p>
        </w:tc>
        <w:tc>
          <w:tcPr>
            <w:tcW w:w="0" w:type="auto"/>
            <w:shd w:val="clear" w:color="auto" w:fill="FFFFFF"/>
            <w:tcMar>
              <w:top w:w="0" w:type="dxa"/>
              <w:left w:w="0" w:type="dxa"/>
              <w:bottom w:w="0" w:type="dxa"/>
              <w:right w:w="0" w:type="dxa"/>
            </w:tcMar>
            <w:vAlign w:val="center"/>
          </w:tcPr>
          <w:p w14:paraId="03B378DA" w14:textId="1DDA398F"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102,283</w:t>
            </w:r>
          </w:p>
        </w:tc>
        <w:tc>
          <w:tcPr>
            <w:tcW w:w="0" w:type="auto"/>
            <w:shd w:val="clear" w:color="auto" w:fill="FFFFFF"/>
            <w:tcMar>
              <w:top w:w="0" w:type="dxa"/>
              <w:left w:w="0" w:type="dxa"/>
              <w:bottom w:w="0" w:type="dxa"/>
              <w:right w:w="0" w:type="dxa"/>
            </w:tcMar>
            <w:vAlign w:val="center"/>
          </w:tcPr>
          <w:p w14:paraId="172FFC38" w14:textId="57DEF7EB"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124,712</w:t>
            </w:r>
          </w:p>
        </w:tc>
      </w:tr>
      <w:tr w:rsidR="004A6D2B" w:rsidRPr="003C413E" w14:paraId="228679D4" w14:textId="77777777" w:rsidTr="0041263A">
        <w:trPr>
          <w:cantSplit/>
          <w:jc w:val="center"/>
        </w:trPr>
        <w:tc>
          <w:tcPr>
            <w:tcW w:w="0" w:type="auto"/>
            <w:shd w:val="clear" w:color="auto" w:fill="FFFFFF"/>
            <w:tcMar>
              <w:top w:w="0" w:type="dxa"/>
              <w:left w:w="0" w:type="dxa"/>
              <w:bottom w:w="0" w:type="dxa"/>
              <w:right w:w="0" w:type="dxa"/>
            </w:tcMar>
            <w:vAlign w:val="center"/>
          </w:tcPr>
          <w:p w14:paraId="3A48D1D5" w14:textId="04946E0D"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2017</w:t>
            </w:r>
          </w:p>
        </w:tc>
        <w:tc>
          <w:tcPr>
            <w:tcW w:w="0" w:type="auto"/>
            <w:shd w:val="clear" w:color="auto" w:fill="FFFFFF"/>
            <w:tcMar>
              <w:top w:w="0" w:type="dxa"/>
              <w:left w:w="0" w:type="dxa"/>
              <w:bottom w:w="0" w:type="dxa"/>
              <w:right w:w="0" w:type="dxa"/>
            </w:tcMar>
            <w:vAlign w:val="center"/>
          </w:tcPr>
          <w:p w14:paraId="16A69BF8" w14:textId="1FD9CB77"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132,151</w:t>
            </w:r>
          </w:p>
        </w:tc>
        <w:tc>
          <w:tcPr>
            <w:tcW w:w="0" w:type="auto"/>
            <w:shd w:val="clear" w:color="auto" w:fill="FFFFFF"/>
            <w:tcMar>
              <w:top w:w="0" w:type="dxa"/>
              <w:left w:w="0" w:type="dxa"/>
              <w:bottom w:w="0" w:type="dxa"/>
              <w:right w:w="0" w:type="dxa"/>
            </w:tcMar>
            <w:vAlign w:val="center"/>
          </w:tcPr>
          <w:p w14:paraId="10BA266E" w14:textId="015F4696"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90,513</w:t>
            </w:r>
          </w:p>
        </w:tc>
        <w:tc>
          <w:tcPr>
            <w:tcW w:w="0" w:type="auto"/>
            <w:shd w:val="clear" w:color="auto" w:fill="FFFFFF"/>
            <w:tcMar>
              <w:top w:w="0" w:type="dxa"/>
              <w:left w:w="0" w:type="dxa"/>
              <w:bottom w:w="0" w:type="dxa"/>
              <w:right w:w="0" w:type="dxa"/>
            </w:tcMar>
            <w:vAlign w:val="center"/>
          </w:tcPr>
          <w:p w14:paraId="5060F951" w14:textId="3F239E5E"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115,954</w:t>
            </w:r>
          </w:p>
        </w:tc>
        <w:tc>
          <w:tcPr>
            <w:tcW w:w="0" w:type="auto"/>
            <w:shd w:val="clear" w:color="auto" w:fill="FFFFFF"/>
            <w:tcMar>
              <w:top w:w="0" w:type="dxa"/>
              <w:left w:w="0" w:type="dxa"/>
              <w:bottom w:w="0" w:type="dxa"/>
              <w:right w:w="0" w:type="dxa"/>
            </w:tcMar>
            <w:vAlign w:val="center"/>
          </w:tcPr>
          <w:p w14:paraId="33496A79" w14:textId="547F46A1"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153,324</w:t>
            </w:r>
          </w:p>
        </w:tc>
      </w:tr>
      <w:tr w:rsidR="004A6D2B" w:rsidRPr="003C413E" w14:paraId="40DB48FB" w14:textId="77777777" w:rsidTr="00003D12">
        <w:trPr>
          <w:cantSplit/>
          <w:jc w:val="center"/>
        </w:trPr>
        <w:tc>
          <w:tcPr>
            <w:tcW w:w="0" w:type="auto"/>
            <w:shd w:val="clear" w:color="auto" w:fill="FFFFFF"/>
            <w:tcMar>
              <w:top w:w="0" w:type="dxa"/>
              <w:left w:w="0" w:type="dxa"/>
              <w:bottom w:w="0" w:type="dxa"/>
              <w:right w:w="0" w:type="dxa"/>
            </w:tcMar>
            <w:vAlign w:val="center"/>
          </w:tcPr>
          <w:p w14:paraId="1BFC73A3" w14:textId="74460476" w:rsidR="004A6D2B" w:rsidRPr="003C413E" w:rsidRDefault="004A6D2B" w:rsidP="004A6D2B">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2018</w:t>
            </w:r>
          </w:p>
        </w:tc>
        <w:tc>
          <w:tcPr>
            <w:tcW w:w="0" w:type="auto"/>
            <w:shd w:val="clear" w:color="auto" w:fill="FFFFFF"/>
            <w:tcMar>
              <w:top w:w="0" w:type="dxa"/>
              <w:left w:w="0" w:type="dxa"/>
              <w:bottom w:w="0" w:type="dxa"/>
              <w:right w:w="0" w:type="dxa"/>
            </w:tcMar>
            <w:vAlign w:val="center"/>
          </w:tcPr>
          <w:p w14:paraId="3EED01D7" w14:textId="31C5628F"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132,291</w:t>
            </w:r>
          </w:p>
        </w:tc>
        <w:tc>
          <w:tcPr>
            <w:tcW w:w="0" w:type="auto"/>
            <w:shd w:val="clear" w:color="auto" w:fill="FFFFFF"/>
            <w:tcMar>
              <w:top w:w="0" w:type="dxa"/>
              <w:left w:w="0" w:type="dxa"/>
              <w:bottom w:w="0" w:type="dxa"/>
              <w:right w:w="0" w:type="dxa"/>
            </w:tcMar>
            <w:vAlign w:val="center"/>
          </w:tcPr>
          <w:p w14:paraId="256C75D7" w14:textId="7C62DA24"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98,139</w:t>
            </w:r>
          </w:p>
        </w:tc>
        <w:tc>
          <w:tcPr>
            <w:tcW w:w="0" w:type="auto"/>
            <w:shd w:val="clear" w:color="auto" w:fill="FFFFFF"/>
            <w:tcMar>
              <w:top w:w="0" w:type="dxa"/>
              <w:left w:w="0" w:type="dxa"/>
              <w:bottom w:w="0" w:type="dxa"/>
              <w:right w:w="0" w:type="dxa"/>
            </w:tcMar>
            <w:vAlign w:val="center"/>
          </w:tcPr>
          <w:p w14:paraId="4CF17FB0" w14:textId="7757A13E"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116,427</w:t>
            </w:r>
          </w:p>
        </w:tc>
        <w:tc>
          <w:tcPr>
            <w:tcW w:w="0" w:type="auto"/>
            <w:shd w:val="clear" w:color="auto" w:fill="FFFFFF"/>
            <w:tcMar>
              <w:top w:w="0" w:type="dxa"/>
              <w:left w:w="0" w:type="dxa"/>
              <w:bottom w:w="0" w:type="dxa"/>
              <w:right w:w="0" w:type="dxa"/>
            </w:tcMar>
            <w:vAlign w:val="center"/>
          </w:tcPr>
          <w:p w14:paraId="67BC60D2" w14:textId="77D1C5A0" w:rsidR="004A6D2B" w:rsidRPr="003C413E" w:rsidRDefault="004A6D2B" w:rsidP="004A6D2B">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167,733</w:t>
            </w:r>
          </w:p>
        </w:tc>
      </w:tr>
      <w:tr w:rsidR="00003D12" w:rsidRPr="003C413E" w14:paraId="4FF078D7" w14:textId="77777777" w:rsidTr="000C2024">
        <w:trPr>
          <w:cantSplit/>
          <w:jc w:val="center"/>
        </w:trPr>
        <w:tc>
          <w:tcPr>
            <w:tcW w:w="0" w:type="auto"/>
            <w:shd w:val="clear" w:color="auto" w:fill="FFFFFF"/>
            <w:tcMar>
              <w:top w:w="0" w:type="dxa"/>
              <w:left w:w="0" w:type="dxa"/>
              <w:bottom w:w="0" w:type="dxa"/>
              <w:right w:w="0" w:type="dxa"/>
            </w:tcMar>
            <w:vAlign w:val="center"/>
          </w:tcPr>
          <w:p w14:paraId="06BE5935" w14:textId="77777777" w:rsidR="00003D12" w:rsidRPr="003C413E" w:rsidRDefault="00003D12" w:rsidP="000C202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2019</w:t>
            </w:r>
          </w:p>
        </w:tc>
        <w:tc>
          <w:tcPr>
            <w:tcW w:w="0" w:type="auto"/>
            <w:shd w:val="clear" w:color="auto" w:fill="FFFFFF"/>
            <w:tcMar>
              <w:top w:w="0" w:type="dxa"/>
              <w:left w:w="0" w:type="dxa"/>
              <w:bottom w:w="0" w:type="dxa"/>
              <w:right w:w="0" w:type="dxa"/>
            </w:tcMar>
            <w:vAlign w:val="center"/>
          </w:tcPr>
          <w:p w14:paraId="4F70EC04" w14:textId="45977FF0" w:rsidR="00003D12" w:rsidRPr="003C413E" w:rsidRDefault="00003D12" w:rsidP="000C2024">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136,458</w:t>
            </w:r>
          </w:p>
        </w:tc>
        <w:tc>
          <w:tcPr>
            <w:tcW w:w="0" w:type="auto"/>
            <w:shd w:val="clear" w:color="auto" w:fill="FFFFFF"/>
            <w:tcMar>
              <w:top w:w="0" w:type="dxa"/>
              <w:left w:w="0" w:type="dxa"/>
              <w:bottom w:w="0" w:type="dxa"/>
              <w:right w:w="0" w:type="dxa"/>
            </w:tcMar>
            <w:vAlign w:val="center"/>
          </w:tcPr>
          <w:p w14:paraId="3A1B4446" w14:textId="6013FAEB" w:rsidR="00003D12" w:rsidRPr="003C413E" w:rsidRDefault="00003D12" w:rsidP="000C2024">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96,919</w:t>
            </w:r>
          </w:p>
        </w:tc>
        <w:tc>
          <w:tcPr>
            <w:tcW w:w="0" w:type="auto"/>
            <w:shd w:val="clear" w:color="auto" w:fill="FFFFFF"/>
            <w:tcMar>
              <w:top w:w="0" w:type="dxa"/>
              <w:left w:w="0" w:type="dxa"/>
              <w:bottom w:w="0" w:type="dxa"/>
              <w:right w:w="0" w:type="dxa"/>
            </w:tcMar>
            <w:vAlign w:val="center"/>
          </w:tcPr>
          <w:p w14:paraId="4316FDB5" w14:textId="798DF650" w:rsidR="00003D12" w:rsidRPr="003C413E" w:rsidRDefault="00003D12" w:rsidP="000C2024">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118,680</w:t>
            </w:r>
          </w:p>
        </w:tc>
        <w:tc>
          <w:tcPr>
            <w:tcW w:w="0" w:type="auto"/>
            <w:shd w:val="clear" w:color="auto" w:fill="FFFFFF"/>
            <w:tcMar>
              <w:top w:w="0" w:type="dxa"/>
              <w:left w:w="0" w:type="dxa"/>
              <w:bottom w:w="0" w:type="dxa"/>
              <w:right w:w="0" w:type="dxa"/>
            </w:tcMar>
            <w:vAlign w:val="center"/>
          </w:tcPr>
          <w:p w14:paraId="640FDF25" w14:textId="562F5F4F" w:rsidR="00003D12" w:rsidRPr="003C413E" w:rsidRDefault="00003D12" w:rsidP="000C2024">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179,822</w:t>
            </w:r>
          </w:p>
        </w:tc>
      </w:tr>
      <w:tr w:rsidR="00003D12" w:rsidRPr="003C413E" w14:paraId="0BA0034E" w14:textId="77777777" w:rsidTr="000C2024">
        <w:trPr>
          <w:cantSplit/>
          <w:jc w:val="center"/>
        </w:trPr>
        <w:tc>
          <w:tcPr>
            <w:tcW w:w="0" w:type="auto"/>
            <w:tcBorders>
              <w:bottom w:val="single" w:sz="16" w:space="0" w:color="666666"/>
            </w:tcBorders>
            <w:shd w:val="clear" w:color="auto" w:fill="FFFFFF"/>
            <w:tcMar>
              <w:top w:w="0" w:type="dxa"/>
              <w:left w:w="0" w:type="dxa"/>
              <w:bottom w:w="0" w:type="dxa"/>
              <w:right w:w="0" w:type="dxa"/>
            </w:tcMar>
            <w:vAlign w:val="center"/>
          </w:tcPr>
          <w:p w14:paraId="5758A73F" w14:textId="77777777" w:rsidR="00003D12" w:rsidRPr="003C413E" w:rsidRDefault="00003D12" w:rsidP="000C202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 Change</w:t>
            </w:r>
          </w:p>
        </w:tc>
        <w:tc>
          <w:tcPr>
            <w:tcW w:w="0" w:type="auto"/>
            <w:tcBorders>
              <w:bottom w:val="single" w:sz="16" w:space="0" w:color="666666"/>
            </w:tcBorders>
            <w:shd w:val="clear" w:color="auto" w:fill="FFFFFF"/>
            <w:tcMar>
              <w:top w:w="0" w:type="dxa"/>
              <w:left w:w="0" w:type="dxa"/>
              <w:bottom w:w="0" w:type="dxa"/>
              <w:right w:w="0" w:type="dxa"/>
            </w:tcMar>
            <w:vAlign w:val="center"/>
          </w:tcPr>
          <w:p w14:paraId="7F14FF3D" w14:textId="77777777" w:rsidR="00003D12" w:rsidRPr="003C413E" w:rsidRDefault="00003D12" w:rsidP="000C2024">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6.7</w:t>
            </w:r>
          </w:p>
        </w:tc>
        <w:tc>
          <w:tcPr>
            <w:tcW w:w="0" w:type="auto"/>
            <w:tcBorders>
              <w:bottom w:val="single" w:sz="16" w:space="0" w:color="666666"/>
            </w:tcBorders>
            <w:shd w:val="clear" w:color="auto" w:fill="FFFFFF"/>
            <w:tcMar>
              <w:top w:w="0" w:type="dxa"/>
              <w:left w:w="0" w:type="dxa"/>
              <w:bottom w:w="0" w:type="dxa"/>
              <w:right w:w="0" w:type="dxa"/>
            </w:tcMar>
            <w:vAlign w:val="center"/>
          </w:tcPr>
          <w:p w14:paraId="6390C1D1" w14:textId="77777777" w:rsidR="00003D12" w:rsidRPr="003C413E" w:rsidRDefault="00003D12" w:rsidP="000C2024">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46.5</w:t>
            </w:r>
          </w:p>
        </w:tc>
        <w:tc>
          <w:tcPr>
            <w:tcW w:w="0" w:type="auto"/>
            <w:tcBorders>
              <w:bottom w:val="single" w:sz="16" w:space="0" w:color="666666"/>
            </w:tcBorders>
            <w:shd w:val="clear" w:color="auto" w:fill="FFFFFF"/>
            <w:tcMar>
              <w:top w:w="0" w:type="dxa"/>
              <w:left w:w="0" w:type="dxa"/>
              <w:bottom w:w="0" w:type="dxa"/>
              <w:right w:w="0" w:type="dxa"/>
            </w:tcMar>
            <w:vAlign w:val="center"/>
          </w:tcPr>
          <w:p w14:paraId="4368561A" w14:textId="77777777" w:rsidR="00003D12" w:rsidRPr="003C413E" w:rsidRDefault="00003D12" w:rsidP="000C2024">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33.6</w:t>
            </w:r>
          </w:p>
        </w:tc>
        <w:tc>
          <w:tcPr>
            <w:tcW w:w="0" w:type="auto"/>
            <w:tcBorders>
              <w:bottom w:val="single" w:sz="16" w:space="0" w:color="666666"/>
            </w:tcBorders>
            <w:shd w:val="clear" w:color="auto" w:fill="FFFFFF"/>
            <w:tcMar>
              <w:top w:w="0" w:type="dxa"/>
              <w:left w:w="0" w:type="dxa"/>
              <w:bottom w:w="0" w:type="dxa"/>
              <w:right w:w="0" w:type="dxa"/>
            </w:tcMar>
            <w:vAlign w:val="center"/>
          </w:tcPr>
          <w:p w14:paraId="14BC01DC" w14:textId="77777777" w:rsidR="00003D12" w:rsidRPr="003C413E" w:rsidRDefault="00003D12" w:rsidP="000C2024">
            <w:pPr>
              <w:spacing w:before="100" w:after="100"/>
              <w:ind w:left="100" w:right="100"/>
              <w:jc w:val="right"/>
              <w:rPr>
                <w:rFonts w:ascii="Times New Roman" w:hAnsi="Times New Roman" w:cs="Times New Roman"/>
                <w:sz w:val="20"/>
                <w:szCs w:val="20"/>
              </w:rPr>
            </w:pPr>
            <w:r w:rsidRPr="003C413E">
              <w:rPr>
                <w:rFonts w:ascii="Times New Roman" w:eastAsia="Arial" w:hAnsi="Times New Roman" w:cs="Times New Roman"/>
                <w:color w:val="000000"/>
                <w:sz w:val="20"/>
                <w:szCs w:val="20"/>
              </w:rPr>
              <w:t>63.3</w:t>
            </w:r>
          </w:p>
        </w:tc>
      </w:tr>
    </w:tbl>
    <w:p w14:paraId="4514AF41" w14:textId="77777777" w:rsidR="00C86367" w:rsidRPr="003C413E" w:rsidRDefault="00C86367" w:rsidP="001718E7">
      <w:pPr>
        <w:rPr>
          <w:rFonts w:ascii="Times New Roman" w:hAnsi="Times New Roman" w:cs="Times New Roman"/>
          <w:b/>
          <w:bCs/>
        </w:rPr>
      </w:pPr>
    </w:p>
    <w:p w14:paraId="7C1E7489" w14:textId="17648401" w:rsidR="008A65AB" w:rsidRPr="003C413E" w:rsidRDefault="001718E7" w:rsidP="00A1269F">
      <w:pPr>
        <w:pStyle w:val="Heading2"/>
        <w:spacing w:line="360" w:lineRule="auto"/>
        <w:rPr>
          <w:rFonts w:ascii="Times New Roman" w:hAnsi="Times New Roman" w:cs="Times New Roman"/>
        </w:rPr>
      </w:pPr>
      <w:bookmarkStart w:id="25" w:name="_Toc113956982"/>
      <w:r w:rsidRPr="003C413E">
        <w:rPr>
          <w:rFonts w:ascii="Times New Roman" w:hAnsi="Times New Roman" w:cs="Times New Roman"/>
        </w:rPr>
        <w:lastRenderedPageBreak/>
        <w:t>Case</w:t>
      </w:r>
      <w:r w:rsidR="00AC3116" w:rsidRPr="003C413E">
        <w:rPr>
          <w:rFonts w:ascii="Times New Roman" w:hAnsi="Times New Roman" w:cs="Times New Roman"/>
        </w:rPr>
        <w:t xml:space="preserve"> </w:t>
      </w:r>
      <w:r w:rsidRPr="003C413E">
        <w:rPr>
          <w:rFonts w:ascii="Times New Roman" w:hAnsi="Times New Roman" w:cs="Times New Roman"/>
        </w:rPr>
        <w:t>Reporting</w:t>
      </w:r>
      <w:r w:rsidR="00AC3116" w:rsidRPr="003C413E">
        <w:rPr>
          <w:rFonts w:ascii="Times New Roman" w:hAnsi="Times New Roman" w:cs="Times New Roman"/>
        </w:rPr>
        <w:t xml:space="preserve"> </w:t>
      </w:r>
      <w:r w:rsidRPr="003C413E">
        <w:rPr>
          <w:rFonts w:ascii="Times New Roman" w:hAnsi="Times New Roman" w:cs="Times New Roman"/>
        </w:rPr>
        <w:t>Fraction</w:t>
      </w:r>
      <w:r w:rsidR="00AC3116" w:rsidRPr="003C413E">
        <w:rPr>
          <w:rFonts w:ascii="Times New Roman" w:hAnsi="Times New Roman" w:cs="Times New Roman"/>
        </w:rPr>
        <w:t xml:space="preserve"> </w:t>
      </w:r>
      <w:r w:rsidRPr="003C413E">
        <w:rPr>
          <w:rFonts w:ascii="Times New Roman" w:hAnsi="Times New Roman" w:cs="Times New Roman"/>
        </w:rPr>
        <w:t>(ρ)</w:t>
      </w:r>
      <w:bookmarkEnd w:id="25"/>
      <w:r w:rsidRPr="003C413E">
        <w:rPr>
          <w:rFonts w:ascii="Times New Roman" w:hAnsi="Times New Roman" w:cs="Times New Roman"/>
        </w:rPr>
        <w:t xml:space="preserve"> </w:t>
      </w:r>
    </w:p>
    <w:p w14:paraId="2B1D4D2E" w14:textId="3D622EA1" w:rsidR="008A65AB" w:rsidRPr="003C413E" w:rsidRDefault="001718E7" w:rsidP="00733586">
      <w:pPr>
        <w:spacing w:line="360" w:lineRule="auto"/>
        <w:ind w:firstLine="720"/>
        <w:rPr>
          <w:rFonts w:ascii="Times New Roman" w:hAnsi="Times New Roman" w:cs="Times New Roman"/>
        </w:rPr>
      </w:pPr>
      <w:r w:rsidRPr="003C413E">
        <w:rPr>
          <w:rFonts w:ascii="Times New Roman" w:hAnsi="Times New Roman" w:cs="Times New Roman"/>
        </w:rPr>
        <w:t>The case reporting</w:t>
      </w:r>
      <w:r w:rsidR="00AC3116" w:rsidRPr="003C413E">
        <w:rPr>
          <w:rFonts w:ascii="Times New Roman" w:hAnsi="Times New Roman" w:cs="Times New Roman"/>
        </w:rPr>
        <w:t xml:space="preserve"> </w:t>
      </w:r>
      <w:r w:rsidRPr="003C413E">
        <w:rPr>
          <w:rFonts w:ascii="Times New Roman" w:hAnsi="Times New Roman" w:cs="Times New Roman"/>
        </w:rPr>
        <w:t>fraction represents the proportion of all</w:t>
      </w:r>
      <w:r w:rsidR="00AC3116" w:rsidRPr="003C413E">
        <w:rPr>
          <w:rFonts w:ascii="Times New Roman" w:hAnsi="Times New Roman" w:cs="Times New Roman"/>
        </w:rPr>
        <w:t xml:space="preserve"> </w:t>
      </w:r>
      <w:r w:rsidRPr="003C413E">
        <w:rPr>
          <w:rFonts w:ascii="Times New Roman" w:hAnsi="Times New Roman" w:cs="Times New Roman"/>
        </w:rPr>
        <w:t xml:space="preserve">diagnosed cases that are reported to CDC. </w:t>
      </w:r>
      <w:r w:rsidR="00964CB6" w:rsidRPr="003C413E">
        <w:rPr>
          <w:rFonts w:ascii="Times New Roman" w:hAnsi="Times New Roman" w:cs="Times New Roman"/>
        </w:rPr>
        <w:t xml:space="preserve">A number of changes were made to the case reporting system during the study period, namely the transition from </w:t>
      </w:r>
      <w:r w:rsidR="002D7088" w:rsidRPr="003C413E">
        <w:rPr>
          <w:rFonts w:ascii="Times New Roman" w:hAnsi="Times New Roman" w:cs="Times New Roman"/>
        </w:rPr>
        <w:t>paper/fax reporting to electronic lab</w:t>
      </w:r>
      <w:r w:rsidR="003A1D30">
        <w:rPr>
          <w:rFonts w:ascii="Times New Roman" w:hAnsi="Times New Roman" w:cs="Times New Roman"/>
        </w:rPr>
        <w:t>oratory</w:t>
      </w:r>
      <w:r w:rsidR="002D7088" w:rsidRPr="003C413E">
        <w:rPr>
          <w:rFonts w:ascii="Times New Roman" w:hAnsi="Times New Roman" w:cs="Times New Roman"/>
        </w:rPr>
        <w:t xml:space="preserve"> reporting</w:t>
      </w:r>
      <w:r w:rsidR="00030B6D">
        <w:rPr>
          <w:rFonts w:ascii="Times New Roman" w:hAnsi="Times New Roman" w:cs="Times New Roman"/>
        </w:rPr>
        <w:t xml:space="preserve"> (ELR)</w:t>
      </w:r>
      <w:r w:rsidR="002D7088" w:rsidRPr="003C413E">
        <w:rPr>
          <w:rFonts w:ascii="Times New Roman" w:hAnsi="Times New Roman" w:cs="Times New Roman"/>
        </w:rPr>
        <w:t>. We use rates based on previous work from</w:t>
      </w:r>
      <w:r w:rsidR="00EA5E9C" w:rsidRPr="003C413E">
        <w:rPr>
          <w:rFonts w:ascii="Times New Roman" w:hAnsi="Times New Roman" w:cs="Times New Roman"/>
        </w:rPr>
        <w:t xml:space="preserve"> Learner et al. 2020. Th</w:t>
      </w:r>
      <w:r w:rsidR="00481EAF" w:rsidRPr="003C413E">
        <w:rPr>
          <w:rFonts w:ascii="Times New Roman" w:hAnsi="Times New Roman" w:cs="Times New Roman"/>
        </w:rPr>
        <w:t>is study focused on chlamydia, but b</w:t>
      </w:r>
      <w:r w:rsidRPr="003C413E">
        <w:rPr>
          <w:rFonts w:ascii="Times New Roman" w:hAnsi="Times New Roman" w:cs="Times New Roman"/>
        </w:rPr>
        <w:t xml:space="preserve">ecause gonorrhea </w:t>
      </w:r>
      <w:r w:rsidR="00AC3116" w:rsidRPr="003C413E">
        <w:rPr>
          <w:rFonts w:ascii="Times New Roman" w:hAnsi="Times New Roman" w:cs="Times New Roman"/>
        </w:rPr>
        <w:t>is</w:t>
      </w:r>
      <w:r w:rsidR="00481EAF" w:rsidRPr="003C413E">
        <w:rPr>
          <w:rFonts w:ascii="Times New Roman" w:hAnsi="Times New Roman" w:cs="Times New Roman"/>
        </w:rPr>
        <w:t xml:space="preserve"> also</w:t>
      </w:r>
      <w:r w:rsidR="00AC3116" w:rsidRPr="003C413E">
        <w:rPr>
          <w:rFonts w:ascii="Times New Roman" w:hAnsi="Times New Roman" w:cs="Times New Roman"/>
        </w:rPr>
        <w:t xml:space="preserve"> a</w:t>
      </w:r>
      <w:r w:rsidRPr="003C413E">
        <w:rPr>
          <w:rFonts w:ascii="Times New Roman" w:hAnsi="Times New Roman" w:cs="Times New Roman"/>
        </w:rPr>
        <w:t xml:space="preserve"> reportable condition in all states and</w:t>
      </w:r>
      <w:r w:rsidR="00AC3116" w:rsidRPr="003C413E">
        <w:rPr>
          <w:rFonts w:ascii="Times New Roman" w:hAnsi="Times New Roman" w:cs="Times New Roman"/>
        </w:rPr>
        <w:t xml:space="preserve"> </w:t>
      </w:r>
      <w:r w:rsidRPr="003C413E">
        <w:rPr>
          <w:rFonts w:ascii="Times New Roman" w:hAnsi="Times New Roman" w:cs="Times New Roman"/>
        </w:rPr>
        <w:t>the District of</w:t>
      </w:r>
      <w:r w:rsidR="00AC3116" w:rsidRPr="003C413E">
        <w:rPr>
          <w:rFonts w:ascii="Times New Roman" w:hAnsi="Times New Roman" w:cs="Times New Roman"/>
        </w:rPr>
        <w:t xml:space="preserve"> </w:t>
      </w:r>
      <w:r w:rsidRPr="003C413E">
        <w:rPr>
          <w:rFonts w:ascii="Times New Roman" w:hAnsi="Times New Roman" w:cs="Times New Roman"/>
        </w:rPr>
        <w:t>Columbia</w:t>
      </w:r>
      <w:r w:rsidR="00C27500">
        <w:rPr>
          <w:rFonts w:ascii="Times New Roman" w:hAnsi="Times New Roman" w:cs="Times New Roman"/>
        </w:rPr>
        <w:t xml:space="preserve"> </w:t>
      </w:r>
      <w:r w:rsidR="00A4250D" w:rsidRPr="003C413E">
        <w:rPr>
          <w:rFonts w:ascii="Times New Roman" w:hAnsi="Times New Roman" w:cs="Times New Roman"/>
        </w:rPr>
        <w:t xml:space="preserve">(i.e., all positive laboratory results are sent to public health authorities), </w:t>
      </w:r>
      <w:r w:rsidR="00C27500">
        <w:rPr>
          <w:rFonts w:ascii="Times New Roman" w:hAnsi="Times New Roman" w:cs="Times New Roman"/>
        </w:rPr>
        <w:t>and the diagnostic used since the early 2000s test</w:t>
      </w:r>
      <w:r w:rsidR="00A4250D">
        <w:rPr>
          <w:rFonts w:ascii="Times New Roman" w:hAnsi="Times New Roman" w:cs="Times New Roman"/>
        </w:rPr>
        <w:t>s</w:t>
      </w:r>
      <w:r w:rsidR="00C27500">
        <w:rPr>
          <w:rFonts w:ascii="Times New Roman" w:hAnsi="Times New Roman" w:cs="Times New Roman"/>
        </w:rPr>
        <w:t xml:space="preserve"> for both gonorrhea and chlamydia</w:t>
      </w:r>
      <w:r w:rsidRPr="003C413E">
        <w:rPr>
          <w:rFonts w:ascii="Times New Roman" w:hAnsi="Times New Roman" w:cs="Times New Roman"/>
        </w:rPr>
        <w:t xml:space="preserve"> we felt it reasonable to assume reporting </w:t>
      </w:r>
      <w:r w:rsidR="00481EAF" w:rsidRPr="003C413E">
        <w:rPr>
          <w:rFonts w:ascii="Times New Roman" w:hAnsi="Times New Roman" w:cs="Times New Roman"/>
        </w:rPr>
        <w:t>rate would be the same for both</w:t>
      </w:r>
      <w:r w:rsidRPr="003C413E">
        <w:rPr>
          <w:rFonts w:ascii="Times New Roman" w:hAnsi="Times New Roman" w:cs="Times New Roman"/>
        </w:rPr>
        <w:t xml:space="preserve">. We </w:t>
      </w:r>
      <w:r w:rsidR="002A08D3" w:rsidRPr="003C413E">
        <w:rPr>
          <w:rFonts w:ascii="Times New Roman" w:hAnsi="Times New Roman" w:cs="Times New Roman"/>
        </w:rPr>
        <w:t xml:space="preserve">maintain the assumption that </w:t>
      </w:r>
      <w:r w:rsidR="004E098B" w:rsidRPr="003C413E">
        <w:rPr>
          <w:rFonts w:ascii="Times New Roman" w:hAnsi="Times New Roman" w:cs="Times New Roman"/>
        </w:rPr>
        <w:t xml:space="preserve">case reporting post-ELR implementation is still </w:t>
      </w:r>
      <w:r w:rsidRPr="003C413E">
        <w:rPr>
          <w:rFonts w:ascii="Times New Roman" w:hAnsi="Times New Roman" w:cs="Times New Roman"/>
        </w:rPr>
        <w:t>less than 100% due to transmission and/or data entry errors</w:t>
      </w:r>
      <w:r w:rsidR="004E098B" w:rsidRPr="003C413E">
        <w:rPr>
          <w:rFonts w:ascii="Times New Roman" w:hAnsi="Times New Roman" w:cs="Times New Roman"/>
        </w:rPr>
        <w:t xml:space="preserve">. </w:t>
      </w:r>
      <w:r w:rsidRPr="003C413E">
        <w:rPr>
          <w:rFonts w:ascii="Times New Roman" w:hAnsi="Times New Roman" w:cs="Times New Roman"/>
        </w:rPr>
        <w:t>We also assumed that the case</w:t>
      </w:r>
      <w:r w:rsidR="00AC3116" w:rsidRPr="003C413E">
        <w:rPr>
          <w:rFonts w:ascii="Times New Roman" w:hAnsi="Times New Roman" w:cs="Times New Roman"/>
        </w:rPr>
        <w:t xml:space="preserve"> </w:t>
      </w:r>
      <w:r w:rsidRPr="003C413E">
        <w:rPr>
          <w:rFonts w:ascii="Times New Roman" w:hAnsi="Times New Roman" w:cs="Times New Roman"/>
        </w:rPr>
        <w:t>reporting</w:t>
      </w:r>
      <w:r w:rsidR="00AC3116" w:rsidRPr="003C413E">
        <w:rPr>
          <w:rFonts w:ascii="Times New Roman" w:hAnsi="Times New Roman" w:cs="Times New Roman"/>
        </w:rPr>
        <w:t xml:space="preserve"> </w:t>
      </w:r>
      <w:r w:rsidRPr="003C413E">
        <w:rPr>
          <w:rFonts w:ascii="Times New Roman" w:hAnsi="Times New Roman" w:cs="Times New Roman"/>
        </w:rPr>
        <w:t>fraction was uniformly distributed and</w:t>
      </w:r>
      <w:r w:rsidR="00AC3116" w:rsidRPr="003C413E">
        <w:rPr>
          <w:rFonts w:ascii="Times New Roman" w:hAnsi="Times New Roman" w:cs="Times New Roman"/>
        </w:rPr>
        <w:t xml:space="preserve"> </w:t>
      </w:r>
      <w:r w:rsidRPr="003C413E">
        <w:rPr>
          <w:rFonts w:ascii="Times New Roman" w:hAnsi="Times New Roman" w:cs="Times New Roman"/>
        </w:rPr>
        <w:t>did not vary</w:t>
      </w:r>
      <w:r w:rsidR="00AC3116" w:rsidRPr="003C413E">
        <w:rPr>
          <w:rFonts w:ascii="Times New Roman" w:hAnsi="Times New Roman" w:cs="Times New Roman"/>
        </w:rPr>
        <w:t xml:space="preserve"> </w:t>
      </w:r>
      <w:r w:rsidRPr="003C413E">
        <w:rPr>
          <w:rFonts w:ascii="Times New Roman" w:hAnsi="Times New Roman" w:cs="Times New Roman"/>
        </w:rPr>
        <w:t>by sex</w:t>
      </w:r>
      <w:r w:rsidR="00030B6D">
        <w:rPr>
          <w:rFonts w:ascii="Times New Roman" w:hAnsi="Times New Roman" w:cs="Times New Roman"/>
        </w:rPr>
        <w:t xml:space="preserve"> or</w:t>
      </w:r>
      <w:r w:rsidRPr="003C413E">
        <w:rPr>
          <w:rFonts w:ascii="Times New Roman" w:hAnsi="Times New Roman" w:cs="Times New Roman"/>
        </w:rPr>
        <w:t xml:space="preserve"> age group.</w:t>
      </w:r>
      <w:r w:rsidR="00AC3116" w:rsidRPr="003C413E">
        <w:rPr>
          <w:rFonts w:ascii="Times New Roman" w:hAnsi="Times New Roman" w:cs="Times New Roman"/>
        </w:rPr>
        <w:t xml:space="preserve"> </w:t>
      </w:r>
    </w:p>
    <w:p w14:paraId="0466FB3E" w14:textId="3CF069E2" w:rsidR="00FA15DB" w:rsidRPr="003C413E" w:rsidRDefault="00FA15DB" w:rsidP="00A3332C">
      <w:pPr>
        <w:pStyle w:val="Heading3"/>
        <w:jc w:val="center"/>
        <w:rPr>
          <w:rFonts w:ascii="Times New Roman" w:hAnsi="Times New Roman" w:cs="Times New Roman"/>
        </w:rPr>
      </w:pPr>
      <w:bookmarkStart w:id="26" w:name="_Toc113956983"/>
      <w:r w:rsidRPr="003C413E">
        <w:rPr>
          <w:rFonts w:ascii="Times New Roman" w:hAnsi="Times New Roman" w:cs="Times New Roman"/>
        </w:rPr>
        <w:t xml:space="preserve">Table </w:t>
      </w:r>
      <w:r w:rsidR="00A83BC4" w:rsidRPr="003C413E">
        <w:rPr>
          <w:rFonts w:ascii="Times New Roman" w:hAnsi="Times New Roman" w:cs="Times New Roman"/>
        </w:rPr>
        <w:t>S6</w:t>
      </w:r>
      <w:r w:rsidRPr="003C413E">
        <w:rPr>
          <w:rFonts w:ascii="Times New Roman" w:hAnsi="Times New Roman" w:cs="Times New Roman"/>
        </w:rPr>
        <w:t>: Case Reporting Rate to CDC</w:t>
      </w:r>
      <w:bookmarkEnd w:id="26"/>
    </w:p>
    <w:tbl>
      <w:tblPr>
        <w:tblW w:w="0" w:type="auto"/>
        <w:jc w:val="center"/>
        <w:tblLook w:val="0420" w:firstRow="1" w:lastRow="0" w:firstColumn="0" w:lastColumn="0" w:noHBand="0" w:noVBand="1"/>
      </w:tblPr>
      <w:tblGrid>
        <w:gridCol w:w="665"/>
        <w:gridCol w:w="592"/>
        <w:gridCol w:w="811"/>
        <w:gridCol w:w="799"/>
      </w:tblGrid>
      <w:tr w:rsidR="00FA15DB" w:rsidRPr="003C413E" w14:paraId="051A769A" w14:textId="77777777" w:rsidTr="000C2024">
        <w:trPr>
          <w:cantSplit/>
          <w:tblHeader/>
          <w:jc w:val="center"/>
        </w:trPr>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5F2C872E"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b/>
                <w:color w:val="000000"/>
              </w:rPr>
              <w:t>Year</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4A4AD910"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Rho</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34760897" w14:textId="6B47F051"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Lower</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F34512A" w14:textId="2F5671C1"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b/>
                <w:color w:val="000000"/>
              </w:rPr>
              <w:t>Upper</w:t>
            </w:r>
          </w:p>
        </w:tc>
      </w:tr>
      <w:tr w:rsidR="00FA15DB" w:rsidRPr="003C413E" w14:paraId="75A3A77C" w14:textId="77777777" w:rsidTr="000C2024">
        <w:trPr>
          <w:cantSplit/>
          <w:jc w:val="center"/>
        </w:trPr>
        <w:tc>
          <w:tcPr>
            <w:tcW w:w="0" w:type="auto"/>
            <w:shd w:val="clear" w:color="auto" w:fill="FFFFFF"/>
            <w:tcMar>
              <w:top w:w="0" w:type="dxa"/>
              <w:left w:w="0" w:type="dxa"/>
              <w:bottom w:w="0" w:type="dxa"/>
              <w:right w:w="0" w:type="dxa"/>
            </w:tcMar>
            <w:vAlign w:val="center"/>
          </w:tcPr>
          <w:p w14:paraId="6344AA37"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2006</w:t>
            </w:r>
          </w:p>
        </w:tc>
        <w:tc>
          <w:tcPr>
            <w:tcW w:w="0" w:type="auto"/>
            <w:shd w:val="clear" w:color="auto" w:fill="FFFFFF"/>
            <w:tcMar>
              <w:top w:w="0" w:type="dxa"/>
              <w:left w:w="0" w:type="dxa"/>
              <w:bottom w:w="0" w:type="dxa"/>
              <w:right w:w="0" w:type="dxa"/>
            </w:tcMar>
            <w:vAlign w:val="center"/>
          </w:tcPr>
          <w:p w14:paraId="5C42E9A1"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0.86</w:t>
            </w:r>
          </w:p>
        </w:tc>
        <w:tc>
          <w:tcPr>
            <w:tcW w:w="0" w:type="auto"/>
            <w:shd w:val="clear" w:color="auto" w:fill="FFFFFF"/>
            <w:tcMar>
              <w:top w:w="0" w:type="dxa"/>
              <w:left w:w="0" w:type="dxa"/>
              <w:bottom w:w="0" w:type="dxa"/>
              <w:right w:w="0" w:type="dxa"/>
            </w:tcMar>
            <w:vAlign w:val="center"/>
          </w:tcPr>
          <w:p w14:paraId="0E09A3AD"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0.848</w:t>
            </w:r>
          </w:p>
        </w:tc>
        <w:tc>
          <w:tcPr>
            <w:tcW w:w="0" w:type="auto"/>
            <w:shd w:val="clear" w:color="auto" w:fill="FFFFFF"/>
            <w:tcMar>
              <w:top w:w="0" w:type="dxa"/>
              <w:left w:w="0" w:type="dxa"/>
              <w:bottom w:w="0" w:type="dxa"/>
              <w:right w:w="0" w:type="dxa"/>
            </w:tcMar>
            <w:vAlign w:val="center"/>
          </w:tcPr>
          <w:p w14:paraId="22D8E3B0"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0.872</w:t>
            </w:r>
          </w:p>
        </w:tc>
      </w:tr>
      <w:tr w:rsidR="00FA15DB" w:rsidRPr="003C413E" w14:paraId="1F0AF952" w14:textId="77777777" w:rsidTr="000C2024">
        <w:trPr>
          <w:cantSplit/>
          <w:jc w:val="center"/>
        </w:trPr>
        <w:tc>
          <w:tcPr>
            <w:tcW w:w="0" w:type="auto"/>
            <w:shd w:val="clear" w:color="auto" w:fill="FFFFFF"/>
            <w:tcMar>
              <w:top w:w="0" w:type="dxa"/>
              <w:left w:w="0" w:type="dxa"/>
              <w:bottom w:w="0" w:type="dxa"/>
              <w:right w:w="0" w:type="dxa"/>
            </w:tcMar>
            <w:vAlign w:val="center"/>
          </w:tcPr>
          <w:p w14:paraId="225D2401"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2007</w:t>
            </w:r>
          </w:p>
        </w:tc>
        <w:tc>
          <w:tcPr>
            <w:tcW w:w="0" w:type="auto"/>
            <w:shd w:val="clear" w:color="auto" w:fill="FFFFFF"/>
            <w:tcMar>
              <w:top w:w="0" w:type="dxa"/>
              <w:left w:w="0" w:type="dxa"/>
              <w:bottom w:w="0" w:type="dxa"/>
              <w:right w:w="0" w:type="dxa"/>
            </w:tcMar>
            <w:vAlign w:val="center"/>
          </w:tcPr>
          <w:p w14:paraId="6A3AF9D3"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0.88</w:t>
            </w:r>
          </w:p>
        </w:tc>
        <w:tc>
          <w:tcPr>
            <w:tcW w:w="0" w:type="auto"/>
            <w:shd w:val="clear" w:color="auto" w:fill="FFFFFF"/>
            <w:tcMar>
              <w:top w:w="0" w:type="dxa"/>
              <w:left w:w="0" w:type="dxa"/>
              <w:bottom w:w="0" w:type="dxa"/>
              <w:right w:w="0" w:type="dxa"/>
            </w:tcMar>
            <w:vAlign w:val="center"/>
          </w:tcPr>
          <w:p w14:paraId="738F0E15"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0.868</w:t>
            </w:r>
          </w:p>
        </w:tc>
        <w:tc>
          <w:tcPr>
            <w:tcW w:w="0" w:type="auto"/>
            <w:shd w:val="clear" w:color="auto" w:fill="FFFFFF"/>
            <w:tcMar>
              <w:top w:w="0" w:type="dxa"/>
              <w:left w:w="0" w:type="dxa"/>
              <w:bottom w:w="0" w:type="dxa"/>
              <w:right w:w="0" w:type="dxa"/>
            </w:tcMar>
            <w:vAlign w:val="center"/>
          </w:tcPr>
          <w:p w14:paraId="521C3430"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0.892</w:t>
            </w:r>
          </w:p>
        </w:tc>
      </w:tr>
      <w:tr w:rsidR="00FA15DB" w:rsidRPr="003C413E" w14:paraId="346F1B7F" w14:textId="77777777" w:rsidTr="000C2024">
        <w:trPr>
          <w:cantSplit/>
          <w:jc w:val="center"/>
        </w:trPr>
        <w:tc>
          <w:tcPr>
            <w:tcW w:w="0" w:type="auto"/>
            <w:shd w:val="clear" w:color="auto" w:fill="FFFFFF"/>
            <w:tcMar>
              <w:top w:w="0" w:type="dxa"/>
              <w:left w:w="0" w:type="dxa"/>
              <w:bottom w:w="0" w:type="dxa"/>
              <w:right w:w="0" w:type="dxa"/>
            </w:tcMar>
            <w:vAlign w:val="center"/>
          </w:tcPr>
          <w:p w14:paraId="030B7724"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2008</w:t>
            </w:r>
          </w:p>
        </w:tc>
        <w:tc>
          <w:tcPr>
            <w:tcW w:w="0" w:type="auto"/>
            <w:shd w:val="clear" w:color="auto" w:fill="FFFFFF"/>
            <w:tcMar>
              <w:top w:w="0" w:type="dxa"/>
              <w:left w:w="0" w:type="dxa"/>
              <w:bottom w:w="0" w:type="dxa"/>
              <w:right w:w="0" w:type="dxa"/>
            </w:tcMar>
            <w:vAlign w:val="center"/>
          </w:tcPr>
          <w:p w14:paraId="69E643F7"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0.90</w:t>
            </w:r>
          </w:p>
        </w:tc>
        <w:tc>
          <w:tcPr>
            <w:tcW w:w="0" w:type="auto"/>
            <w:shd w:val="clear" w:color="auto" w:fill="FFFFFF"/>
            <w:tcMar>
              <w:top w:w="0" w:type="dxa"/>
              <w:left w:w="0" w:type="dxa"/>
              <w:bottom w:w="0" w:type="dxa"/>
              <w:right w:w="0" w:type="dxa"/>
            </w:tcMar>
            <w:vAlign w:val="center"/>
          </w:tcPr>
          <w:p w14:paraId="41CA5B29"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0.888</w:t>
            </w:r>
          </w:p>
        </w:tc>
        <w:tc>
          <w:tcPr>
            <w:tcW w:w="0" w:type="auto"/>
            <w:shd w:val="clear" w:color="auto" w:fill="FFFFFF"/>
            <w:tcMar>
              <w:top w:w="0" w:type="dxa"/>
              <w:left w:w="0" w:type="dxa"/>
              <w:bottom w:w="0" w:type="dxa"/>
              <w:right w:w="0" w:type="dxa"/>
            </w:tcMar>
            <w:vAlign w:val="center"/>
          </w:tcPr>
          <w:p w14:paraId="0B180B1D"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0.912</w:t>
            </w:r>
          </w:p>
        </w:tc>
      </w:tr>
      <w:tr w:rsidR="00FA15DB" w:rsidRPr="003C413E" w14:paraId="6B2ADA32" w14:textId="77777777" w:rsidTr="000C2024">
        <w:trPr>
          <w:cantSplit/>
          <w:jc w:val="center"/>
        </w:trPr>
        <w:tc>
          <w:tcPr>
            <w:tcW w:w="0" w:type="auto"/>
            <w:shd w:val="clear" w:color="auto" w:fill="FFFFFF"/>
            <w:tcMar>
              <w:top w:w="0" w:type="dxa"/>
              <w:left w:w="0" w:type="dxa"/>
              <w:bottom w:w="0" w:type="dxa"/>
              <w:right w:w="0" w:type="dxa"/>
            </w:tcMar>
            <w:vAlign w:val="center"/>
          </w:tcPr>
          <w:p w14:paraId="257EA750"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2009</w:t>
            </w:r>
          </w:p>
        </w:tc>
        <w:tc>
          <w:tcPr>
            <w:tcW w:w="0" w:type="auto"/>
            <w:shd w:val="clear" w:color="auto" w:fill="FFFFFF"/>
            <w:tcMar>
              <w:top w:w="0" w:type="dxa"/>
              <w:left w:w="0" w:type="dxa"/>
              <w:bottom w:w="0" w:type="dxa"/>
              <w:right w:w="0" w:type="dxa"/>
            </w:tcMar>
            <w:vAlign w:val="center"/>
          </w:tcPr>
          <w:p w14:paraId="06E5692E"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0.91</w:t>
            </w:r>
          </w:p>
        </w:tc>
        <w:tc>
          <w:tcPr>
            <w:tcW w:w="0" w:type="auto"/>
            <w:shd w:val="clear" w:color="auto" w:fill="FFFFFF"/>
            <w:tcMar>
              <w:top w:w="0" w:type="dxa"/>
              <w:left w:w="0" w:type="dxa"/>
              <w:bottom w:w="0" w:type="dxa"/>
              <w:right w:w="0" w:type="dxa"/>
            </w:tcMar>
            <w:vAlign w:val="center"/>
          </w:tcPr>
          <w:p w14:paraId="2A00B745"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0.898</w:t>
            </w:r>
          </w:p>
        </w:tc>
        <w:tc>
          <w:tcPr>
            <w:tcW w:w="0" w:type="auto"/>
            <w:shd w:val="clear" w:color="auto" w:fill="FFFFFF"/>
            <w:tcMar>
              <w:top w:w="0" w:type="dxa"/>
              <w:left w:w="0" w:type="dxa"/>
              <w:bottom w:w="0" w:type="dxa"/>
              <w:right w:w="0" w:type="dxa"/>
            </w:tcMar>
            <w:vAlign w:val="center"/>
          </w:tcPr>
          <w:p w14:paraId="78839653"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0.922</w:t>
            </w:r>
          </w:p>
        </w:tc>
      </w:tr>
      <w:tr w:rsidR="00FA15DB" w:rsidRPr="003C413E" w14:paraId="3519245C" w14:textId="77777777" w:rsidTr="000C2024">
        <w:trPr>
          <w:cantSplit/>
          <w:jc w:val="center"/>
        </w:trPr>
        <w:tc>
          <w:tcPr>
            <w:tcW w:w="0" w:type="auto"/>
            <w:shd w:val="clear" w:color="auto" w:fill="FFFFFF"/>
            <w:tcMar>
              <w:top w:w="0" w:type="dxa"/>
              <w:left w:w="0" w:type="dxa"/>
              <w:bottom w:w="0" w:type="dxa"/>
              <w:right w:w="0" w:type="dxa"/>
            </w:tcMar>
            <w:vAlign w:val="center"/>
          </w:tcPr>
          <w:p w14:paraId="6601ADAB"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2010</w:t>
            </w:r>
          </w:p>
        </w:tc>
        <w:tc>
          <w:tcPr>
            <w:tcW w:w="0" w:type="auto"/>
            <w:shd w:val="clear" w:color="auto" w:fill="FFFFFF"/>
            <w:tcMar>
              <w:top w:w="0" w:type="dxa"/>
              <w:left w:w="0" w:type="dxa"/>
              <w:bottom w:w="0" w:type="dxa"/>
              <w:right w:w="0" w:type="dxa"/>
            </w:tcMar>
            <w:vAlign w:val="center"/>
          </w:tcPr>
          <w:p w14:paraId="69705C8C"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0.92</w:t>
            </w:r>
          </w:p>
        </w:tc>
        <w:tc>
          <w:tcPr>
            <w:tcW w:w="0" w:type="auto"/>
            <w:shd w:val="clear" w:color="auto" w:fill="FFFFFF"/>
            <w:tcMar>
              <w:top w:w="0" w:type="dxa"/>
              <w:left w:w="0" w:type="dxa"/>
              <w:bottom w:w="0" w:type="dxa"/>
              <w:right w:w="0" w:type="dxa"/>
            </w:tcMar>
            <w:vAlign w:val="center"/>
          </w:tcPr>
          <w:p w14:paraId="169B687D"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0.908</w:t>
            </w:r>
          </w:p>
        </w:tc>
        <w:tc>
          <w:tcPr>
            <w:tcW w:w="0" w:type="auto"/>
            <w:shd w:val="clear" w:color="auto" w:fill="FFFFFF"/>
            <w:tcMar>
              <w:top w:w="0" w:type="dxa"/>
              <w:left w:w="0" w:type="dxa"/>
              <w:bottom w:w="0" w:type="dxa"/>
              <w:right w:w="0" w:type="dxa"/>
            </w:tcMar>
            <w:vAlign w:val="center"/>
          </w:tcPr>
          <w:p w14:paraId="63044006"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0.932</w:t>
            </w:r>
          </w:p>
        </w:tc>
      </w:tr>
      <w:tr w:rsidR="00FA15DB" w:rsidRPr="003C413E" w14:paraId="53A76742" w14:textId="77777777" w:rsidTr="000C2024">
        <w:trPr>
          <w:cantSplit/>
          <w:jc w:val="center"/>
        </w:trPr>
        <w:tc>
          <w:tcPr>
            <w:tcW w:w="0" w:type="auto"/>
            <w:shd w:val="clear" w:color="auto" w:fill="FFFFFF"/>
            <w:tcMar>
              <w:top w:w="0" w:type="dxa"/>
              <w:left w:w="0" w:type="dxa"/>
              <w:bottom w:w="0" w:type="dxa"/>
              <w:right w:w="0" w:type="dxa"/>
            </w:tcMar>
            <w:vAlign w:val="center"/>
          </w:tcPr>
          <w:p w14:paraId="2094B2C4"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2011</w:t>
            </w:r>
          </w:p>
        </w:tc>
        <w:tc>
          <w:tcPr>
            <w:tcW w:w="0" w:type="auto"/>
            <w:shd w:val="clear" w:color="auto" w:fill="FFFFFF"/>
            <w:tcMar>
              <w:top w:w="0" w:type="dxa"/>
              <w:left w:w="0" w:type="dxa"/>
              <w:bottom w:w="0" w:type="dxa"/>
              <w:right w:w="0" w:type="dxa"/>
            </w:tcMar>
            <w:vAlign w:val="center"/>
          </w:tcPr>
          <w:p w14:paraId="039ADEC6"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0.93</w:t>
            </w:r>
          </w:p>
        </w:tc>
        <w:tc>
          <w:tcPr>
            <w:tcW w:w="0" w:type="auto"/>
            <w:shd w:val="clear" w:color="auto" w:fill="FFFFFF"/>
            <w:tcMar>
              <w:top w:w="0" w:type="dxa"/>
              <w:left w:w="0" w:type="dxa"/>
              <w:bottom w:w="0" w:type="dxa"/>
              <w:right w:w="0" w:type="dxa"/>
            </w:tcMar>
            <w:vAlign w:val="center"/>
          </w:tcPr>
          <w:p w14:paraId="6761160A"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0.918</w:t>
            </w:r>
          </w:p>
        </w:tc>
        <w:tc>
          <w:tcPr>
            <w:tcW w:w="0" w:type="auto"/>
            <w:shd w:val="clear" w:color="auto" w:fill="FFFFFF"/>
            <w:tcMar>
              <w:top w:w="0" w:type="dxa"/>
              <w:left w:w="0" w:type="dxa"/>
              <w:bottom w:w="0" w:type="dxa"/>
              <w:right w:w="0" w:type="dxa"/>
            </w:tcMar>
            <w:vAlign w:val="center"/>
          </w:tcPr>
          <w:p w14:paraId="12975BBF"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0.942</w:t>
            </w:r>
          </w:p>
        </w:tc>
      </w:tr>
      <w:tr w:rsidR="00FA15DB" w:rsidRPr="003C413E" w14:paraId="3928ABDE" w14:textId="77777777" w:rsidTr="000C2024">
        <w:trPr>
          <w:cantSplit/>
          <w:jc w:val="center"/>
        </w:trPr>
        <w:tc>
          <w:tcPr>
            <w:tcW w:w="0" w:type="auto"/>
            <w:shd w:val="clear" w:color="auto" w:fill="FFFFFF"/>
            <w:tcMar>
              <w:top w:w="0" w:type="dxa"/>
              <w:left w:w="0" w:type="dxa"/>
              <w:bottom w:w="0" w:type="dxa"/>
              <w:right w:w="0" w:type="dxa"/>
            </w:tcMar>
            <w:vAlign w:val="center"/>
          </w:tcPr>
          <w:p w14:paraId="583123A5"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2012</w:t>
            </w:r>
          </w:p>
        </w:tc>
        <w:tc>
          <w:tcPr>
            <w:tcW w:w="0" w:type="auto"/>
            <w:shd w:val="clear" w:color="auto" w:fill="FFFFFF"/>
            <w:tcMar>
              <w:top w:w="0" w:type="dxa"/>
              <w:left w:w="0" w:type="dxa"/>
              <w:bottom w:w="0" w:type="dxa"/>
              <w:right w:w="0" w:type="dxa"/>
            </w:tcMar>
            <w:vAlign w:val="center"/>
          </w:tcPr>
          <w:p w14:paraId="70315485"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0.94</w:t>
            </w:r>
          </w:p>
        </w:tc>
        <w:tc>
          <w:tcPr>
            <w:tcW w:w="0" w:type="auto"/>
            <w:shd w:val="clear" w:color="auto" w:fill="FFFFFF"/>
            <w:tcMar>
              <w:top w:w="0" w:type="dxa"/>
              <w:left w:w="0" w:type="dxa"/>
              <w:bottom w:w="0" w:type="dxa"/>
              <w:right w:w="0" w:type="dxa"/>
            </w:tcMar>
            <w:vAlign w:val="center"/>
          </w:tcPr>
          <w:p w14:paraId="2F845B84"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0.928</w:t>
            </w:r>
          </w:p>
        </w:tc>
        <w:tc>
          <w:tcPr>
            <w:tcW w:w="0" w:type="auto"/>
            <w:shd w:val="clear" w:color="auto" w:fill="FFFFFF"/>
            <w:tcMar>
              <w:top w:w="0" w:type="dxa"/>
              <w:left w:w="0" w:type="dxa"/>
              <w:bottom w:w="0" w:type="dxa"/>
              <w:right w:w="0" w:type="dxa"/>
            </w:tcMar>
            <w:vAlign w:val="center"/>
          </w:tcPr>
          <w:p w14:paraId="03B7B1B2"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0.952</w:t>
            </w:r>
          </w:p>
        </w:tc>
      </w:tr>
      <w:tr w:rsidR="00FA15DB" w:rsidRPr="003C413E" w14:paraId="2AD83DED" w14:textId="77777777" w:rsidTr="000C2024">
        <w:trPr>
          <w:cantSplit/>
          <w:jc w:val="center"/>
        </w:trPr>
        <w:tc>
          <w:tcPr>
            <w:tcW w:w="0" w:type="auto"/>
            <w:shd w:val="clear" w:color="auto" w:fill="FFFFFF"/>
            <w:tcMar>
              <w:top w:w="0" w:type="dxa"/>
              <w:left w:w="0" w:type="dxa"/>
              <w:bottom w:w="0" w:type="dxa"/>
              <w:right w:w="0" w:type="dxa"/>
            </w:tcMar>
            <w:vAlign w:val="center"/>
          </w:tcPr>
          <w:p w14:paraId="685631F2"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2013</w:t>
            </w:r>
          </w:p>
        </w:tc>
        <w:tc>
          <w:tcPr>
            <w:tcW w:w="0" w:type="auto"/>
            <w:shd w:val="clear" w:color="auto" w:fill="FFFFFF"/>
            <w:tcMar>
              <w:top w:w="0" w:type="dxa"/>
              <w:left w:w="0" w:type="dxa"/>
              <w:bottom w:w="0" w:type="dxa"/>
              <w:right w:w="0" w:type="dxa"/>
            </w:tcMar>
            <w:vAlign w:val="center"/>
          </w:tcPr>
          <w:p w14:paraId="4DC709FF"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0.95</w:t>
            </w:r>
          </w:p>
        </w:tc>
        <w:tc>
          <w:tcPr>
            <w:tcW w:w="0" w:type="auto"/>
            <w:shd w:val="clear" w:color="auto" w:fill="FFFFFF"/>
            <w:tcMar>
              <w:top w:w="0" w:type="dxa"/>
              <w:left w:w="0" w:type="dxa"/>
              <w:bottom w:w="0" w:type="dxa"/>
              <w:right w:w="0" w:type="dxa"/>
            </w:tcMar>
            <w:vAlign w:val="center"/>
          </w:tcPr>
          <w:p w14:paraId="67D769DB"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0.938</w:t>
            </w:r>
          </w:p>
        </w:tc>
        <w:tc>
          <w:tcPr>
            <w:tcW w:w="0" w:type="auto"/>
            <w:shd w:val="clear" w:color="auto" w:fill="FFFFFF"/>
            <w:tcMar>
              <w:top w:w="0" w:type="dxa"/>
              <w:left w:w="0" w:type="dxa"/>
              <w:bottom w:w="0" w:type="dxa"/>
              <w:right w:w="0" w:type="dxa"/>
            </w:tcMar>
            <w:vAlign w:val="center"/>
          </w:tcPr>
          <w:p w14:paraId="4E04D7D1"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0.962</w:t>
            </w:r>
          </w:p>
        </w:tc>
      </w:tr>
      <w:tr w:rsidR="00FA15DB" w:rsidRPr="003C413E" w14:paraId="59A8513D" w14:textId="77777777" w:rsidTr="000C2024">
        <w:trPr>
          <w:cantSplit/>
          <w:jc w:val="center"/>
        </w:trPr>
        <w:tc>
          <w:tcPr>
            <w:tcW w:w="0" w:type="auto"/>
            <w:shd w:val="clear" w:color="auto" w:fill="FFFFFF"/>
            <w:tcMar>
              <w:top w:w="0" w:type="dxa"/>
              <w:left w:w="0" w:type="dxa"/>
              <w:bottom w:w="0" w:type="dxa"/>
              <w:right w:w="0" w:type="dxa"/>
            </w:tcMar>
            <w:vAlign w:val="center"/>
          </w:tcPr>
          <w:p w14:paraId="44CC6E23"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2014</w:t>
            </w:r>
          </w:p>
        </w:tc>
        <w:tc>
          <w:tcPr>
            <w:tcW w:w="0" w:type="auto"/>
            <w:shd w:val="clear" w:color="auto" w:fill="FFFFFF"/>
            <w:tcMar>
              <w:top w:w="0" w:type="dxa"/>
              <w:left w:w="0" w:type="dxa"/>
              <w:bottom w:w="0" w:type="dxa"/>
              <w:right w:w="0" w:type="dxa"/>
            </w:tcMar>
            <w:vAlign w:val="center"/>
          </w:tcPr>
          <w:p w14:paraId="71AA01AA"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0.95</w:t>
            </w:r>
          </w:p>
        </w:tc>
        <w:tc>
          <w:tcPr>
            <w:tcW w:w="0" w:type="auto"/>
            <w:shd w:val="clear" w:color="auto" w:fill="FFFFFF"/>
            <w:tcMar>
              <w:top w:w="0" w:type="dxa"/>
              <w:left w:w="0" w:type="dxa"/>
              <w:bottom w:w="0" w:type="dxa"/>
              <w:right w:w="0" w:type="dxa"/>
            </w:tcMar>
            <w:vAlign w:val="center"/>
          </w:tcPr>
          <w:p w14:paraId="220EC581"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0.938</w:t>
            </w:r>
          </w:p>
        </w:tc>
        <w:tc>
          <w:tcPr>
            <w:tcW w:w="0" w:type="auto"/>
            <w:shd w:val="clear" w:color="auto" w:fill="FFFFFF"/>
            <w:tcMar>
              <w:top w:w="0" w:type="dxa"/>
              <w:left w:w="0" w:type="dxa"/>
              <w:bottom w:w="0" w:type="dxa"/>
              <w:right w:w="0" w:type="dxa"/>
            </w:tcMar>
            <w:vAlign w:val="center"/>
          </w:tcPr>
          <w:p w14:paraId="2BBBAB53"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0.962</w:t>
            </w:r>
          </w:p>
        </w:tc>
      </w:tr>
      <w:tr w:rsidR="00FA15DB" w:rsidRPr="003C413E" w14:paraId="3F62D6D0" w14:textId="77777777" w:rsidTr="000C2024">
        <w:trPr>
          <w:cantSplit/>
          <w:jc w:val="center"/>
        </w:trPr>
        <w:tc>
          <w:tcPr>
            <w:tcW w:w="0" w:type="auto"/>
            <w:shd w:val="clear" w:color="auto" w:fill="FFFFFF"/>
            <w:tcMar>
              <w:top w:w="0" w:type="dxa"/>
              <w:left w:w="0" w:type="dxa"/>
              <w:bottom w:w="0" w:type="dxa"/>
              <w:right w:w="0" w:type="dxa"/>
            </w:tcMar>
            <w:vAlign w:val="center"/>
          </w:tcPr>
          <w:p w14:paraId="294172F1"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2015</w:t>
            </w:r>
          </w:p>
        </w:tc>
        <w:tc>
          <w:tcPr>
            <w:tcW w:w="0" w:type="auto"/>
            <w:shd w:val="clear" w:color="auto" w:fill="FFFFFF"/>
            <w:tcMar>
              <w:top w:w="0" w:type="dxa"/>
              <w:left w:w="0" w:type="dxa"/>
              <w:bottom w:w="0" w:type="dxa"/>
              <w:right w:w="0" w:type="dxa"/>
            </w:tcMar>
            <w:vAlign w:val="center"/>
          </w:tcPr>
          <w:p w14:paraId="4EE362F6"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0.95</w:t>
            </w:r>
          </w:p>
        </w:tc>
        <w:tc>
          <w:tcPr>
            <w:tcW w:w="0" w:type="auto"/>
            <w:shd w:val="clear" w:color="auto" w:fill="FFFFFF"/>
            <w:tcMar>
              <w:top w:w="0" w:type="dxa"/>
              <w:left w:w="0" w:type="dxa"/>
              <w:bottom w:w="0" w:type="dxa"/>
              <w:right w:w="0" w:type="dxa"/>
            </w:tcMar>
            <w:vAlign w:val="center"/>
          </w:tcPr>
          <w:p w14:paraId="0458684A"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0.938</w:t>
            </w:r>
          </w:p>
        </w:tc>
        <w:tc>
          <w:tcPr>
            <w:tcW w:w="0" w:type="auto"/>
            <w:shd w:val="clear" w:color="auto" w:fill="FFFFFF"/>
            <w:tcMar>
              <w:top w:w="0" w:type="dxa"/>
              <w:left w:w="0" w:type="dxa"/>
              <w:bottom w:w="0" w:type="dxa"/>
              <w:right w:w="0" w:type="dxa"/>
            </w:tcMar>
            <w:vAlign w:val="center"/>
          </w:tcPr>
          <w:p w14:paraId="4EA58818"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0.962</w:t>
            </w:r>
          </w:p>
        </w:tc>
      </w:tr>
      <w:tr w:rsidR="00FA15DB" w:rsidRPr="003C413E" w14:paraId="5C9A3E12" w14:textId="77777777" w:rsidTr="000C2024">
        <w:trPr>
          <w:cantSplit/>
          <w:jc w:val="center"/>
        </w:trPr>
        <w:tc>
          <w:tcPr>
            <w:tcW w:w="0" w:type="auto"/>
            <w:shd w:val="clear" w:color="auto" w:fill="FFFFFF"/>
            <w:tcMar>
              <w:top w:w="0" w:type="dxa"/>
              <w:left w:w="0" w:type="dxa"/>
              <w:bottom w:w="0" w:type="dxa"/>
              <w:right w:w="0" w:type="dxa"/>
            </w:tcMar>
            <w:vAlign w:val="center"/>
          </w:tcPr>
          <w:p w14:paraId="4DD7B816"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2016</w:t>
            </w:r>
          </w:p>
        </w:tc>
        <w:tc>
          <w:tcPr>
            <w:tcW w:w="0" w:type="auto"/>
            <w:shd w:val="clear" w:color="auto" w:fill="FFFFFF"/>
            <w:tcMar>
              <w:top w:w="0" w:type="dxa"/>
              <w:left w:w="0" w:type="dxa"/>
              <w:bottom w:w="0" w:type="dxa"/>
              <w:right w:w="0" w:type="dxa"/>
            </w:tcMar>
            <w:vAlign w:val="center"/>
          </w:tcPr>
          <w:p w14:paraId="67BE0B9E"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0.95</w:t>
            </w:r>
          </w:p>
        </w:tc>
        <w:tc>
          <w:tcPr>
            <w:tcW w:w="0" w:type="auto"/>
            <w:shd w:val="clear" w:color="auto" w:fill="FFFFFF"/>
            <w:tcMar>
              <w:top w:w="0" w:type="dxa"/>
              <w:left w:w="0" w:type="dxa"/>
              <w:bottom w:w="0" w:type="dxa"/>
              <w:right w:w="0" w:type="dxa"/>
            </w:tcMar>
            <w:vAlign w:val="center"/>
          </w:tcPr>
          <w:p w14:paraId="00D08E42"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0.938</w:t>
            </w:r>
          </w:p>
        </w:tc>
        <w:tc>
          <w:tcPr>
            <w:tcW w:w="0" w:type="auto"/>
            <w:shd w:val="clear" w:color="auto" w:fill="FFFFFF"/>
            <w:tcMar>
              <w:top w:w="0" w:type="dxa"/>
              <w:left w:w="0" w:type="dxa"/>
              <w:bottom w:w="0" w:type="dxa"/>
              <w:right w:w="0" w:type="dxa"/>
            </w:tcMar>
            <w:vAlign w:val="center"/>
          </w:tcPr>
          <w:p w14:paraId="5BEE35FE"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0.962</w:t>
            </w:r>
          </w:p>
        </w:tc>
      </w:tr>
      <w:tr w:rsidR="00FA15DB" w:rsidRPr="003C413E" w14:paraId="7DA601A2" w14:textId="77777777" w:rsidTr="000C2024">
        <w:trPr>
          <w:cantSplit/>
          <w:jc w:val="center"/>
        </w:trPr>
        <w:tc>
          <w:tcPr>
            <w:tcW w:w="0" w:type="auto"/>
            <w:shd w:val="clear" w:color="auto" w:fill="FFFFFF"/>
            <w:tcMar>
              <w:top w:w="0" w:type="dxa"/>
              <w:left w:w="0" w:type="dxa"/>
              <w:bottom w:w="0" w:type="dxa"/>
              <w:right w:w="0" w:type="dxa"/>
            </w:tcMar>
            <w:vAlign w:val="center"/>
          </w:tcPr>
          <w:p w14:paraId="244C13F4"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2017</w:t>
            </w:r>
          </w:p>
        </w:tc>
        <w:tc>
          <w:tcPr>
            <w:tcW w:w="0" w:type="auto"/>
            <w:shd w:val="clear" w:color="auto" w:fill="FFFFFF"/>
            <w:tcMar>
              <w:top w:w="0" w:type="dxa"/>
              <w:left w:w="0" w:type="dxa"/>
              <w:bottom w:w="0" w:type="dxa"/>
              <w:right w:w="0" w:type="dxa"/>
            </w:tcMar>
            <w:vAlign w:val="center"/>
          </w:tcPr>
          <w:p w14:paraId="15A64232"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0.95</w:t>
            </w:r>
          </w:p>
        </w:tc>
        <w:tc>
          <w:tcPr>
            <w:tcW w:w="0" w:type="auto"/>
            <w:shd w:val="clear" w:color="auto" w:fill="FFFFFF"/>
            <w:tcMar>
              <w:top w:w="0" w:type="dxa"/>
              <w:left w:w="0" w:type="dxa"/>
              <w:bottom w:w="0" w:type="dxa"/>
              <w:right w:w="0" w:type="dxa"/>
            </w:tcMar>
            <w:vAlign w:val="center"/>
          </w:tcPr>
          <w:p w14:paraId="264647BD"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0.938</w:t>
            </w:r>
          </w:p>
        </w:tc>
        <w:tc>
          <w:tcPr>
            <w:tcW w:w="0" w:type="auto"/>
            <w:shd w:val="clear" w:color="auto" w:fill="FFFFFF"/>
            <w:tcMar>
              <w:top w:w="0" w:type="dxa"/>
              <w:left w:w="0" w:type="dxa"/>
              <w:bottom w:w="0" w:type="dxa"/>
              <w:right w:w="0" w:type="dxa"/>
            </w:tcMar>
            <w:vAlign w:val="center"/>
          </w:tcPr>
          <w:p w14:paraId="713AF3C0"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0.962</w:t>
            </w:r>
          </w:p>
        </w:tc>
      </w:tr>
      <w:tr w:rsidR="00FA15DB" w:rsidRPr="003C413E" w14:paraId="3271BBF8" w14:textId="77777777" w:rsidTr="000C2024">
        <w:trPr>
          <w:cantSplit/>
          <w:jc w:val="center"/>
        </w:trPr>
        <w:tc>
          <w:tcPr>
            <w:tcW w:w="0" w:type="auto"/>
            <w:shd w:val="clear" w:color="auto" w:fill="FFFFFF"/>
            <w:tcMar>
              <w:top w:w="0" w:type="dxa"/>
              <w:left w:w="0" w:type="dxa"/>
              <w:bottom w:w="0" w:type="dxa"/>
              <w:right w:w="0" w:type="dxa"/>
            </w:tcMar>
            <w:vAlign w:val="center"/>
          </w:tcPr>
          <w:p w14:paraId="6499B1D7"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2018</w:t>
            </w:r>
          </w:p>
        </w:tc>
        <w:tc>
          <w:tcPr>
            <w:tcW w:w="0" w:type="auto"/>
            <w:shd w:val="clear" w:color="auto" w:fill="FFFFFF"/>
            <w:tcMar>
              <w:top w:w="0" w:type="dxa"/>
              <w:left w:w="0" w:type="dxa"/>
              <w:bottom w:w="0" w:type="dxa"/>
              <w:right w:w="0" w:type="dxa"/>
            </w:tcMar>
            <w:vAlign w:val="center"/>
          </w:tcPr>
          <w:p w14:paraId="77486709"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0.95</w:t>
            </w:r>
          </w:p>
        </w:tc>
        <w:tc>
          <w:tcPr>
            <w:tcW w:w="0" w:type="auto"/>
            <w:shd w:val="clear" w:color="auto" w:fill="FFFFFF"/>
            <w:tcMar>
              <w:top w:w="0" w:type="dxa"/>
              <w:left w:w="0" w:type="dxa"/>
              <w:bottom w:w="0" w:type="dxa"/>
              <w:right w:w="0" w:type="dxa"/>
            </w:tcMar>
            <w:vAlign w:val="center"/>
          </w:tcPr>
          <w:p w14:paraId="2FA5AD9F"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0.938</w:t>
            </w:r>
          </w:p>
        </w:tc>
        <w:tc>
          <w:tcPr>
            <w:tcW w:w="0" w:type="auto"/>
            <w:shd w:val="clear" w:color="auto" w:fill="FFFFFF"/>
            <w:tcMar>
              <w:top w:w="0" w:type="dxa"/>
              <w:left w:w="0" w:type="dxa"/>
              <w:bottom w:w="0" w:type="dxa"/>
              <w:right w:w="0" w:type="dxa"/>
            </w:tcMar>
            <w:vAlign w:val="center"/>
          </w:tcPr>
          <w:p w14:paraId="02026F3A"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0.962</w:t>
            </w:r>
          </w:p>
        </w:tc>
      </w:tr>
      <w:tr w:rsidR="00FA15DB" w:rsidRPr="003C413E" w14:paraId="04B10B17" w14:textId="77777777" w:rsidTr="000C2024">
        <w:trPr>
          <w:cantSplit/>
          <w:jc w:val="center"/>
        </w:trPr>
        <w:tc>
          <w:tcPr>
            <w:tcW w:w="0" w:type="auto"/>
            <w:tcBorders>
              <w:bottom w:val="single" w:sz="16" w:space="0" w:color="666666"/>
            </w:tcBorders>
            <w:shd w:val="clear" w:color="auto" w:fill="FFFFFF"/>
            <w:tcMar>
              <w:top w:w="0" w:type="dxa"/>
              <w:left w:w="0" w:type="dxa"/>
              <w:bottom w:w="0" w:type="dxa"/>
              <w:right w:w="0" w:type="dxa"/>
            </w:tcMar>
            <w:vAlign w:val="center"/>
          </w:tcPr>
          <w:p w14:paraId="5044DFE7" w14:textId="77777777" w:rsidR="00FA15DB" w:rsidRPr="003C413E" w:rsidRDefault="00FA15DB" w:rsidP="000C2024">
            <w:pPr>
              <w:spacing w:before="100" w:after="100"/>
              <w:ind w:left="100" w:right="100"/>
              <w:rPr>
                <w:rFonts w:ascii="Times New Roman" w:hAnsi="Times New Roman" w:cs="Times New Roman"/>
              </w:rPr>
            </w:pPr>
            <w:r w:rsidRPr="003C413E">
              <w:rPr>
                <w:rFonts w:ascii="Times New Roman" w:eastAsia="Arial" w:hAnsi="Times New Roman" w:cs="Times New Roman"/>
                <w:color w:val="000000"/>
              </w:rPr>
              <w:t>2019</w:t>
            </w:r>
          </w:p>
        </w:tc>
        <w:tc>
          <w:tcPr>
            <w:tcW w:w="0" w:type="auto"/>
            <w:tcBorders>
              <w:bottom w:val="single" w:sz="16" w:space="0" w:color="666666"/>
            </w:tcBorders>
            <w:shd w:val="clear" w:color="auto" w:fill="FFFFFF"/>
            <w:tcMar>
              <w:top w:w="0" w:type="dxa"/>
              <w:left w:w="0" w:type="dxa"/>
              <w:bottom w:w="0" w:type="dxa"/>
              <w:right w:w="0" w:type="dxa"/>
            </w:tcMar>
            <w:vAlign w:val="center"/>
          </w:tcPr>
          <w:p w14:paraId="7D4E8458"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0.95</w:t>
            </w:r>
          </w:p>
        </w:tc>
        <w:tc>
          <w:tcPr>
            <w:tcW w:w="0" w:type="auto"/>
            <w:tcBorders>
              <w:bottom w:val="single" w:sz="16" w:space="0" w:color="666666"/>
            </w:tcBorders>
            <w:shd w:val="clear" w:color="auto" w:fill="FFFFFF"/>
            <w:tcMar>
              <w:top w:w="0" w:type="dxa"/>
              <w:left w:w="0" w:type="dxa"/>
              <w:bottom w:w="0" w:type="dxa"/>
              <w:right w:w="0" w:type="dxa"/>
            </w:tcMar>
            <w:vAlign w:val="center"/>
          </w:tcPr>
          <w:p w14:paraId="48382598"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0.938</w:t>
            </w:r>
          </w:p>
        </w:tc>
        <w:tc>
          <w:tcPr>
            <w:tcW w:w="0" w:type="auto"/>
            <w:tcBorders>
              <w:bottom w:val="single" w:sz="16" w:space="0" w:color="666666"/>
            </w:tcBorders>
            <w:shd w:val="clear" w:color="auto" w:fill="FFFFFF"/>
            <w:tcMar>
              <w:top w:w="0" w:type="dxa"/>
              <w:left w:w="0" w:type="dxa"/>
              <w:bottom w:w="0" w:type="dxa"/>
              <w:right w:w="0" w:type="dxa"/>
            </w:tcMar>
            <w:vAlign w:val="center"/>
          </w:tcPr>
          <w:p w14:paraId="2D071B5A" w14:textId="77777777" w:rsidR="00FA15DB" w:rsidRPr="003C413E" w:rsidRDefault="00FA15DB" w:rsidP="000C2024">
            <w:pPr>
              <w:spacing w:before="100" w:after="100"/>
              <w:ind w:left="100" w:right="100"/>
              <w:jc w:val="right"/>
              <w:rPr>
                <w:rFonts w:ascii="Times New Roman" w:hAnsi="Times New Roman" w:cs="Times New Roman"/>
              </w:rPr>
            </w:pPr>
            <w:r w:rsidRPr="003C413E">
              <w:rPr>
                <w:rFonts w:ascii="Times New Roman" w:eastAsia="Arial" w:hAnsi="Times New Roman" w:cs="Times New Roman"/>
                <w:color w:val="000000"/>
              </w:rPr>
              <w:t>0.962</w:t>
            </w:r>
          </w:p>
        </w:tc>
      </w:tr>
    </w:tbl>
    <w:p w14:paraId="4D373B16" w14:textId="64ED8243" w:rsidR="001718E7" w:rsidRPr="003C413E" w:rsidRDefault="001718E7" w:rsidP="00A1269F">
      <w:pPr>
        <w:pStyle w:val="Heading2"/>
        <w:spacing w:line="360" w:lineRule="auto"/>
        <w:rPr>
          <w:rFonts w:ascii="Times New Roman" w:hAnsi="Times New Roman" w:cs="Times New Roman"/>
        </w:rPr>
      </w:pPr>
      <w:bookmarkStart w:id="27" w:name="_Toc113956984"/>
      <w:r w:rsidRPr="003C413E">
        <w:rPr>
          <w:rFonts w:ascii="Times New Roman" w:hAnsi="Times New Roman" w:cs="Times New Roman"/>
        </w:rPr>
        <w:lastRenderedPageBreak/>
        <w:t>Proportion</w:t>
      </w:r>
      <w:r w:rsidR="00AC3116" w:rsidRPr="003C413E">
        <w:rPr>
          <w:rFonts w:ascii="Times New Roman" w:hAnsi="Times New Roman" w:cs="Times New Roman"/>
        </w:rPr>
        <w:t xml:space="preserve"> </w:t>
      </w:r>
      <w:r w:rsidRPr="003C413E">
        <w:rPr>
          <w:rFonts w:ascii="Times New Roman" w:hAnsi="Times New Roman" w:cs="Times New Roman"/>
        </w:rPr>
        <w:t>of</w:t>
      </w:r>
      <w:r w:rsidR="00AC3116" w:rsidRPr="003C413E">
        <w:rPr>
          <w:rFonts w:ascii="Times New Roman" w:hAnsi="Times New Roman" w:cs="Times New Roman"/>
        </w:rPr>
        <w:t xml:space="preserve"> </w:t>
      </w:r>
      <w:r w:rsidRPr="003C413E">
        <w:rPr>
          <w:rFonts w:ascii="Times New Roman" w:hAnsi="Times New Roman" w:cs="Times New Roman"/>
        </w:rPr>
        <w:t>Cases</w:t>
      </w:r>
      <w:r w:rsidR="00AC3116" w:rsidRPr="003C413E">
        <w:rPr>
          <w:rFonts w:ascii="Times New Roman" w:hAnsi="Times New Roman" w:cs="Times New Roman"/>
        </w:rPr>
        <w:t xml:space="preserve"> </w:t>
      </w:r>
      <w:r w:rsidRPr="003C413E">
        <w:rPr>
          <w:rFonts w:ascii="Times New Roman" w:hAnsi="Times New Roman" w:cs="Times New Roman"/>
        </w:rPr>
        <w:t>that</w:t>
      </w:r>
      <w:r w:rsidR="00AC3116" w:rsidRPr="003C413E">
        <w:rPr>
          <w:rFonts w:ascii="Times New Roman" w:hAnsi="Times New Roman" w:cs="Times New Roman"/>
        </w:rPr>
        <w:t xml:space="preserve"> </w:t>
      </w:r>
      <w:r w:rsidRPr="003C413E">
        <w:rPr>
          <w:rFonts w:ascii="Times New Roman" w:hAnsi="Times New Roman" w:cs="Times New Roman"/>
        </w:rPr>
        <w:t>are</w:t>
      </w:r>
      <w:r w:rsidR="00AC3116" w:rsidRPr="003C413E">
        <w:rPr>
          <w:rFonts w:ascii="Times New Roman" w:hAnsi="Times New Roman" w:cs="Times New Roman"/>
        </w:rPr>
        <w:t xml:space="preserve"> </w:t>
      </w:r>
      <w:r w:rsidRPr="003C413E">
        <w:rPr>
          <w:rFonts w:ascii="Times New Roman" w:hAnsi="Times New Roman" w:cs="Times New Roman"/>
        </w:rPr>
        <w:t>Asymptomatic</w:t>
      </w:r>
      <w:r w:rsidR="00AC3116" w:rsidRPr="003C413E">
        <w:rPr>
          <w:rFonts w:ascii="Times New Roman" w:hAnsi="Times New Roman" w:cs="Times New Roman"/>
        </w:rPr>
        <w:t xml:space="preserve"> </w:t>
      </w:r>
      <w:r w:rsidRPr="003C413E">
        <w:rPr>
          <w:rFonts w:ascii="Times New Roman" w:hAnsi="Times New Roman" w:cs="Times New Roman"/>
        </w:rPr>
        <w:t>(β)</w:t>
      </w:r>
      <w:bookmarkEnd w:id="27"/>
      <w:r w:rsidRPr="003C413E">
        <w:rPr>
          <w:rFonts w:ascii="Times New Roman" w:hAnsi="Times New Roman" w:cs="Times New Roman"/>
        </w:rPr>
        <w:t xml:space="preserve"> </w:t>
      </w:r>
    </w:p>
    <w:p w14:paraId="57190BEF" w14:textId="0C2E39E3" w:rsidR="001718E7" w:rsidRPr="003C413E" w:rsidRDefault="001718E7" w:rsidP="00D518DC">
      <w:pPr>
        <w:spacing w:line="360" w:lineRule="auto"/>
        <w:ind w:firstLine="720"/>
        <w:rPr>
          <w:rFonts w:ascii="Times New Roman" w:hAnsi="Times New Roman" w:cs="Times New Roman"/>
        </w:rPr>
      </w:pPr>
      <w:r w:rsidRPr="003C413E">
        <w:rPr>
          <w:rFonts w:ascii="Times New Roman" w:hAnsi="Times New Roman" w:cs="Times New Roman"/>
        </w:rPr>
        <w:t>Though gonococcal infections can exist in one of two states, either symptomatic or asymptomatic, infections are often without symptoms and the proportion varies by sex. To quantify this for use in the models, we used data from one manuscript that estimated 41.3% (Q1=31.8%, Q3=51.1%) of men</w:t>
      </w:r>
      <w:r w:rsidR="00AC3116" w:rsidRPr="003C413E">
        <w:rPr>
          <w:rFonts w:ascii="Times New Roman" w:hAnsi="Times New Roman" w:cs="Times New Roman"/>
        </w:rPr>
        <w:t xml:space="preserve"> </w:t>
      </w:r>
      <w:r w:rsidRPr="003C413E">
        <w:rPr>
          <w:rFonts w:ascii="Times New Roman" w:hAnsi="Times New Roman" w:cs="Times New Roman"/>
        </w:rPr>
        <w:t>and 68.4%</w:t>
      </w:r>
      <w:r w:rsidR="00AC3116" w:rsidRPr="003C413E">
        <w:rPr>
          <w:rFonts w:ascii="Times New Roman" w:hAnsi="Times New Roman" w:cs="Times New Roman"/>
        </w:rPr>
        <w:t xml:space="preserve"> </w:t>
      </w:r>
      <w:r w:rsidRPr="003C413E">
        <w:rPr>
          <w:rFonts w:ascii="Times New Roman" w:hAnsi="Times New Roman" w:cs="Times New Roman"/>
        </w:rPr>
        <w:t>(Q1</w:t>
      </w:r>
      <w:r w:rsidR="00AC3116" w:rsidRPr="003C413E">
        <w:rPr>
          <w:rFonts w:ascii="Times New Roman" w:hAnsi="Times New Roman" w:cs="Times New Roman"/>
        </w:rPr>
        <w:t xml:space="preserve"> </w:t>
      </w:r>
      <w:r w:rsidRPr="003C413E">
        <w:rPr>
          <w:rFonts w:ascii="Times New Roman" w:hAnsi="Times New Roman" w:cs="Times New Roman"/>
        </w:rPr>
        <w:t>=</w:t>
      </w:r>
      <w:r w:rsidR="00AC3116" w:rsidRPr="003C413E">
        <w:rPr>
          <w:rFonts w:ascii="Times New Roman" w:hAnsi="Times New Roman" w:cs="Times New Roman"/>
        </w:rPr>
        <w:t xml:space="preserve"> </w:t>
      </w:r>
      <w:r w:rsidRPr="003C413E">
        <w:rPr>
          <w:rFonts w:ascii="Times New Roman" w:hAnsi="Times New Roman" w:cs="Times New Roman"/>
        </w:rPr>
        <w:t>61.8%, Q3</w:t>
      </w:r>
      <w:r w:rsidR="00AC3116" w:rsidRPr="003C413E">
        <w:rPr>
          <w:rFonts w:ascii="Times New Roman" w:hAnsi="Times New Roman" w:cs="Times New Roman"/>
        </w:rPr>
        <w:t xml:space="preserve"> </w:t>
      </w:r>
      <w:r w:rsidRPr="003C413E">
        <w:rPr>
          <w:rFonts w:ascii="Times New Roman" w:hAnsi="Times New Roman" w:cs="Times New Roman"/>
        </w:rPr>
        <w:t>=</w:t>
      </w:r>
      <w:r w:rsidR="00AC3116" w:rsidRPr="003C413E">
        <w:rPr>
          <w:rFonts w:ascii="Times New Roman" w:hAnsi="Times New Roman" w:cs="Times New Roman"/>
        </w:rPr>
        <w:t xml:space="preserve"> </w:t>
      </w:r>
      <w:r w:rsidRPr="003C413E">
        <w:rPr>
          <w:rFonts w:ascii="Times New Roman" w:hAnsi="Times New Roman" w:cs="Times New Roman"/>
        </w:rPr>
        <w:t>74.2%) of women infected with</w:t>
      </w:r>
      <w:r w:rsidR="00AC3116" w:rsidRPr="003C413E">
        <w:rPr>
          <w:rFonts w:ascii="Times New Roman" w:hAnsi="Times New Roman" w:cs="Times New Roman"/>
        </w:rPr>
        <w:t xml:space="preserve"> </w:t>
      </w:r>
      <w:r w:rsidRPr="003C413E">
        <w:rPr>
          <w:rFonts w:ascii="Times New Roman" w:hAnsi="Times New Roman" w:cs="Times New Roman"/>
        </w:rPr>
        <w:t>gonorrhea are asymptomatic. By using these data we assumed that the proportion of cases that are asymptomatic did not vary</w:t>
      </w:r>
      <w:r w:rsidR="00AC3116" w:rsidRPr="003C413E">
        <w:rPr>
          <w:rFonts w:ascii="Times New Roman" w:hAnsi="Times New Roman" w:cs="Times New Roman"/>
        </w:rPr>
        <w:t xml:space="preserve"> </w:t>
      </w:r>
      <w:r w:rsidRPr="003C413E">
        <w:rPr>
          <w:rFonts w:ascii="Times New Roman" w:hAnsi="Times New Roman" w:cs="Times New Roman"/>
        </w:rPr>
        <w:t>by age group and also that the subjects from the study</w:t>
      </w:r>
      <w:r w:rsidR="00AC3116" w:rsidRPr="003C413E">
        <w:rPr>
          <w:rFonts w:ascii="Times New Roman" w:hAnsi="Times New Roman" w:cs="Times New Roman"/>
        </w:rPr>
        <w:t xml:space="preserve"> </w:t>
      </w:r>
      <w:r w:rsidRPr="003C413E">
        <w:rPr>
          <w:rFonts w:ascii="Times New Roman" w:hAnsi="Times New Roman" w:cs="Times New Roman"/>
        </w:rPr>
        <w:t>from which these numbers were drawn, which was a convenience sample of people aged 18–29</w:t>
      </w:r>
      <w:r w:rsidR="00AC3116" w:rsidRPr="003C413E">
        <w:rPr>
          <w:rFonts w:ascii="Times New Roman" w:hAnsi="Times New Roman" w:cs="Times New Roman"/>
        </w:rPr>
        <w:t xml:space="preserve"> </w:t>
      </w:r>
      <w:r w:rsidRPr="003C413E">
        <w:rPr>
          <w:rFonts w:ascii="Times New Roman" w:hAnsi="Times New Roman" w:cs="Times New Roman"/>
        </w:rPr>
        <w:t xml:space="preserve">years in New Orleans, were representative of all </w:t>
      </w:r>
      <w:r w:rsidR="00AC3116" w:rsidRPr="003C413E">
        <w:rPr>
          <w:rFonts w:ascii="Times New Roman" w:hAnsi="Times New Roman" w:cs="Times New Roman"/>
        </w:rPr>
        <w:t>people with gonococcal infections</w:t>
      </w:r>
      <w:r w:rsidR="0010443B" w:rsidRPr="003C413E">
        <w:rPr>
          <w:rFonts w:ascii="Times New Roman" w:hAnsi="Times New Roman" w:cs="Times New Roman"/>
        </w:rPr>
        <w:t xml:space="preserve"> </w:t>
      </w:r>
      <w:r w:rsidRPr="003C413E">
        <w:rPr>
          <w:rFonts w:ascii="Times New Roman" w:hAnsi="Times New Roman" w:cs="Times New Roman"/>
        </w:rPr>
        <w:fldChar w:fldCharType="begin" w:fldLock="1"/>
      </w:r>
      <w:r w:rsidR="000B7B66" w:rsidRPr="003C413E">
        <w:rPr>
          <w:rFonts w:ascii="Times New Roman" w:hAnsi="Times New Roman" w:cs="Times New Roman"/>
        </w:rPr>
        <w:instrText>ADDIN CSL_CITATION {"citationItems":[{"id":"ITEM-1","itemData":{"DOI":"10.1016/S0091-7435(02)00058-0","ISSN":"00917435","PMID":"12649059","abstract":"Background. The United States has the highest prevalence of sexually transmitted diseases in the developed world. Control strategies should address the most frequent reasons why curable sexually transmitted diseases are not treated. Methods. We approached 1,631 persons ages 18-29 in various sites and offered them screening for gonorrhea and chlamydial infection and surveys regarding past genitourinary symptoms. For those with past symptoms we abstracted medical records or conducted additional interviews. From these data we estimated the total number of persons who had gonorrhea or chlamydial infections in the previous year, the proportion treated, and the primary reasons for nontreatment. Results. The prevalence of gonorrhea was 2.3% and that of chlamydial infection was 10.1%. We estimate that 45 and 77% of all cases of gonorrhea and chlamydial infection, respectively, were never symptomatic and that 86 and 95% of untreated cases of gonorrhea and chlamydial infection, respectively, were untreated because they were never symptomatic. The remaining 14 and 5% of untreated cases of gonorrhea and chlamydia, respectively, were not treated because persons did not receive medical care for symptoms. Conclusions. The primary reason that gonorrhea and chlamydial infections are untreated is that infected persons never have symptoms. The most effective method to control these sexually transmitted diseases is routine screening at high-volume sites. © 2003 American Health Foundation and Elsevier Science (USA). All rights reserved.","author":[{"dropping-particle":"","family":"Farley","given":"Thomas A.","non-dropping-particle":"","parse-names":false,"suffix":""},{"dropping-particle":"","family":"Cohen","given":"Deborah A.","non-dropping-particle":"","parse-names":false,"suffix":""},{"dropping-particle":"","family":"Elkins","given":"Whitney","non-dropping-particle":"","parse-names":false,"suffix":""}],"container-title":"Preventive Medicine","id":"ITEM-1","issue":"4","issued":{"date-parts":[["2003","4","1"]]},"page":"502-509","publisher":"Academic Press Inc.","title":"Asymptomatic sexually transmitted diseases: The case for screening","type":"article-journal","volume":"36"},"uris":["http://www.mendeley.com/documents/?uuid=8fdbaf97-a270-3af0-b692-e563b1fb63e8"]}],"mendeley":{"formattedCitation":"[23]","plainTextFormattedCitation":"[23]","previouslyFormattedCitation":"[23]"},"properties":{"noteIndex":0},"schema":"https://github.com/citation-style-language/schema/raw/master/csl-citation.json"}</w:instrText>
      </w:r>
      <w:r w:rsidRPr="003C413E">
        <w:rPr>
          <w:rFonts w:ascii="Times New Roman" w:hAnsi="Times New Roman" w:cs="Times New Roman"/>
        </w:rPr>
        <w:fldChar w:fldCharType="separate"/>
      </w:r>
      <w:r w:rsidR="00A16E16" w:rsidRPr="003C413E">
        <w:rPr>
          <w:rFonts w:ascii="Times New Roman" w:hAnsi="Times New Roman" w:cs="Times New Roman"/>
          <w:noProof/>
        </w:rPr>
        <w:t>[23]</w:t>
      </w:r>
      <w:r w:rsidRPr="003C413E">
        <w:rPr>
          <w:rFonts w:ascii="Times New Roman" w:hAnsi="Times New Roman" w:cs="Times New Roman"/>
        </w:rPr>
        <w:fldChar w:fldCharType="end"/>
      </w:r>
      <w:r w:rsidRPr="003C413E">
        <w:rPr>
          <w:rFonts w:ascii="Times New Roman" w:hAnsi="Times New Roman" w:cs="Times New Roman"/>
        </w:rPr>
        <w:t xml:space="preserve">. </w:t>
      </w:r>
    </w:p>
    <w:p w14:paraId="635F9759" w14:textId="77777777" w:rsidR="00810FCA" w:rsidRPr="003C413E" w:rsidRDefault="00810FCA" w:rsidP="001718E7">
      <w:pPr>
        <w:rPr>
          <w:rFonts w:ascii="Times New Roman" w:hAnsi="Times New Roman" w:cs="Times New Roman"/>
        </w:rPr>
      </w:pPr>
    </w:p>
    <w:p w14:paraId="4ADB64CA" w14:textId="19896AF1" w:rsidR="001718E7" w:rsidRPr="003C413E" w:rsidRDefault="001718E7" w:rsidP="00A1269F">
      <w:pPr>
        <w:pStyle w:val="Heading2"/>
        <w:spacing w:line="360" w:lineRule="auto"/>
        <w:rPr>
          <w:rFonts w:ascii="Times New Roman" w:hAnsi="Times New Roman" w:cs="Times New Roman"/>
        </w:rPr>
      </w:pPr>
      <w:bookmarkStart w:id="28" w:name="_Toc113956985"/>
      <w:r w:rsidRPr="003C413E">
        <w:rPr>
          <w:rFonts w:ascii="Times New Roman" w:hAnsi="Times New Roman" w:cs="Times New Roman"/>
        </w:rPr>
        <w:t>Annual</w:t>
      </w:r>
      <w:r w:rsidR="00AC3116" w:rsidRPr="003C413E">
        <w:rPr>
          <w:rFonts w:ascii="Times New Roman" w:hAnsi="Times New Roman" w:cs="Times New Roman"/>
        </w:rPr>
        <w:t xml:space="preserve"> </w:t>
      </w:r>
      <w:r w:rsidRPr="003C413E">
        <w:rPr>
          <w:rFonts w:ascii="Times New Roman" w:hAnsi="Times New Roman" w:cs="Times New Roman"/>
        </w:rPr>
        <w:t>Background</w:t>
      </w:r>
      <w:r w:rsidR="00AC3116" w:rsidRPr="003C413E">
        <w:rPr>
          <w:rFonts w:ascii="Times New Roman" w:hAnsi="Times New Roman" w:cs="Times New Roman"/>
        </w:rPr>
        <w:t xml:space="preserve"> </w:t>
      </w:r>
      <w:r w:rsidRPr="003C413E">
        <w:rPr>
          <w:rFonts w:ascii="Times New Roman" w:hAnsi="Times New Roman" w:cs="Times New Roman"/>
        </w:rPr>
        <w:t>Screening</w:t>
      </w:r>
      <w:r w:rsidR="00AC3116" w:rsidRPr="003C413E">
        <w:rPr>
          <w:rFonts w:ascii="Times New Roman" w:hAnsi="Times New Roman" w:cs="Times New Roman"/>
        </w:rPr>
        <w:t xml:space="preserve"> </w:t>
      </w:r>
      <w:r w:rsidRPr="003C413E">
        <w:rPr>
          <w:rFonts w:ascii="Times New Roman" w:hAnsi="Times New Roman" w:cs="Times New Roman"/>
        </w:rPr>
        <w:t>Rate</w:t>
      </w:r>
      <w:r w:rsidR="00AC3116" w:rsidRPr="003C413E">
        <w:rPr>
          <w:rFonts w:ascii="Times New Roman" w:hAnsi="Times New Roman" w:cs="Times New Roman"/>
        </w:rPr>
        <w:t xml:space="preserve"> </w:t>
      </w:r>
      <w:r w:rsidRPr="003C413E">
        <w:rPr>
          <w:rFonts w:ascii="Times New Roman" w:hAnsi="Times New Roman" w:cs="Times New Roman"/>
        </w:rPr>
        <w:t>(σ)</w:t>
      </w:r>
      <w:bookmarkEnd w:id="28"/>
      <w:r w:rsidRPr="003C413E">
        <w:rPr>
          <w:rFonts w:ascii="Times New Roman" w:hAnsi="Times New Roman" w:cs="Times New Roman"/>
        </w:rPr>
        <w:t xml:space="preserve"> </w:t>
      </w:r>
    </w:p>
    <w:p w14:paraId="04A9499C" w14:textId="02F04B78" w:rsidR="00D8567D" w:rsidRPr="003C413E" w:rsidRDefault="001718E7" w:rsidP="00D518DC">
      <w:pPr>
        <w:spacing w:line="360" w:lineRule="auto"/>
        <w:ind w:firstLine="720"/>
        <w:rPr>
          <w:rFonts w:ascii="Times New Roman" w:hAnsi="Times New Roman" w:cs="Times New Roman"/>
        </w:rPr>
      </w:pPr>
      <w:r w:rsidRPr="003C413E">
        <w:rPr>
          <w:rFonts w:ascii="Times New Roman" w:hAnsi="Times New Roman" w:cs="Times New Roman"/>
        </w:rPr>
        <w:t>We estimated</w:t>
      </w:r>
      <w:r w:rsidR="00AC3116" w:rsidRPr="003C413E">
        <w:rPr>
          <w:rFonts w:ascii="Times New Roman" w:hAnsi="Times New Roman" w:cs="Times New Roman"/>
        </w:rPr>
        <w:t xml:space="preserve"> </w:t>
      </w:r>
      <w:r w:rsidRPr="003C413E">
        <w:rPr>
          <w:rFonts w:ascii="Times New Roman" w:hAnsi="Times New Roman" w:cs="Times New Roman"/>
        </w:rPr>
        <w:t xml:space="preserve">the annual background screening rate for gonorrhea using data from </w:t>
      </w:r>
      <w:r w:rsidR="00AC3116" w:rsidRPr="003C413E">
        <w:rPr>
          <w:rFonts w:ascii="Times New Roman" w:hAnsi="Times New Roman" w:cs="Times New Roman"/>
        </w:rPr>
        <w:t xml:space="preserve">multiple cycles </w:t>
      </w:r>
      <w:r w:rsidRPr="003C413E">
        <w:rPr>
          <w:rFonts w:ascii="Times New Roman" w:hAnsi="Times New Roman" w:cs="Times New Roman"/>
        </w:rPr>
        <w:t>of</w:t>
      </w:r>
      <w:r w:rsidR="00D8567D" w:rsidRPr="003C413E">
        <w:rPr>
          <w:rFonts w:ascii="Times New Roman" w:hAnsi="Times New Roman" w:cs="Times New Roman"/>
        </w:rPr>
        <w:t xml:space="preserve"> </w:t>
      </w:r>
      <w:r w:rsidRPr="003C413E">
        <w:rPr>
          <w:rFonts w:ascii="Times New Roman" w:hAnsi="Times New Roman" w:cs="Times New Roman"/>
        </w:rPr>
        <w:t>the National</w:t>
      </w:r>
      <w:r w:rsidR="00D8567D" w:rsidRPr="003C413E">
        <w:rPr>
          <w:rFonts w:ascii="Times New Roman" w:hAnsi="Times New Roman" w:cs="Times New Roman"/>
        </w:rPr>
        <w:t xml:space="preserve"> </w:t>
      </w:r>
      <w:r w:rsidRPr="003C413E">
        <w:rPr>
          <w:rFonts w:ascii="Times New Roman" w:hAnsi="Times New Roman" w:cs="Times New Roman"/>
        </w:rPr>
        <w:t>Survey of Family Growth (NSFG)</w:t>
      </w:r>
      <w:r w:rsidR="00AC3116" w:rsidRPr="003C413E">
        <w:rPr>
          <w:rFonts w:ascii="Times New Roman" w:hAnsi="Times New Roman" w:cs="Times New Roman"/>
        </w:rPr>
        <w:t xml:space="preserve"> </w:t>
      </w:r>
      <w:r w:rsidR="009C35CC">
        <w:rPr>
          <w:rFonts w:ascii="Times New Roman" w:hAnsi="Times New Roman" w:cs="Times New Roman"/>
        </w:rPr>
        <w:t>during</w:t>
      </w:r>
      <w:r w:rsidR="009C35CC" w:rsidRPr="003C413E">
        <w:rPr>
          <w:rFonts w:ascii="Times New Roman" w:hAnsi="Times New Roman" w:cs="Times New Roman"/>
        </w:rPr>
        <w:t xml:space="preserve"> </w:t>
      </w:r>
      <w:r w:rsidR="00AC3116" w:rsidRPr="003C413E">
        <w:rPr>
          <w:rFonts w:ascii="Times New Roman" w:hAnsi="Times New Roman" w:cs="Times New Roman"/>
        </w:rPr>
        <w:t>20</w:t>
      </w:r>
      <w:r w:rsidR="00D8567D" w:rsidRPr="003C413E">
        <w:rPr>
          <w:rFonts w:ascii="Times New Roman" w:hAnsi="Times New Roman" w:cs="Times New Roman"/>
        </w:rPr>
        <w:t>06-2019</w:t>
      </w:r>
      <w:r w:rsidR="0010443B" w:rsidRPr="003C413E">
        <w:rPr>
          <w:rFonts w:ascii="Times New Roman" w:hAnsi="Times New Roman" w:cs="Times New Roman"/>
        </w:rPr>
        <w:t xml:space="preserve"> </w:t>
      </w:r>
      <w:r w:rsidR="0010443B" w:rsidRPr="003C413E">
        <w:rPr>
          <w:rFonts w:ascii="Times New Roman" w:hAnsi="Times New Roman" w:cs="Times New Roman"/>
        </w:rPr>
        <w:fldChar w:fldCharType="begin" w:fldLock="1"/>
      </w:r>
      <w:r w:rsidR="000B7B66" w:rsidRPr="003C413E">
        <w:rPr>
          <w:rFonts w:ascii="Times New Roman" w:hAnsi="Times New Roman" w:cs="Times New Roman"/>
        </w:rPr>
        <w:instrText>ADDIN CSL_CITATION {"citationItems":[{"id":"ITEM-1","itemData":{"author":[{"dropping-particle":"","family":"National Center for Health Statistics","given":"","non-dropping-particle":"","parse-names":false,"suffix":""}],"id":"ITEM-1","issued":{"date-parts":[["2011"]]},"publisher":"U.S. Department of Health and Human Services, Centers for Disease Control and Prevention","publisher-place":"Hyattsville, MD","title":"Public Use Data, National Survey of Family Growth: 2006–2010","type":"article"},"uris":["http://www.mendeley.com/documents/?uuid=11b6ee1d-8dd0-4d52-bf2e-fe2279501c2e"]}],"mendeley":{"formattedCitation":"[18]","plainTextFormattedCitation":"[18]","previouslyFormattedCitation":"[18]"},"properties":{"noteIndex":0},"schema":"https://github.com/citation-style-language/schema/raw/master/csl-citation.json"}</w:instrText>
      </w:r>
      <w:r w:rsidR="0010443B" w:rsidRPr="003C413E">
        <w:rPr>
          <w:rFonts w:ascii="Times New Roman" w:hAnsi="Times New Roman" w:cs="Times New Roman"/>
        </w:rPr>
        <w:fldChar w:fldCharType="separate"/>
      </w:r>
      <w:r w:rsidR="00A16E16" w:rsidRPr="003C413E">
        <w:rPr>
          <w:rFonts w:ascii="Times New Roman" w:hAnsi="Times New Roman" w:cs="Times New Roman"/>
          <w:noProof/>
        </w:rPr>
        <w:t>[18]</w:t>
      </w:r>
      <w:r w:rsidR="0010443B" w:rsidRPr="003C413E">
        <w:rPr>
          <w:rFonts w:ascii="Times New Roman" w:hAnsi="Times New Roman" w:cs="Times New Roman"/>
        </w:rPr>
        <w:fldChar w:fldCharType="end"/>
      </w:r>
      <w:r w:rsidRPr="003C413E">
        <w:rPr>
          <w:rFonts w:ascii="Times New Roman" w:hAnsi="Times New Roman" w:cs="Times New Roman"/>
        </w:rPr>
        <w:t xml:space="preserve">. </w:t>
      </w:r>
      <w:r w:rsidR="00D8567D" w:rsidRPr="003C413E">
        <w:rPr>
          <w:rFonts w:ascii="Times New Roman" w:hAnsi="Times New Roman" w:cs="Times New Roman"/>
        </w:rPr>
        <w:t xml:space="preserve">The smallest cycle </w:t>
      </w:r>
      <w:r w:rsidR="00C76865" w:rsidRPr="003C413E">
        <w:rPr>
          <w:rFonts w:ascii="Times New Roman" w:hAnsi="Times New Roman" w:cs="Times New Roman"/>
        </w:rPr>
        <w:t>interval</w:t>
      </w:r>
      <w:r w:rsidR="00D8567D" w:rsidRPr="003C413E">
        <w:rPr>
          <w:rFonts w:ascii="Times New Roman" w:hAnsi="Times New Roman" w:cs="Times New Roman"/>
        </w:rPr>
        <w:t xml:space="preserve"> based on </w:t>
      </w:r>
      <w:r w:rsidR="00C76865" w:rsidRPr="003C413E">
        <w:rPr>
          <w:rFonts w:ascii="Times New Roman" w:hAnsi="Times New Roman" w:cs="Times New Roman"/>
        </w:rPr>
        <w:t xml:space="preserve">the provided </w:t>
      </w:r>
      <w:r w:rsidR="00D8567D" w:rsidRPr="003C413E">
        <w:rPr>
          <w:rFonts w:ascii="Times New Roman" w:hAnsi="Times New Roman" w:cs="Times New Roman"/>
        </w:rPr>
        <w:t>nationally representative survey weights in this survey is two years</w:t>
      </w:r>
      <w:r w:rsidR="00C76865" w:rsidRPr="003C413E">
        <w:rPr>
          <w:rFonts w:ascii="Times New Roman" w:hAnsi="Times New Roman" w:cs="Times New Roman"/>
        </w:rPr>
        <w:t xml:space="preserve">, so we calculated the screening rate among these two-year intervals </w:t>
      </w:r>
      <w:r w:rsidR="00483469">
        <w:rPr>
          <w:rFonts w:ascii="Times New Roman" w:hAnsi="Times New Roman" w:cs="Times New Roman"/>
        </w:rPr>
        <w:t>during</w:t>
      </w:r>
      <w:r w:rsidR="00483469" w:rsidRPr="003C413E">
        <w:rPr>
          <w:rFonts w:ascii="Times New Roman" w:hAnsi="Times New Roman" w:cs="Times New Roman"/>
        </w:rPr>
        <w:t xml:space="preserve"> </w:t>
      </w:r>
      <w:r w:rsidR="00C76865" w:rsidRPr="003C413E">
        <w:rPr>
          <w:rFonts w:ascii="Times New Roman" w:hAnsi="Times New Roman" w:cs="Times New Roman"/>
        </w:rPr>
        <w:t>2006-201</w:t>
      </w:r>
      <w:r w:rsidR="00B3605C">
        <w:rPr>
          <w:rFonts w:ascii="Times New Roman" w:hAnsi="Times New Roman" w:cs="Times New Roman"/>
        </w:rPr>
        <w:t xml:space="preserve">9 </w:t>
      </w:r>
      <w:r w:rsidR="00C76865" w:rsidRPr="003C413E">
        <w:rPr>
          <w:rFonts w:ascii="Times New Roman" w:hAnsi="Times New Roman" w:cs="Times New Roman"/>
        </w:rPr>
        <w:t xml:space="preserve">and used the </w:t>
      </w:r>
      <w:r w:rsidR="008C3527" w:rsidRPr="003C413E">
        <w:rPr>
          <w:rFonts w:ascii="Times New Roman" w:hAnsi="Times New Roman" w:cs="Times New Roman"/>
        </w:rPr>
        <w:t>mean</w:t>
      </w:r>
      <w:r w:rsidR="00C76865" w:rsidRPr="003C413E">
        <w:rPr>
          <w:rFonts w:ascii="Times New Roman" w:hAnsi="Times New Roman" w:cs="Times New Roman"/>
        </w:rPr>
        <w:t xml:space="preserve"> estimate for </w:t>
      </w:r>
      <w:r w:rsidR="008C3527" w:rsidRPr="003C413E">
        <w:rPr>
          <w:rFonts w:ascii="Times New Roman" w:hAnsi="Times New Roman" w:cs="Times New Roman"/>
        </w:rPr>
        <w:t xml:space="preserve">years that contained multiple </w:t>
      </w:r>
      <w:r w:rsidR="0066750D" w:rsidRPr="003C413E">
        <w:rPr>
          <w:rFonts w:ascii="Times New Roman" w:hAnsi="Times New Roman" w:cs="Times New Roman"/>
        </w:rPr>
        <w:t xml:space="preserve">NSFG cycles. </w:t>
      </w:r>
    </w:p>
    <w:p w14:paraId="4043E122" w14:textId="578BE873" w:rsidR="001718E7" w:rsidRPr="003C413E" w:rsidRDefault="001718E7" w:rsidP="00D518DC">
      <w:pPr>
        <w:spacing w:line="360" w:lineRule="auto"/>
        <w:ind w:firstLine="720"/>
        <w:rPr>
          <w:rFonts w:ascii="Times New Roman" w:hAnsi="Times New Roman" w:cs="Times New Roman"/>
        </w:rPr>
      </w:pPr>
      <w:r w:rsidRPr="003C413E">
        <w:rPr>
          <w:rFonts w:ascii="Times New Roman" w:hAnsi="Times New Roman" w:cs="Times New Roman"/>
        </w:rPr>
        <w:t xml:space="preserve">The use of these data came with several assumptions. First, we assumed the data were </w:t>
      </w:r>
      <w:r w:rsidR="00483469">
        <w:rPr>
          <w:rFonts w:ascii="Times New Roman" w:hAnsi="Times New Roman" w:cs="Times New Roman"/>
        </w:rPr>
        <w:t>n</w:t>
      </w:r>
      <w:r w:rsidRPr="003C413E">
        <w:rPr>
          <w:rFonts w:ascii="Times New Roman" w:hAnsi="Times New Roman" w:cs="Times New Roman"/>
        </w:rPr>
        <w:t>ormally</w:t>
      </w:r>
      <w:r w:rsidR="001846B6" w:rsidRPr="003C413E">
        <w:rPr>
          <w:rFonts w:ascii="Times New Roman" w:hAnsi="Times New Roman" w:cs="Times New Roman"/>
        </w:rPr>
        <w:t xml:space="preserve"> </w:t>
      </w:r>
      <w:r w:rsidRPr="003C413E">
        <w:rPr>
          <w:rFonts w:ascii="Times New Roman" w:hAnsi="Times New Roman" w:cs="Times New Roman"/>
        </w:rPr>
        <w:t>distributed. Second, we assumed that background screening was constant and stable throughout the cycle</w:t>
      </w:r>
      <w:r w:rsidR="001846B6" w:rsidRPr="003C413E">
        <w:rPr>
          <w:rFonts w:ascii="Times New Roman" w:hAnsi="Times New Roman" w:cs="Times New Roman"/>
        </w:rPr>
        <w:t xml:space="preserve">. </w:t>
      </w:r>
      <w:r w:rsidRPr="003C413E">
        <w:rPr>
          <w:rFonts w:ascii="Times New Roman" w:hAnsi="Times New Roman" w:cs="Times New Roman"/>
        </w:rPr>
        <w:t>Third, we assumed that if a</w:t>
      </w:r>
      <w:r w:rsidR="001846B6" w:rsidRPr="003C413E">
        <w:rPr>
          <w:rFonts w:ascii="Times New Roman" w:hAnsi="Times New Roman" w:cs="Times New Roman"/>
        </w:rPr>
        <w:t xml:space="preserve"> </w:t>
      </w:r>
      <w:r w:rsidRPr="003C413E">
        <w:rPr>
          <w:rFonts w:ascii="Times New Roman" w:hAnsi="Times New Roman" w:cs="Times New Roman"/>
        </w:rPr>
        <w:t>person was screened</w:t>
      </w:r>
      <w:r w:rsidR="001846B6" w:rsidRPr="003C413E">
        <w:rPr>
          <w:rFonts w:ascii="Times New Roman" w:hAnsi="Times New Roman" w:cs="Times New Roman"/>
        </w:rPr>
        <w:t xml:space="preserve"> </w:t>
      </w:r>
      <w:r w:rsidRPr="003C413E">
        <w:rPr>
          <w:rFonts w:ascii="Times New Roman" w:hAnsi="Times New Roman" w:cs="Times New Roman"/>
        </w:rPr>
        <w:t>for chlamydia, they were also screened</w:t>
      </w:r>
      <w:r w:rsidR="001846B6" w:rsidRPr="003C413E">
        <w:rPr>
          <w:rFonts w:ascii="Times New Roman" w:hAnsi="Times New Roman" w:cs="Times New Roman"/>
        </w:rPr>
        <w:t xml:space="preserve"> </w:t>
      </w:r>
      <w:r w:rsidRPr="003C413E">
        <w:rPr>
          <w:rFonts w:ascii="Times New Roman" w:hAnsi="Times New Roman" w:cs="Times New Roman"/>
        </w:rPr>
        <w:t>for gonorrhea. Lastly, these estimates are based on self-reported data, which are inherently subject to recall bias. The question asked of women was: “In the last 12 months, have you been tested</w:t>
      </w:r>
      <w:r w:rsidR="001846B6" w:rsidRPr="003C413E">
        <w:rPr>
          <w:rFonts w:ascii="Times New Roman" w:hAnsi="Times New Roman" w:cs="Times New Roman"/>
        </w:rPr>
        <w:t xml:space="preserve"> </w:t>
      </w:r>
      <w:r w:rsidRPr="003C413E">
        <w:rPr>
          <w:rFonts w:ascii="Times New Roman" w:hAnsi="Times New Roman" w:cs="Times New Roman"/>
        </w:rPr>
        <w:t>for chlamydia?” This question assumed that the rate of testing</w:t>
      </w:r>
      <w:r w:rsidR="001846B6" w:rsidRPr="003C413E">
        <w:rPr>
          <w:rFonts w:ascii="Times New Roman" w:hAnsi="Times New Roman" w:cs="Times New Roman"/>
        </w:rPr>
        <w:t xml:space="preserve"> </w:t>
      </w:r>
      <w:r w:rsidRPr="003C413E">
        <w:rPr>
          <w:rFonts w:ascii="Times New Roman" w:hAnsi="Times New Roman" w:cs="Times New Roman"/>
        </w:rPr>
        <w:t xml:space="preserve">(typically for diagnostic purposes among symptomatic persons) was reflective of the rate of background screening in (typically asymptomatic) women. </w:t>
      </w:r>
      <w:r w:rsidR="001846B6" w:rsidRPr="003C413E">
        <w:rPr>
          <w:rFonts w:ascii="Times New Roman" w:hAnsi="Times New Roman" w:cs="Times New Roman"/>
        </w:rPr>
        <w:t xml:space="preserve">There is an additional question that asks about testing for gonorrhea and syphilis, but to stay consistent with previous work, we use the initial screening question. </w:t>
      </w:r>
      <w:r w:rsidRPr="003C413E">
        <w:rPr>
          <w:rFonts w:ascii="Times New Roman" w:hAnsi="Times New Roman" w:cs="Times New Roman"/>
        </w:rPr>
        <w:t>The question asked of men was: “In the past 12 months, have you been tested for a sexually</w:t>
      </w:r>
      <w:r w:rsidR="001846B6" w:rsidRPr="003C413E">
        <w:rPr>
          <w:rFonts w:ascii="Times New Roman" w:hAnsi="Times New Roman" w:cs="Times New Roman"/>
        </w:rPr>
        <w:t xml:space="preserve"> </w:t>
      </w:r>
      <w:r w:rsidRPr="003C413E">
        <w:rPr>
          <w:rFonts w:ascii="Times New Roman" w:hAnsi="Times New Roman" w:cs="Times New Roman"/>
        </w:rPr>
        <w:t>transmitted disease like gonorrhea, chlamydia, herpes, or syphilis?”</w:t>
      </w:r>
      <w:r w:rsidR="001846B6" w:rsidRPr="003C413E">
        <w:rPr>
          <w:rFonts w:ascii="Times New Roman" w:hAnsi="Times New Roman" w:cs="Times New Roman"/>
        </w:rPr>
        <w:t xml:space="preserve"> </w:t>
      </w:r>
      <w:r w:rsidRPr="003C413E">
        <w:rPr>
          <w:rFonts w:ascii="Times New Roman" w:hAnsi="Times New Roman" w:cs="Times New Roman"/>
        </w:rPr>
        <w:t>This question assumed that the rate of background screening in men was equivalent to the rate of</w:t>
      </w:r>
      <w:r w:rsidR="001846B6" w:rsidRPr="003C413E">
        <w:rPr>
          <w:rFonts w:ascii="Times New Roman" w:hAnsi="Times New Roman" w:cs="Times New Roman"/>
        </w:rPr>
        <w:t xml:space="preserve"> </w:t>
      </w:r>
      <w:r w:rsidRPr="003C413E">
        <w:rPr>
          <w:rFonts w:ascii="Times New Roman" w:hAnsi="Times New Roman" w:cs="Times New Roman"/>
        </w:rPr>
        <w:t>testing for all</w:t>
      </w:r>
      <w:r w:rsidR="001846B6" w:rsidRPr="003C413E">
        <w:rPr>
          <w:rFonts w:ascii="Times New Roman" w:hAnsi="Times New Roman" w:cs="Times New Roman"/>
        </w:rPr>
        <w:t xml:space="preserve"> </w:t>
      </w:r>
      <w:r w:rsidRPr="003C413E">
        <w:rPr>
          <w:rFonts w:ascii="Times New Roman" w:hAnsi="Times New Roman" w:cs="Times New Roman"/>
        </w:rPr>
        <w:t xml:space="preserve">STIs in men. </w:t>
      </w:r>
    </w:p>
    <w:p w14:paraId="4EA9EBCC" w14:textId="77777777" w:rsidR="0010443B" w:rsidRPr="003C413E" w:rsidRDefault="0010443B" w:rsidP="00D518DC">
      <w:pPr>
        <w:spacing w:line="360" w:lineRule="auto"/>
        <w:ind w:firstLine="720"/>
        <w:rPr>
          <w:rFonts w:ascii="Times New Roman" w:hAnsi="Times New Roman" w:cs="Times New Roman"/>
        </w:rPr>
      </w:pPr>
    </w:p>
    <w:p w14:paraId="428F7AA6" w14:textId="7348A807" w:rsidR="00122CB3" w:rsidRPr="003C413E" w:rsidRDefault="00122CB3" w:rsidP="00A3332C">
      <w:pPr>
        <w:pStyle w:val="Heading3"/>
        <w:jc w:val="center"/>
        <w:rPr>
          <w:rFonts w:ascii="Times New Roman" w:hAnsi="Times New Roman" w:cs="Times New Roman"/>
        </w:rPr>
      </w:pPr>
      <w:bookmarkStart w:id="29" w:name="_Toc113956986"/>
      <w:r w:rsidRPr="003C413E">
        <w:rPr>
          <w:rFonts w:ascii="Times New Roman" w:hAnsi="Times New Roman" w:cs="Times New Roman"/>
          <w:b/>
        </w:rPr>
        <w:lastRenderedPageBreak/>
        <w:t>Table</w:t>
      </w:r>
      <w:r w:rsidR="0040468A" w:rsidRPr="003C413E">
        <w:rPr>
          <w:rFonts w:ascii="Times New Roman" w:hAnsi="Times New Roman" w:cs="Times New Roman"/>
          <w:b/>
        </w:rPr>
        <w:t xml:space="preserve"> S</w:t>
      </w:r>
      <w:r w:rsidR="008A0372" w:rsidRPr="003C413E">
        <w:rPr>
          <w:rFonts w:ascii="Times New Roman" w:hAnsi="Times New Roman" w:cs="Times New Roman"/>
          <w:b/>
        </w:rPr>
        <w:t>7</w:t>
      </w:r>
      <w:r w:rsidRPr="003C413E">
        <w:rPr>
          <w:rFonts w:ascii="Times New Roman" w:hAnsi="Times New Roman" w:cs="Times New Roman"/>
          <w:b/>
        </w:rPr>
        <w:t xml:space="preserve"> </w:t>
      </w:r>
      <w:r w:rsidRPr="003C413E">
        <w:rPr>
          <w:rFonts w:ascii="Times New Roman" w:hAnsi="Times New Roman" w:cs="Times New Roman"/>
          <w:b/>
        </w:rPr>
        <w:fldChar w:fldCharType="begin"/>
      </w:r>
      <w:r w:rsidRPr="003C413E">
        <w:rPr>
          <w:rFonts w:ascii="Times New Roman" w:hAnsi="Times New Roman" w:cs="Times New Roman"/>
          <w:b/>
        </w:rPr>
        <w:instrText>SEQ tab \* Arabic</w:instrText>
      </w:r>
      <w:r w:rsidRPr="003C413E">
        <w:rPr>
          <w:rFonts w:ascii="Times New Roman" w:hAnsi="Times New Roman" w:cs="Times New Roman"/>
          <w:b/>
        </w:rPr>
        <w:fldChar w:fldCharType="end"/>
      </w:r>
      <w:r w:rsidRPr="003C413E">
        <w:rPr>
          <w:rFonts w:ascii="Times New Roman" w:hAnsi="Times New Roman" w:cs="Times New Roman"/>
        </w:rPr>
        <w:t>: Proportion who Screened for STIs</w:t>
      </w:r>
      <w:bookmarkEnd w:id="29"/>
    </w:p>
    <w:tbl>
      <w:tblPr>
        <w:tblStyle w:val="Table"/>
        <w:tblW w:w="0" w:type="auto"/>
        <w:jc w:val="center"/>
        <w:tblInd w:w="0" w:type="dxa"/>
        <w:tblLook w:val="0420" w:firstRow="1" w:lastRow="0" w:firstColumn="0" w:lastColumn="0" w:noHBand="0" w:noVBand="1"/>
      </w:tblPr>
      <w:tblGrid>
        <w:gridCol w:w="665"/>
        <w:gridCol w:w="1900"/>
        <w:gridCol w:w="1900"/>
        <w:gridCol w:w="1900"/>
        <w:gridCol w:w="1900"/>
      </w:tblGrid>
      <w:tr w:rsidR="00122CB3" w:rsidRPr="003C413E" w14:paraId="39F82EE7" w14:textId="77777777" w:rsidTr="00122CB3">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tcBorders>
              <w:top w:val="single" w:sz="18" w:space="0" w:color="666666"/>
              <w:left w:val="nil"/>
              <w:bottom w:val="single" w:sz="8" w:space="0" w:color="666666"/>
              <w:right w:val="nil"/>
            </w:tcBorders>
            <w:shd w:val="clear" w:color="auto" w:fill="FFFFFF"/>
            <w:tcMar>
              <w:top w:w="0" w:type="dxa"/>
              <w:left w:w="0" w:type="dxa"/>
              <w:bottom w:w="0" w:type="dxa"/>
              <w:right w:w="0" w:type="dxa"/>
            </w:tcMar>
            <w:vAlign w:val="center"/>
            <w:hideMark/>
          </w:tcPr>
          <w:p w14:paraId="15610B9F" w14:textId="77777777" w:rsidR="00122CB3" w:rsidRPr="003C413E" w:rsidRDefault="00122CB3">
            <w:pPr>
              <w:spacing w:before="100" w:after="100"/>
              <w:ind w:left="100" w:right="100"/>
              <w:rPr>
                <w:rFonts w:ascii="Times New Roman" w:hAnsi="Times New Roman" w:cs="Times New Roman"/>
              </w:rPr>
            </w:pPr>
            <w:r w:rsidRPr="003C413E">
              <w:rPr>
                <w:rFonts w:ascii="Times New Roman" w:eastAsia="Arial" w:hAnsi="Times New Roman" w:cs="Times New Roman"/>
                <w:b/>
                <w:color w:val="000000"/>
                <w:sz w:val="22"/>
                <w:szCs w:val="22"/>
              </w:rPr>
              <w:t xml:space="preserve"> </w:t>
            </w:r>
          </w:p>
        </w:tc>
        <w:tc>
          <w:tcPr>
            <w:tcW w:w="0" w:type="auto"/>
            <w:gridSpan w:val="2"/>
            <w:tcBorders>
              <w:top w:val="single" w:sz="18" w:space="0" w:color="666666"/>
              <w:left w:val="nil"/>
              <w:bottom w:val="single" w:sz="8" w:space="0" w:color="666666"/>
              <w:right w:val="nil"/>
            </w:tcBorders>
            <w:shd w:val="clear" w:color="auto" w:fill="FFFFFF"/>
            <w:tcMar>
              <w:top w:w="0" w:type="dxa"/>
              <w:left w:w="0" w:type="dxa"/>
              <w:bottom w:w="0" w:type="dxa"/>
              <w:right w:w="0" w:type="dxa"/>
            </w:tcMar>
            <w:vAlign w:val="center"/>
            <w:hideMark/>
          </w:tcPr>
          <w:p w14:paraId="47079A05" w14:textId="77777777" w:rsidR="00122CB3" w:rsidRPr="003C413E" w:rsidRDefault="00122CB3">
            <w:pPr>
              <w:spacing w:before="100" w:after="100"/>
              <w:ind w:left="100" w:right="100"/>
              <w:jc w:val="center"/>
              <w:rPr>
                <w:rFonts w:ascii="Times New Roman" w:hAnsi="Times New Roman" w:cs="Times New Roman"/>
              </w:rPr>
            </w:pPr>
            <w:r w:rsidRPr="003C413E">
              <w:rPr>
                <w:rFonts w:ascii="Times New Roman" w:eastAsia="Arial" w:hAnsi="Times New Roman" w:cs="Times New Roman"/>
                <w:b/>
                <w:color w:val="000000"/>
                <w:sz w:val="22"/>
                <w:szCs w:val="22"/>
              </w:rPr>
              <w:t>Women</w:t>
            </w:r>
          </w:p>
        </w:tc>
        <w:tc>
          <w:tcPr>
            <w:tcW w:w="0" w:type="auto"/>
            <w:gridSpan w:val="2"/>
            <w:tcBorders>
              <w:top w:val="single" w:sz="18" w:space="0" w:color="666666"/>
              <w:left w:val="nil"/>
              <w:bottom w:val="single" w:sz="8" w:space="0" w:color="666666"/>
              <w:right w:val="nil"/>
            </w:tcBorders>
            <w:shd w:val="clear" w:color="auto" w:fill="FFFFFF"/>
            <w:tcMar>
              <w:top w:w="0" w:type="dxa"/>
              <w:left w:w="0" w:type="dxa"/>
              <w:bottom w:w="0" w:type="dxa"/>
              <w:right w:w="0" w:type="dxa"/>
            </w:tcMar>
            <w:vAlign w:val="center"/>
            <w:hideMark/>
          </w:tcPr>
          <w:p w14:paraId="09AC81B2" w14:textId="77777777" w:rsidR="00122CB3" w:rsidRPr="003C413E" w:rsidRDefault="00122CB3">
            <w:pPr>
              <w:spacing w:before="100" w:after="100"/>
              <w:ind w:left="100" w:right="100"/>
              <w:jc w:val="center"/>
              <w:rPr>
                <w:rFonts w:ascii="Times New Roman" w:hAnsi="Times New Roman" w:cs="Times New Roman"/>
              </w:rPr>
            </w:pPr>
            <w:r w:rsidRPr="003C413E">
              <w:rPr>
                <w:rFonts w:ascii="Times New Roman" w:eastAsia="Arial" w:hAnsi="Times New Roman" w:cs="Times New Roman"/>
                <w:b/>
                <w:color w:val="000000"/>
                <w:sz w:val="22"/>
                <w:szCs w:val="22"/>
              </w:rPr>
              <w:t>Men</w:t>
            </w:r>
          </w:p>
        </w:tc>
      </w:tr>
      <w:tr w:rsidR="00122CB3" w:rsidRPr="003C413E" w14:paraId="404421AB" w14:textId="77777777" w:rsidTr="00122CB3">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tcBorders>
              <w:top w:val="single" w:sz="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12C3853" w14:textId="77777777" w:rsidR="00122CB3" w:rsidRPr="003C413E" w:rsidRDefault="00122CB3">
            <w:pPr>
              <w:spacing w:before="100" w:after="100"/>
              <w:ind w:left="100" w:right="100"/>
              <w:rPr>
                <w:rFonts w:ascii="Times New Roman" w:hAnsi="Times New Roman" w:cs="Times New Roman"/>
              </w:rPr>
            </w:pPr>
            <w:r w:rsidRPr="003C413E">
              <w:rPr>
                <w:rFonts w:ascii="Times New Roman" w:eastAsia="Arial" w:hAnsi="Times New Roman" w:cs="Times New Roman"/>
                <w:b/>
                <w:color w:val="000000"/>
                <w:sz w:val="22"/>
                <w:szCs w:val="22"/>
              </w:rPr>
              <w:t>Year</w:t>
            </w:r>
          </w:p>
        </w:tc>
        <w:tc>
          <w:tcPr>
            <w:tcW w:w="0" w:type="auto"/>
            <w:tcBorders>
              <w:top w:val="single" w:sz="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8798AEB" w14:textId="77777777" w:rsidR="00122CB3" w:rsidRPr="003C413E" w:rsidRDefault="00122CB3">
            <w:pPr>
              <w:spacing w:before="100" w:after="100"/>
              <w:ind w:left="100" w:right="100"/>
              <w:rPr>
                <w:rFonts w:ascii="Times New Roman" w:hAnsi="Times New Roman" w:cs="Times New Roman"/>
              </w:rPr>
            </w:pPr>
            <w:r w:rsidRPr="003C413E">
              <w:rPr>
                <w:rFonts w:ascii="Times New Roman" w:eastAsia="Arial" w:hAnsi="Times New Roman" w:cs="Times New Roman"/>
                <w:b/>
                <w:color w:val="000000"/>
                <w:sz w:val="22"/>
                <w:szCs w:val="22"/>
              </w:rPr>
              <w:t>15-24</w:t>
            </w:r>
          </w:p>
        </w:tc>
        <w:tc>
          <w:tcPr>
            <w:tcW w:w="0" w:type="auto"/>
            <w:tcBorders>
              <w:top w:val="single" w:sz="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9D306C8" w14:textId="77777777" w:rsidR="00122CB3" w:rsidRPr="003C413E" w:rsidRDefault="00122CB3">
            <w:pPr>
              <w:spacing w:before="100" w:after="100"/>
              <w:ind w:left="100" w:right="100"/>
              <w:rPr>
                <w:rFonts w:ascii="Times New Roman" w:hAnsi="Times New Roman" w:cs="Times New Roman"/>
              </w:rPr>
            </w:pPr>
            <w:r w:rsidRPr="003C413E">
              <w:rPr>
                <w:rFonts w:ascii="Times New Roman" w:eastAsia="Arial" w:hAnsi="Times New Roman" w:cs="Times New Roman"/>
                <w:b/>
                <w:color w:val="000000"/>
                <w:sz w:val="22"/>
                <w:szCs w:val="22"/>
              </w:rPr>
              <w:t>25-39</w:t>
            </w:r>
          </w:p>
        </w:tc>
        <w:tc>
          <w:tcPr>
            <w:tcW w:w="0" w:type="auto"/>
            <w:tcBorders>
              <w:top w:val="single" w:sz="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FB7E87A" w14:textId="77777777" w:rsidR="00122CB3" w:rsidRPr="003C413E" w:rsidRDefault="00122CB3">
            <w:pPr>
              <w:spacing w:before="100" w:after="100"/>
              <w:ind w:left="100" w:right="100"/>
              <w:rPr>
                <w:rFonts w:ascii="Times New Roman" w:hAnsi="Times New Roman" w:cs="Times New Roman"/>
              </w:rPr>
            </w:pPr>
            <w:r w:rsidRPr="003C413E">
              <w:rPr>
                <w:rFonts w:ascii="Times New Roman" w:eastAsia="Arial" w:hAnsi="Times New Roman" w:cs="Times New Roman"/>
                <w:b/>
                <w:color w:val="000000"/>
                <w:sz w:val="22"/>
                <w:szCs w:val="22"/>
              </w:rPr>
              <w:t>15-24</w:t>
            </w:r>
          </w:p>
        </w:tc>
        <w:tc>
          <w:tcPr>
            <w:tcW w:w="0" w:type="auto"/>
            <w:tcBorders>
              <w:top w:val="single" w:sz="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D5E9342" w14:textId="77777777" w:rsidR="00122CB3" w:rsidRPr="003C413E" w:rsidRDefault="00122CB3">
            <w:pPr>
              <w:spacing w:before="100" w:after="100"/>
              <w:ind w:left="100" w:right="100"/>
              <w:rPr>
                <w:rFonts w:ascii="Times New Roman" w:hAnsi="Times New Roman" w:cs="Times New Roman"/>
              </w:rPr>
            </w:pPr>
            <w:r w:rsidRPr="003C413E">
              <w:rPr>
                <w:rFonts w:ascii="Times New Roman" w:eastAsia="Arial" w:hAnsi="Times New Roman" w:cs="Times New Roman"/>
                <w:b/>
                <w:color w:val="000000"/>
                <w:sz w:val="22"/>
                <w:szCs w:val="22"/>
              </w:rPr>
              <w:t>25-39</w:t>
            </w:r>
          </w:p>
        </w:tc>
      </w:tr>
      <w:tr w:rsidR="00A83BC4" w:rsidRPr="003C413E" w14:paraId="4B94CA0A" w14:textId="77777777" w:rsidTr="00122CB3">
        <w:trPr>
          <w:cantSplit/>
          <w:jc w:val="center"/>
        </w:trPr>
        <w:tc>
          <w:tcPr>
            <w:tcW w:w="0" w:type="auto"/>
            <w:shd w:val="clear" w:color="auto" w:fill="FFFFFF"/>
            <w:tcMar>
              <w:top w:w="0" w:type="dxa"/>
              <w:left w:w="0" w:type="dxa"/>
              <w:bottom w:w="0" w:type="dxa"/>
              <w:right w:w="0" w:type="dxa"/>
            </w:tcMar>
            <w:vAlign w:val="center"/>
            <w:hideMark/>
          </w:tcPr>
          <w:p w14:paraId="10CC7D08" w14:textId="2CAE373F"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2006</w:t>
            </w:r>
          </w:p>
        </w:tc>
        <w:tc>
          <w:tcPr>
            <w:tcW w:w="0" w:type="auto"/>
            <w:shd w:val="clear" w:color="auto" w:fill="FFFFFF"/>
            <w:tcMar>
              <w:top w:w="0" w:type="dxa"/>
              <w:left w:w="0" w:type="dxa"/>
              <w:bottom w:w="0" w:type="dxa"/>
              <w:right w:w="0" w:type="dxa"/>
            </w:tcMar>
            <w:vAlign w:val="center"/>
            <w:hideMark/>
          </w:tcPr>
          <w:p w14:paraId="0FE56291" w14:textId="7B09C01D"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0.256 (0.231 - 0.281)</w:t>
            </w:r>
          </w:p>
        </w:tc>
        <w:tc>
          <w:tcPr>
            <w:tcW w:w="0" w:type="auto"/>
            <w:shd w:val="clear" w:color="auto" w:fill="FFFFFF"/>
            <w:tcMar>
              <w:top w:w="0" w:type="dxa"/>
              <w:left w:w="0" w:type="dxa"/>
              <w:bottom w:w="0" w:type="dxa"/>
              <w:right w:w="0" w:type="dxa"/>
            </w:tcMar>
            <w:vAlign w:val="center"/>
            <w:hideMark/>
          </w:tcPr>
          <w:p w14:paraId="6E03132A" w14:textId="0FCB898C"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0.201 (0.18 - 0.221)</w:t>
            </w:r>
          </w:p>
        </w:tc>
        <w:tc>
          <w:tcPr>
            <w:tcW w:w="0" w:type="auto"/>
            <w:shd w:val="clear" w:color="auto" w:fill="FFFFFF"/>
            <w:tcMar>
              <w:top w:w="0" w:type="dxa"/>
              <w:left w:w="0" w:type="dxa"/>
              <w:bottom w:w="0" w:type="dxa"/>
              <w:right w:w="0" w:type="dxa"/>
            </w:tcMar>
            <w:vAlign w:val="center"/>
            <w:hideMark/>
          </w:tcPr>
          <w:p w14:paraId="07031ED5" w14:textId="59458E98"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0.147 (0.124 - 0.17)</w:t>
            </w:r>
          </w:p>
        </w:tc>
        <w:tc>
          <w:tcPr>
            <w:tcW w:w="0" w:type="auto"/>
            <w:shd w:val="clear" w:color="auto" w:fill="FFFFFF"/>
            <w:tcMar>
              <w:top w:w="0" w:type="dxa"/>
              <w:left w:w="0" w:type="dxa"/>
              <w:bottom w:w="0" w:type="dxa"/>
              <w:right w:w="0" w:type="dxa"/>
            </w:tcMar>
            <w:vAlign w:val="center"/>
            <w:hideMark/>
          </w:tcPr>
          <w:p w14:paraId="1DC28C80" w14:textId="23E8F12B"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0.155 (0.134 - 0.177)</w:t>
            </w:r>
          </w:p>
        </w:tc>
      </w:tr>
      <w:tr w:rsidR="00A83BC4" w:rsidRPr="003C413E" w14:paraId="28E9F86B" w14:textId="77777777" w:rsidTr="00122CB3">
        <w:trPr>
          <w:cantSplit/>
          <w:jc w:val="center"/>
        </w:trPr>
        <w:tc>
          <w:tcPr>
            <w:tcW w:w="0" w:type="auto"/>
            <w:shd w:val="clear" w:color="auto" w:fill="FFFFFF"/>
            <w:tcMar>
              <w:top w:w="0" w:type="dxa"/>
              <w:left w:w="0" w:type="dxa"/>
              <w:bottom w:w="0" w:type="dxa"/>
              <w:right w:w="0" w:type="dxa"/>
            </w:tcMar>
            <w:vAlign w:val="center"/>
            <w:hideMark/>
          </w:tcPr>
          <w:p w14:paraId="2617BCAC" w14:textId="445ACEFC"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2007</w:t>
            </w:r>
          </w:p>
        </w:tc>
        <w:tc>
          <w:tcPr>
            <w:tcW w:w="0" w:type="auto"/>
            <w:shd w:val="clear" w:color="auto" w:fill="FFFFFF"/>
            <w:tcMar>
              <w:top w:w="0" w:type="dxa"/>
              <w:left w:w="0" w:type="dxa"/>
              <w:bottom w:w="0" w:type="dxa"/>
              <w:right w:w="0" w:type="dxa"/>
            </w:tcMar>
            <w:vAlign w:val="center"/>
            <w:hideMark/>
          </w:tcPr>
          <w:p w14:paraId="77ADE08E" w14:textId="6867C08A"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0.256 (0.231 - 0.281)</w:t>
            </w:r>
          </w:p>
        </w:tc>
        <w:tc>
          <w:tcPr>
            <w:tcW w:w="0" w:type="auto"/>
            <w:shd w:val="clear" w:color="auto" w:fill="FFFFFF"/>
            <w:tcMar>
              <w:top w:w="0" w:type="dxa"/>
              <w:left w:w="0" w:type="dxa"/>
              <w:bottom w:w="0" w:type="dxa"/>
              <w:right w:w="0" w:type="dxa"/>
            </w:tcMar>
            <w:vAlign w:val="center"/>
            <w:hideMark/>
          </w:tcPr>
          <w:p w14:paraId="648CB220" w14:textId="443AFAA3"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0.201 (0.18 - 0.221)</w:t>
            </w:r>
          </w:p>
        </w:tc>
        <w:tc>
          <w:tcPr>
            <w:tcW w:w="0" w:type="auto"/>
            <w:shd w:val="clear" w:color="auto" w:fill="FFFFFF"/>
            <w:tcMar>
              <w:top w:w="0" w:type="dxa"/>
              <w:left w:w="0" w:type="dxa"/>
              <w:bottom w:w="0" w:type="dxa"/>
              <w:right w:w="0" w:type="dxa"/>
            </w:tcMar>
            <w:vAlign w:val="center"/>
            <w:hideMark/>
          </w:tcPr>
          <w:p w14:paraId="049A7049" w14:textId="20E1D855"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0.147 (0.124 - 0.17)</w:t>
            </w:r>
          </w:p>
        </w:tc>
        <w:tc>
          <w:tcPr>
            <w:tcW w:w="0" w:type="auto"/>
            <w:shd w:val="clear" w:color="auto" w:fill="FFFFFF"/>
            <w:tcMar>
              <w:top w:w="0" w:type="dxa"/>
              <w:left w:w="0" w:type="dxa"/>
              <w:bottom w:w="0" w:type="dxa"/>
              <w:right w:w="0" w:type="dxa"/>
            </w:tcMar>
            <w:vAlign w:val="center"/>
            <w:hideMark/>
          </w:tcPr>
          <w:p w14:paraId="33D26142" w14:textId="720D2258"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0.155 (0.134 - 0.177)</w:t>
            </w:r>
          </w:p>
        </w:tc>
      </w:tr>
      <w:tr w:rsidR="00A83BC4" w:rsidRPr="003C413E" w14:paraId="3E7351B7" w14:textId="77777777" w:rsidTr="00122CB3">
        <w:trPr>
          <w:cantSplit/>
          <w:jc w:val="center"/>
        </w:trPr>
        <w:tc>
          <w:tcPr>
            <w:tcW w:w="0" w:type="auto"/>
            <w:shd w:val="clear" w:color="auto" w:fill="FFFFFF"/>
            <w:tcMar>
              <w:top w:w="0" w:type="dxa"/>
              <w:left w:w="0" w:type="dxa"/>
              <w:bottom w:w="0" w:type="dxa"/>
              <w:right w:w="0" w:type="dxa"/>
            </w:tcMar>
            <w:vAlign w:val="center"/>
            <w:hideMark/>
          </w:tcPr>
          <w:p w14:paraId="32EBF9BD" w14:textId="738DC6D0"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2008</w:t>
            </w:r>
          </w:p>
        </w:tc>
        <w:tc>
          <w:tcPr>
            <w:tcW w:w="0" w:type="auto"/>
            <w:shd w:val="clear" w:color="auto" w:fill="FFFFFF"/>
            <w:tcMar>
              <w:top w:w="0" w:type="dxa"/>
              <w:left w:w="0" w:type="dxa"/>
              <w:bottom w:w="0" w:type="dxa"/>
              <w:right w:w="0" w:type="dxa"/>
            </w:tcMar>
            <w:vAlign w:val="center"/>
            <w:hideMark/>
          </w:tcPr>
          <w:p w14:paraId="21D88B79" w14:textId="289A8001"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0.275 (0.248 - 0.302)</w:t>
            </w:r>
          </w:p>
        </w:tc>
        <w:tc>
          <w:tcPr>
            <w:tcW w:w="0" w:type="auto"/>
            <w:shd w:val="clear" w:color="auto" w:fill="FFFFFF"/>
            <w:tcMar>
              <w:top w:w="0" w:type="dxa"/>
              <w:left w:w="0" w:type="dxa"/>
              <w:bottom w:w="0" w:type="dxa"/>
              <w:right w:w="0" w:type="dxa"/>
            </w:tcMar>
            <w:vAlign w:val="center"/>
            <w:hideMark/>
          </w:tcPr>
          <w:p w14:paraId="0B6B6332" w14:textId="4A2CAFA5"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0.212 (0.192 - 0.233)</w:t>
            </w:r>
          </w:p>
        </w:tc>
        <w:tc>
          <w:tcPr>
            <w:tcW w:w="0" w:type="auto"/>
            <w:shd w:val="clear" w:color="auto" w:fill="FFFFFF"/>
            <w:tcMar>
              <w:top w:w="0" w:type="dxa"/>
              <w:left w:w="0" w:type="dxa"/>
              <w:bottom w:w="0" w:type="dxa"/>
              <w:right w:w="0" w:type="dxa"/>
            </w:tcMar>
            <w:vAlign w:val="center"/>
            <w:hideMark/>
          </w:tcPr>
          <w:p w14:paraId="31C93E85" w14:textId="59559C86"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0.16 (0.136 - 0.183)</w:t>
            </w:r>
          </w:p>
        </w:tc>
        <w:tc>
          <w:tcPr>
            <w:tcW w:w="0" w:type="auto"/>
            <w:shd w:val="clear" w:color="auto" w:fill="FFFFFF"/>
            <w:tcMar>
              <w:top w:w="0" w:type="dxa"/>
              <w:left w:w="0" w:type="dxa"/>
              <w:bottom w:w="0" w:type="dxa"/>
              <w:right w:w="0" w:type="dxa"/>
            </w:tcMar>
            <w:vAlign w:val="center"/>
            <w:hideMark/>
          </w:tcPr>
          <w:p w14:paraId="1070477D" w14:textId="1530991B"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0.156 (0.135 - 0.176)</w:t>
            </w:r>
          </w:p>
        </w:tc>
      </w:tr>
      <w:tr w:rsidR="00A83BC4" w:rsidRPr="003C413E" w14:paraId="3ED1D088" w14:textId="77777777" w:rsidTr="00122CB3">
        <w:trPr>
          <w:cantSplit/>
          <w:jc w:val="center"/>
        </w:trPr>
        <w:tc>
          <w:tcPr>
            <w:tcW w:w="0" w:type="auto"/>
            <w:shd w:val="clear" w:color="auto" w:fill="FFFFFF"/>
            <w:tcMar>
              <w:top w:w="0" w:type="dxa"/>
              <w:left w:w="0" w:type="dxa"/>
              <w:bottom w:w="0" w:type="dxa"/>
              <w:right w:w="0" w:type="dxa"/>
            </w:tcMar>
            <w:vAlign w:val="center"/>
            <w:hideMark/>
          </w:tcPr>
          <w:p w14:paraId="6912A202" w14:textId="170BED0C"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2009</w:t>
            </w:r>
          </w:p>
        </w:tc>
        <w:tc>
          <w:tcPr>
            <w:tcW w:w="0" w:type="auto"/>
            <w:shd w:val="clear" w:color="auto" w:fill="FFFFFF"/>
            <w:tcMar>
              <w:top w:w="0" w:type="dxa"/>
              <w:left w:w="0" w:type="dxa"/>
              <w:bottom w:w="0" w:type="dxa"/>
              <w:right w:w="0" w:type="dxa"/>
            </w:tcMar>
            <w:vAlign w:val="center"/>
            <w:hideMark/>
          </w:tcPr>
          <w:p w14:paraId="0ADE2057" w14:textId="538C4E47"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0.294 (0.266 - 0.322)</w:t>
            </w:r>
          </w:p>
        </w:tc>
        <w:tc>
          <w:tcPr>
            <w:tcW w:w="0" w:type="auto"/>
            <w:shd w:val="clear" w:color="auto" w:fill="FFFFFF"/>
            <w:tcMar>
              <w:top w:w="0" w:type="dxa"/>
              <w:left w:w="0" w:type="dxa"/>
              <w:bottom w:w="0" w:type="dxa"/>
              <w:right w:w="0" w:type="dxa"/>
            </w:tcMar>
            <w:vAlign w:val="center"/>
            <w:hideMark/>
          </w:tcPr>
          <w:p w14:paraId="068B5584" w14:textId="52D7BE8B"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0.223 (0.203 - 0.244)</w:t>
            </w:r>
          </w:p>
        </w:tc>
        <w:tc>
          <w:tcPr>
            <w:tcW w:w="0" w:type="auto"/>
            <w:shd w:val="clear" w:color="auto" w:fill="FFFFFF"/>
            <w:tcMar>
              <w:top w:w="0" w:type="dxa"/>
              <w:left w:w="0" w:type="dxa"/>
              <w:bottom w:w="0" w:type="dxa"/>
              <w:right w:w="0" w:type="dxa"/>
            </w:tcMar>
            <w:vAlign w:val="center"/>
            <w:hideMark/>
          </w:tcPr>
          <w:p w14:paraId="2A5C6D5D" w14:textId="0E40D179"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0.172 (0.148 - 0.196)</w:t>
            </w:r>
          </w:p>
        </w:tc>
        <w:tc>
          <w:tcPr>
            <w:tcW w:w="0" w:type="auto"/>
            <w:shd w:val="clear" w:color="auto" w:fill="FFFFFF"/>
            <w:tcMar>
              <w:top w:w="0" w:type="dxa"/>
              <w:left w:w="0" w:type="dxa"/>
              <w:bottom w:w="0" w:type="dxa"/>
              <w:right w:w="0" w:type="dxa"/>
            </w:tcMar>
            <w:vAlign w:val="center"/>
            <w:hideMark/>
          </w:tcPr>
          <w:p w14:paraId="36DC5C68" w14:textId="046A7F21"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0.156 (0.136 - 0.176)</w:t>
            </w:r>
          </w:p>
        </w:tc>
      </w:tr>
      <w:tr w:rsidR="00A83BC4" w:rsidRPr="003C413E" w14:paraId="765E93E9" w14:textId="77777777" w:rsidTr="00122CB3">
        <w:trPr>
          <w:cantSplit/>
          <w:jc w:val="center"/>
        </w:trPr>
        <w:tc>
          <w:tcPr>
            <w:tcW w:w="0" w:type="auto"/>
            <w:shd w:val="clear" w:color="auto" w:fill="FFFFFF"/>
            <w:tcMar>
              <w:top w:w="0" w:type="dxa"/>
              <w:left w:w="0" w:type="dxa"/>
              <w:bottom w:w="0" w:type="dxa"/>
              <w:right w:w="0" w:type="dxa"/>
            </w:tcMar>
            <w:vAlign w:val="center"/>
            <w:hideMark/>
          </w:tcPr>
          <w:p w14:paraId="1239C794" w14:textId="654CC716"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2010</w:t>
            </w:r>
          </w:p>
        </w:tc>
        <w:tc>
          <w:tcPr>
            <w:tcW w:w="0" w:type="auto"/>
            <w:shd w:val="clear" w:color="auto" w:fill="FFFFFF"/>
            <w:tcMar>
              <w:top w:w="0" w:type="dxa"/>
              <w:left w:w="0" w:type="dxa"/>
              <w:bottom w:w="0" w:type="dxa"/>
              <w:right w:w="0" w:type="dxa"/>
            </w:tcMar>
            <w:vAlign w:val="center"/>
            <w:hideMark/>
          </w:tcPr>
          <w:p w14:paraId="4DAA27E5" w14:textId="072B8803"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0.294 (0.266 - 0.322)</w:t>
            </w:r>
          </w:p>
        </w:tc>
        <w:tc>
          <w:tcPr>
            <w:tcW w:w="0" w:type="auto"/>
            <w:shd w:val="clear" w:color="auto" w:fill="FFFFFF"/>
            <w:tcMar>
              <w:top w:w="0" w:type="dxa"/>
              <w:left w:w="0" w:type="dxa"/>
              <w:bottom w:w="0" w:type="dxa"/>
              <w:right w:w="0" w:type="dxa"/>
            </w:tcMar>
            <w:vAlign w:val="center"/>
            <w:hideMark/>
          </w:tcPr>
          <w:p w14:paraId="13C95FB3" w14:textId="1DFB0FAC"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0.223 (0.203 - 0.244)</w:t>
            </w:r>
          </w:p>
        </w:tc>
        <w:tc>
          <w:tcPr>
            <w:tcW w:w="0" w:type="auto"/>
            <w:shd w:val="clear" w:color="auto" w:fill="FFFFFF"/>
            <w:tcMar>
              <w:top w:w="0" w:type="dxa"/>
              <w:left w:w="0" w:type="dxa"/>
              <w:bottom w:w="0" w:type="dxa"/>
              <w:right w:w="0" w:type="dxa"/>
            </w:tcMar>
            <w:vAlign w:val="center"/>
            <w:hideMark/>
          </w:tcPr>
          <w:p w14:paraId="2F6911E5" w14:textId="43A1078C"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0.172 (0.148 - 0.196)</w:t>
            </w:r>
          </w:p>
        </w:tc>
        <w:tc>
          <w:tcPr>
            <w:tcW w:w="0" w:type="auto"/>
            <w:shd w:val="clear" w:color="auto" w:fill="FFFFFF"/>
            <w:tcMar>
              <w:top w:w="0" w:type="dxa"/>
              <w:left w:w="0" w:type="dxa"/>
              <w:bottom w:w="0" w:type="dxa"/>
              <w:right w:w="0" w:type="dxa"/>
            </w:tcMar>
            <w:vAlign w:val="center"/>
            <w:hideMark/>
          </w:tcPr>
          <w:p w14:paraId="6CE05D0C" w14:textId="310481E1"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0.156 (0.136 - 0.176)</w:t>
            </w:r>
          </w:p>
        </w:tc>
      </w:tr>
      <w:tr w:rsidR="00A83BC4" w:rsidRPr="003C413E" w14:paraId="43A33A30" w14:textId="77777777" w:rsidTr="00A83BC4">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55D49E8" w14:textId="743D0B38"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2011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6E9114B" w14:textId="25EEC483"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0.26 (0.231 - 0.288)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6490CB7" w14:textId="0FC8A9A2"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0.264 (0.241 - 0.288)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B79913D" w14:textId="15324879"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0.166 (0.144 - 0.188)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1C592F2" w14:textId="08C74C81" w:rsidR="00A83BC4" w:rsidRPr="003C413E" w:rsidRDefault="00A83BC4" w:rsidP="00A83BC4">
            <w:pPr>
              <w:spacing w:before="100" w:after="100"/>
              <w:ind w:left="100" w:right="100"/>
              <w:rPr>
                <w:rFonts w:ascii="Times New Roman" w:hAnsi="Times New Roman" w:cs="Times New Roman"/>
                <w:sz w:val="20"/>
                <w:szCs w:val="20"/>
              </w:rPr>
            </w:pPr>
            <w:r w:rsidRPr="003C413E">
              <w:rPr>
                <w:rFonts w:ascii="Times New Roman" w:eastAsia="Arial" w:hAnsi="Times New Roman" w:cs="Times New Roman"/>
                <w:color w:val="000000"/>
                <w:sz w:val="20"/>
                <w:szCs w:val="20"/>
              </w:rPr>
              <w:t>0.172 (0.15 - 0.194)</w:t>
            </w:r>
          </w:p>
        </w:tc>
      </w:tr>
      <w:tr w:rsidR="00A83BC4" w:rsidRPr="003C413E" w14:paraId="0DA8FB3F" w14:textId="77777777" w:rsidTr="00A83BC4">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3EBD9F38" w14:textId="60CE9906"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2012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B920D06" w14:textId="70D162CE"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0.26 (0.231 - 0.288)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D0A654F" w14:textId="2BC85AB2"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0.264 (0.241 - 0.288)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2DD8881" w14:textId="404C1AD5"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0.166 (0.144 - 0.188)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7CA79A1" w14:textId="42AE31C0"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0.172 (0.15 - 0.194)</w:t>
            </w:r>
          </w:p>
        </w:tc>
      </w:tr>
      <w:tr w:rsidR="00A83BC4" w:rsidRPr="003C413E" w14:paraId="2910FA51" w14:textId="77777777" w:rsidTr="00A83BC4">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32C3C0E" w14:textId="2FB75A75"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2013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308ADEA" w14:textId="28160DD3"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0.271 (0.243 - 0.3)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F04D921" w14:textId="711D30E4"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0.273 (0.249 - 0.296)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80A88D9" w14:textId="07E9817C"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0.153 (0.131 - 0.175)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730E012" w14:textId="24191FD5"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0.17 (0.149 - 0.192)</w:t>
            </w:r>
          </w:p>
        </w:tc>
      </w:tr>
      <w:tr w:rsidR="00A83BC4" w:rsidRPr="003C413E" w14:paraId="34C4C41A" w14:textId="77777777" w:rsidTr="00A83BC4">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371D1B9A" w14:textId="72E6E12D"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2014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2B8BC7B" w14:textId="1E598166"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0.283 (0.255 - 0.311)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423BD36" w14:textId="6AC5D7E1"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0.281 (0.258 - 0.304)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A1E8447" w14:textId="42F7CAEC"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0.141 (0.119 - 0.162)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FC57274" w14:textId="3730A710"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0.169 (0.147 - 0.19)</w:t>
            </w:r>
          </w:p>
        </w:tc>
      </w:tr>
      <w:tr w:rsidR="00A83BC4" w:rsidRPr="003C413E" w14:paraId="57BA85EA" w14:textId="77777777" w:rsidTr="00A83BC4">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26C7CDE6" w14:textId="6085D6CB"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2015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A32AB13" w14:textId="098E1C9D"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0.278 (0.247 - 0.309)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4D9CC6B" w14:textId="2BEC77F9"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0.296 (0.271 - 0.322)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28420E1" w14:textId="29C34321"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0.142 (0.118 - 0.167)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1EE22D0" w14:textId="42F32141"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0.173 (0.149 - 0.196)</w:t>
            </w:r>
          </w:p>
        </w:tc>
      </w:tr>
      <w:tr w:rsidR="00A83BC4" w:rsidRPr="003C413E" w14:paraId="129F5371" w14:textId="77777777" w:rsidTr="00A83BC4">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608B96F" w14:textId="044F9368"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2016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7BEC579" w14:textId="7BD6B99F"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0.273 (0.24 - 0.307)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CAA7DF5" w14:textId="779BF57B"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0.311 (0.284 - 0.339)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3AF1964" w14:textId="35255F1A"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0.144 (0.117 - 0.171)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F6DCEB1" w14:textId="75BE462D"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0.176 (0.151 - 0.201)</w:t>
            </w:r>
          </w:p>
        </w:tc>
      </w:tr>
      <w:tr w:rsidR="00A83BC4" w:rsidRPr="003C413E" w14:paraId="7623E870" w14:textId="77777777" w:rsidTr="00A83BC4">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47D60841" w14:textId="1F973578"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2017</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07855E" w14:textId="06EAFFA9"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0.261 (0.23 - 0.293)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0946C99" w14:textId="005E9951"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0.299 (0.274 - 0.325)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916F064" w14:textId="482C5E44"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0.139 (0.114 - 0.164)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010F8C2" w14:textId="69292620"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0.162 (0.14 - 0.184)</w:t>
            </w:r>
          </w:p>
        </w:tc>
      </w:tr>
      <w:tr w:rsidR="00A83BC4" w:rsidRPr="003C413E" w14:paraId="61B68D61" w14:textId="77777777" w:rsidTr="00122CB3">
        <w:trPr>
          <w:cantSplit/>
          <w:jc w:val="center"/>
        </w:trPr>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tcPr>
          <w:p w14:paraId="2EEC99ED" w14:textId="6AA89687"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2018</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tcPr>
          <w:p w14:paraId="45D9E680" w14:textId="60A3B160"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0.249 (0.22 - 0.279)</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tcPr>
          <w:p w14:paraId="536C8854" w14:textId="02D8A524"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0.287 (0.264 - 0.311)</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tcPr>
          <w:p w14:paraId="05B6D177" w14:textId="4C4413D2"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0.134 (0.111 - 0.157)</w:t>
            </w:r>
          </w:p>
        </w:tc>
        <w:tc>
          <w:tcPr>
            <w:tcW w:w="0" w:type="auto"/>
            <w:tcBorders>
              <w:top w:val="nil"/>
              <w:left w:val="nil"/>
              <w:bottom w:val="single" w:sz="18" w:space="0" w:color="666666"/>
              <w:right w:val="nil"/>
            </w:tcBorders>
            <w:shd w:val="clear" w:color="auto" w:fill="FFFFFF"/>
            <w:tcMar>
              <w:top w:w="0" w:type="dxa"/>
              <w:left w:w="0" w:type="dxa"/>
              <w:bottom w:w="0" w:type="dxa"/>
              <w:right w:w="0" w:type="dxa"/>
            </w:tcMar>
            <w:vAlign w:val="center"/>
          </w:tcPr>
          <w:p w14:paraId="518E78A1" w14:textId="6AB92C8A" w:rsidR="00A83BC4" w:rsidRPr="003C413E" w:rsidRDefault="00A83BC4" w:rsidP="00A83BC4">
            <w:pPr>
              <w:spacing w:before="100" w:after="100"/>
              <w:ind w:left="100" w:right="100"/>
              <w:rPr>
                <w:rFonts w:ascii="Times New Roman" w:eastAsia="Arial" w:hAnsi="Times New Roman" w:cs="Times New Roman"/>
                <w:color w:val="000000"/>
                <w:sz w:val="20"/>
                <w:szCs w:val="20"/>
              </w:rPr>
            </w:pPr>
            <w:r w:rsidRPr="003C413E">
              <w:rPr>
                <w:rFonts w:ascii="Times New Roman" w:eastAsia="Arial" w:hAnsi="Times New Roman" w:cs="Times New Roman"/>
                <w:color w:val="000000"/>
                <w:sz w:val="20"/>
                <w:szCs w:val="20"/>
              </w:rPr>
              <w:t>0.148 (0.13 - 0.166)</w:t>
            </w:r>
          </w:p>
        </w:tc>
      </w:tr>
    </w:tbl>
    <w:p w14:paraId="34036AA2" w14:textId="77777777" w:rsidR="00DF0DDD" w:rsidRPr="003C413E" w:rsidRDefault="00DF0DDD" w:rsidP="001718E7">
      <w:pPr>
        <w:rPr>
          <w:rFonts w:ascii="Times New Roman" w:hAnsi="Times New Roman" w:cs="Times New Roman"/>
          <w:b/>
          <w:bCs/>
        </w:rPr>
      </w:pPr>
    </w:p>
    <w:p w14:paraId="7A731F50" w14:textId="77777777" w:rsidR="00613DB0" w:rsidRPr="003C413E" w:rsidRDefault="00613DB0" w:rsidP="001718E7">
      <w:pPr>
        <w:rPr>
          <w:rFonts w:ascii="Times New Roman" w:hAnsi="Times New Roman" w:cs="Times New Roman"/>
          <w:b/>
          <w:bCs/>
        </w:rPr>
      </w:pPr>
    </w:p>
    <w:p w14:paraId="7AA3909B" w14:textId="5403E20A" w:rsidR="001718E7" w:rsidRPr="003C413E" w:rsidRDefault="001718E7" w:rsidP="00A1269F">
      <w:pPr>
        <w:pStyle w:val="Heading2"/>
        <w:spacing w:line="360" w:lineRule="auto"/>
        <w:rPr>
          <w:rFonts w:ascii="Times New Roman" w:hAnsi="Times New Roman" w:cs="Times New Roman"/>
        </w:rPr>
      </w:pPr>
      <w:bookmarkStart w:id="30" w:name="_Toc113956987"/>
      <w:r w:rsidRPr="003C413E">
        <w:rPr>
          <w:rFonts w:ascii="Times New Roman" w:hAnsi="Times New Roman" w:cs="Times New Roman"/>
        </w:rPr>
        <w:t>Rate</w:t>
      </w:r>
      <w:r w:rsidR="00040B46" w:rsidRPr="003C413E">
        <w:rPr>
          <w:rFonts w:ascii="Times New Roman" w:hAnsi="Times New Roman" w:cs="Times New Roman"/>
        </w:rPr>
        <w:t xml:space="preserve"> </w:t>
      </w:r>
      <w:r w:rsidRPr="003C413E">
        <w:rPr>
          <w:rFonts w:ascii="Times New Roman" w:hAnsi="Times New Roman" w:cs="Times New Roman"/>
        </w:rPr>
        <w:t>of</w:t>
      </w:r>
      <w:r w:rsidR="00040B46" w:rsidRPr="003C413E">
        <w:rPr>
          <w:rFonts w:ascii="Times New Roman" w:hAnsi="Times New Roman" w:cs="Times New Roman"/>
        </w:rPr>
        <w:t xml:space="preserve"> </w:t>
      </w:r>
      <w:r w:rsidRPr="003C413E">
        <w:rPr>
          <w:rFonts w:ascii="Times New Roman" w:hAnsi="Times New Roman" w:cs="Times New Roman"/>
        </w:rPr>
        <w:t>Natural</w:t>
      </w:r>
      <w:r w:rsidR="00040B46" w:rsidRPr="003C413E">
        <w:rPr>
          <w:rFonts w:ascii="Times New Roman" w:hAnsi="Times New Roman" w:cs="Times New Roman"/>
        </w:rPr>
        <w:t xml:space="preserve"> </w:t>
      </w:r>
      <w:r w:rsidRPr="003C413E">
        <w:rPr>
          <w:rFonts w:ascii="Times New Roman" w:hAnsi="Times New Roman" w:cs="Times New Roman"/>
        </w:rPr>
        <w:t>Clearance</w:t>
      </w:r>
      <w:r w:rsidR="00040B46" w:rsidRPr="003C413E">
        <w:rPr>
          <w:rFonts w:ascii="Times New Roman" w:hAnsi="Times New Roman" w:cs="Times New Roman"/>
        </w:rPr>
        <w:t xml:space="preserve"> </w:t>
      </w:r>
      <w:r w:rsidRPr="003C413E">
        <w:rPr>
          <w:rFonts w:ascii="Times New Roman" w:hAnsi="Times New Roman" w:cs="Times New Roman"/>
        </w:rPr>
        <w:t>(ψ)</w:t>
      </w:r>
      <w:bookmarkEnd w:id="30"/>
      <w:r w:rsidRPr="003C413E">
        <w:rPr>
          <w:rFonts w:ascii="Times New Roman" w:hAnsi="Times New Roman" w:cs="Times New Roman"/>
        </w:rPr>
        <w:t xml:space="preserve"> </w:t>
      </w:r>
    </w:p>
    <w:p w14:paraId="45F35452" w14:textId="65333FD1" w:rsidR="001718E7" w:rsidRPr="003C413E" w:rsidRDefault="001718E7" w:rsidP="00D518DC">
      <w:pPr>
        <w:spacing w:line="360" w:lineRule="auto"/>
        <w:ind w:firstLine="720"/>
        <w:rPr>
          <w:rFonts w:ascii="Times New Roman" w:hAnsi="Times New Roman" w:cs="Times New Roman"/>
        </w:rPr>
      </w:pPr>
      <w:r w:rsidRPr="003C413E">
        <w:rPr>
          <w:rFonts w:ascii="Times New Roman" w:hAnsi="Times New Roman" w:cs="Times New Roman"/>
        </w:rPr>
        <w:t xml:space="preserve">Informed by data from the literature, we calculated the rate of natural clearance of gonorrhea among untreated infected people as: # of people who cleared their infection without treatment </w:t>
      </w:r>
      <w:r w:rsidR="00040B46" w:rsidRPr="003C413E">
        <w:rPr>
          <w:rFonts w:ascii="Times New Roman" w:hAnsi="Times New Roman" w:cs="Times New Roman"/>
        </w:rPr>
        <w:t xml:space="preserve">/ </w:t>
      </w:r>
      <w:r w:rsidR="00AF6B2B">
        <w:rPr>
          <w:rFonts w:ascii="Times New Roman" w:hAnsi="Times New Roman" w:cs="Times New Roman"/>
        </w:rPr>
        <w:t>t</w:t>
      </w:r>
      <w:r w:rsidRPr="003C413E">
        <w:rPr>
          <w:rFonts w:ascii="Times New Roman" w:hAnsi="Times New Roman" w:cs="Times New Roman"/>
        </w:rPr>
        <w:t>otal</w:t>
      </w:r>
      <w:r w:rsidR="00040B46" w:rsidRPr="003C413E">
        <w:rPr>
          <w:rFonts w:ascii="Times New Roman" w:hAnsi="Times New Roman" w:cs="Times New Roman"/>
        </w:rPr>
        <w:t xml:space="preserve"> </w:t>
      </w:r>
      <w:r w:rsidRPr="003C413E">
        <w:rPr>
          <w:rFonts w:ascii="Times New Roman" w:hAnsi="Times New Roman" w:cs="Times New Roman"/>
        </w:rPr>
        <w:t>person-time contributed until clearance occurred</w:t>
      </w:r>
      <w:r w:rsidR="00040B46" w:rsidRPr="003C413E">
        <w:rPr>
          <w:rFonts w:ascii="Times New Roman" w:hAnsi="Times New Roman" w:cs="Times New Roman"/>
        </w:rPr>
        <w:t xml:space="preserve">. </w:t>
      </w:r>
      <w:r w:rsidRPr="003C413E">
        <w:rPr>
          <w:rFonts w:ascii="Times New Roman" w:hAnsi="Times New Roman" w:cs="Times New Roman"/>
        </w:rPr>
        <w:t>For gonorrhea in women, data were based on NAATs and only</w:t>
      </w:r>
      <w:r w:rsidR="00040B46" w:rsidRPr="003C413E">
        <w:rPr>
          <w:rFonts w:ascii="Times New Roman" w:hAnsi="Times New Roman" w:cs="Times New Roman"/>
        </w:rPr>
        <w:t xml:space="preserve"> </w:t>
      </w:r>
      <w:r w:rsidRPr="003C413E">
        <w:rPr>
          <w:rFonts w:ascii="Times New Roman" w:hAnsi="Times New Roman" w:cs="Times New Roman"/>
        </w:rPr>
        <w:t>included a</w:t>
      </w:r>
      <w:r w:rsidR="00040B46" w:rsidRPr="003C413E">
        <w:rPr>
          <w:rFonts w:ascii="Times New Roman" w:hAnsi="Times New Roman" w:cs="Times New Roman"/>
        </w:rPr>
        <w:t xml:space="preserve"> </w:t>
      </w:r>
      <w:r w:rsidRPr="003C413E">
        <w:rPr>
          <w:rFonts w:ascii="Times New Roman" w:hAnsi="Times New Roman" w:cs="Times New Roman"/>
        </w:rPr>
        <w:t>sample of 16 women with a</w:t>
      </w:r>
      <w:r w:rsidR="00040B46" w:rsidRPr="003C413E">
        <w:rPr>
          <w:rFonts w:ascii="Times New Roman" w:hAnsi="Times New Roman" w:cs="Times New Roman"/>
        </w:rPr>
        <w:t xml:space="preserve"> </w:t>
      </w:r>
      <w:r w:rsidRPr="003C413E">
        <w:rPr>
          <w:rFonts w:ascii="Times New Roman" w:hAnsi="Times New Roman" w:cs="Times New Roman"/>
        </w:rPr>
        <w:t>total person</w:t>
      </w:r>
      <w:r w:rsidR="00CF33CA" w:rsidRPr="003C413E">
        <w:rPr>
          <w:rFonts w:ascii="Times New Roman" w:hAnsi="Times New Roman" w:cs="Times New Roman"/>
        </w:rPr>
        <w:t>-</w:t>
      </w:r>
      <w:r w:rsidRPr="003C413E">
        <w:rPr>
          <w:rFonts w:ascii="Times New Roman" w:hAnsi="Times New Roman" w:cs="Times New Roman"/>
        </w:rPr>
        <w:t>time of 1.26</w:t>
      </w:r>
      <w:r w:rsidR="00040B46" w:rsidRPr="003C413E">
        <w:rPr>
          <w:rFonts w:ascii="Times New Roman" w:hAnsi="Times New Roman" w:cs="Times New Roman"/>
        </w:rPr>
        <w:t xml:space="preserve"> </w:t>
      </w:r>
      <w:r w:rsidRPr="003C413E">
        <w:rPr>
          <w:rFonts w:ascii="Times New Roman" w:hAnsi="Times New Roman" w:cs="Times New Roman"/>
        </w:rPr>
        <w:t>person-years</w:t>
      </w:r>
      <w:r w:rsidR="00DF677E" w:rsidRPr="003C413E">
        <w:rPr>
          <w:rFonts w:ascii="Times New Roman" w:hAnsi="Times New Roman" w:cs="Times New Roman"/>
        </w:rPr>
        <w:t xml:space="preserve"> </w:t>
      </w:r>
      <w:r w:rsidRPr="003C413E">
        <w:rPr>
          <w:rFonts w:ascii="Times New Roman" w:hAnsi="Times New Roman" w:cs="Times New Roman"/>
        </w:rPr>
        <w:fldChar w:fldCharType="begin" w:fldLock="1"/>
      </w:r>
      <w:r w:rsidR="00303E7E" w:rsidRPr="003C413E">
        <w:rPr>
          <w:rFonts w:ascii="Times New Roman" w:hAnsi="Times New Roman" w:cs="Times New Roman"/>
        </w:rPr>
        <w:instrText>ADDIN CSL_CITATION {"citationItems":[{"id":"ITEM-1","itemData":{"DOI":"10.1097/OLQ.0B013E31820FF9A4","ISSN":"01485717","PMID":"21317686","abstract":"Background: The natural history of Neisseria gonorrhoeae (GC) infections is largely unknown. The objective of the current study was to use sequential weekly vaginal samples and molecular techniques to describe the natural history of incident gonorrhea infections in adolescent women. Methods: A cohort of 387 adolescent women aged 14 to 17 were enrolled from urban, primary care clinics and followed longitudinally for a period of up to 8 years. Weekly vaginal swabs and daily diaries were provided during 12-week periods biannually, beginning and ending with a clinic visit, where all identified infections were treated. For this study, specimens and data from 16 women who became infected with GC during a weekly sampling period were analyzed. Results: GC organism load was highly variable between subjects. The number of organisms did not significantly differ across the first 6 weeks of infection (P = 0.59). Organism load did not differ among women with a previously documented GC infection at week 1 (P = 0.43) or across the first 6 weeks of infection (P = 0.67). The association of concurrent chlamydial infection on gonorrhea organism load was borderline significant over the first 6 weeks of infection (P = 0.06). Conclusions: Individual shedding patterns varied widely, and GC organism load did not decline in women for at least several weeks and were not associated with genitourinary symptoms. Chlamydia coinfection is associated with higher GC organism loads, potentially increasing chances of transmission. This study utilized a standardized quantification technique to assess GC organism load. © 2011 American Sexually Transmitted Diseases.","author":[{"dropping-particle":"","family":"Stupiansky","given":"Nathan W.","non-dropping-particle":"","parse-names":false,"suffix":""},{"dropping-particle":"","family":"Pol","given":"Barbara","non-dropping-particle":"Van Der","parse-names":false,"suffix":""},{"dropping-particle":"","family":"Williams","given":"James A.","non-dropping-particle":"","parse-names":false,"suffix":""},{"dropping-particle":"","family":"Weaver","given":"Bree","non-dropping-particle":"","parse-names":false,"suffix":""},{"dropping-particle":"","family":"Taylor","given":"Stan E.","non-dropping-particle":"","parse-names":false,"suffix":""},{"dropping-particle":"","family":"Fortenberry","given":"J. Dennis","non-dropping-particle":"","parse-names":false,"suffix":""}],"container-title":"Sexually Transmitted Diseases","id":"ITEM-1","issue":"8","issued":{"date-parts":[["2011","8"]]},"page":"750-754","title":"The natural history of incident gonococcal infection in adolescent women","type":"article-journal","volume":"38"},"uris":["http://www.mendeley.com/documents/?uuid=9de91716-797a-35c5-aa3c-3cdc6034f134"]}],"mendeley":{"formattedCitation":"[26]","plainTextFormattedCitation":"[26]","previouslyFormattedCitation":"[25]"},"properties":{"noteIndex":0},"schema":"https://github.com/citation-style-language/schema/raw/master/csl-citation.json"}</w:instrText>
      </w:r>
      <w:r w:rsidRPr="003C413E">
        <w:rPr>
          <w:rFonts w:ascii="Times New Roman" w:hAnsi="Times New Roman" w:cs="Times New Roman"/>
        </w:rPr>
        <w:fldChar w:fldCharType="separate"/>
      </w:r>
      <w:r w:rsidR="00303E7E" w:rsidRPr="003C413E">
        <w:rPr>
          <w:rFonts w:ascii="Times New Roman" w:hAnsi="Times New Roman" w:cs="Times New Roman"/>
          <w:noProof/>
        </w:rPr>
        <w:t>[26]</w:t>
      </w:r>
      <w:r w:rsidRPr="003C413E">
        <w:rPr>
          <w:rFonts w:ascii="Times New Roman" w:hAnsi="Times New Roman" w:cs="Times New Roman"/>
        </w:rPr>
        <w:fldChar w:fldCharType="end"/>
      </w:r>
      <w:r w:rsidRPr="003C413E">
        <w:rPr>
          <w:rFonts w:ascii="Times New Roman" w:hAnsi="Times New Roman" w:cs="Times New Roman"/>
        </w:rPr>
        <w:t>. We found gonococcal natural clearance data for men only in studies conducted in 1974 and both were based on culture, Gram stain, or fluorescent antibody tests</w:t>
      </w:r>
      <w:r w:rsidR="00DF677E" w:rsidRPr="003C413E">
        <w:rPr>
          <w:rFonts w:ascii="Times New Roman" w:hAnsi="Times New Roman" w:cs="Times New Roman"/>
        </w:rPr>
        <w:t xml:space="preserve"> </w:t>
      </w:r>
      <w:r w:rsidRPr="003C413E">
        <w:rPr>
          <w:rFonts w:ascii="Times New Roman" w:hAnsi="Times New Roman" w:cs="Times New Roman"/>
        </w:rPr>
        <w:fldChar w:fldCharType="begin" w:fldLock="1"/>
      </w:r>
      <w:r w:rsidR="00303E7E" w:rsidRPr="003C413E">
        <w:rPr>
          <w:rFonts w:ascii="Times New Roman" w:hAnsi="Times New Roman" w:cs="Times New Roman"/>
        </w:rPr>
        <w:instrText>ADDIN CSL_CITATION {"citationItems":[{"id":"ITEM-1","itemData":{"DOI":"10.1056/NEJM197401172900301","ISSN":"00257001","PMID":"4206097","abstract":"Abstract Urethral gonococcal infection was detected in 40 per cent of asymptomatic male contacts of women with symptomatic gonorrhea. Culture was more sensitive than fluorescent antibody or Gram-st...","author":[{"dropping-particle":"","family":"Handsfield","given":"H. Hunter","non-dropping-particle":"","parse-names":false,"suffix":""},{"dropping-particle":"","family":"Lipman","given":"Timothy O.","non-dropping-particle":"","parse-names":false,"suffix":""},{"dropping-particle":"","family":"Harnisch","given":"James P.","non-dropping-particle":"","parse-names":false,"suffix":""},{"dropping-particle":"","family":"Tronca","given":"Evelyn","non-dropping-particle":"","parse-names":false,"suffix":""},{"dropping-particle":"","family":"Holmes","given":"King K.","non-dropping-particle":"","parse-names":false,"suffix":""}],"container-title":"http://dx.doi.org/10.1056/NEJM197401172900301","id":"ITEM-1","issue":"2","issued":{"date-parts":[["2010","1","13"]]},"page":"103-107","publisher":" Massachusetts Medical Society ","title":"Asymptomatic Gonorrhea in Men","type":"article-journal","volume":"16"},"uris":["http://www.mendeley.com/documents/?uuid=ecb2365c-215a-3a70-9e54-4759c4b82459"]},{"id":"ITEM-2","itemData":{"abstract":"In a prospective study, 133 male contacts of 102 women with gonorrhea were examined. A diagnosis of gonorrhea was made in 63 patients, indicating an infection rate of 47% after exposure. Forty-three percent of the patients with gonorrhea were asymptomatic. The duration of the asymptomatic period ranged from 3 to 154 days. The epidemiologic importance of this hidden infectious reservoir is stressed.","author":[{"dropping-particle":"","family":"Portnoy","given":"J","non-dropping-particle":"","parse-names":false,"suffix":""},{"dropping-particle":"","family":"Mendelson","given":"J Q","non-dropping-particle":"","parse-names":false,"suffix":""},{"dropping-particle":"","family":"Heisler","given":"L","non-dropping-particle":"","parse-names":false,"suffix":""}],"container-title":"Can Med Assoc J","id":"ITEM-2","issue":"2","issued":{"date-parts":[["1974"]]},"page":"169-171","title":"Asymptomatic gonorrhea in the male","type":"article-journal","volume":"110"},"uris":["http://www.mendeley.com/documents/?uuid=7e1ba75d-29ea-3e1d-9252-ae0713b66e65"]}],"mendeley":{"formattedCitation":"[27], [28]","plainTextFormattedCitation":"[27], [28]","previouslyFormattedCitation":"[26], [27]"},"properties":{"noteIndex":0},"schema":"https://github.com/citation-style-language/schema/raw/master/csl-citation.json"}</w:instrText>
      </w:r>
      <w:r w:rsidRPr="003C413E">
        <w:rPr>
          <w:rFonts w:ascii="Times New Roman" w:hAnsi="Times New Roman" w:cs="Times New Roman"/>
        </w:rPr>
        <w:fldChar w:fldCharType="separate"/>
      </w:r>
      <w:r w:rsidR="00303E7E" w:rsidRPr="003C413E">
        <w:rPr>
          <w:rFonts w:ascii="Times New Roman" w:hAnsi="Times New Roman" w:cs="Times New Roman"/>
          <w:noProof/>
        </w:rPr>
        <w:t>[27], [28]</w:t>
      </w:r>
      <w:r w:rsidRPr="003C413E">
        <w:rPr>
          <w:rFonts w:ascii="Times New Roman" w:hAnsi="Times New Roman" w:cs="Times New Roman"/>
        </w:rPr>
        <w:fldChar w:fldCharType="end"/>
      </w:r>
      <w:r w:rsidRPr="003C413E">
        <w:rPr>
          <w:rFonts w:ascii="Times New Roman" w:hAnsi="Times New Roman" w:cs="Times New Roman"/>
        </w:rPr>
        <w:t>.  Given the use of outdated and less sensitive diagnostic test</w:t>
      </w:r>
      <w:r w:rsidR="00CF33CA" w:rsidRPr="003C413E">
        <w:rPr>
          <w:rFonts w:ascii="Times New Roman" w:hAnsi="Times New Roman" w:cs="Times New Roman"/>
        </w:rPr>
        <w:t xml:space="preserve"> </w:t>
      </w:r>
      <w:r w:rsidRPr="003C413E">
        <w:rPr>
          <w:rFonts w:ascii="Times New Roman" w:hAnsi="Times New Roman" w:cs="Times New Roman"/>
        </w:rPr>
        <w:t>technology in these studies, we used the more recent study based on NAAT</w:t>
      </w:r>
      <w:r w:rsidR="00CF33CA" w:rsidRPr="003C413E">
        <w:rPr>
          <w:rFonts w:ascii="Times New Roman" w:hAnsi="Times New Roman" w:cs="Times New Roman"/>
        </w:rPr>
        <w:t xml:space="preserve"> </w:t>
      </w:r>
      <w:r w:rsidRPr="003C413E">
        <w:rPr>
          <w:rFonts w:ascii="Times New Roman" w:hAnsi="Times New Roman" w:cs="Times New Roman"/>
        </w:rPr>
        <w:t>testing</w:t>
      </w:r>
      <w:r w:rsidR="00D4499D" w:rsidRPr="003C413E">
        <w:rPr>
          <w:rFonts w:ascii="Times New Roman" w:hAnsi="Times New Roman" w:cs="Times New Roman"/>
        </w:rPr>
        <w:t xml:space="preserve"> </w:t>
      </w:r>
      <w:r w:rsidRPr="003C413E">
        <w:rPr>
          <w:rFonts w:ascii="Times New Roman" w:hAnsi="Times New Roman" w:cs="Times New Roman"/>
        </w:rPr>
        <w:t xml:space="preserve">done solely in women and </w:t>
      </w:r>
      <w:r w:rsidR="00B22E7C" w:rsidRPr="003C413E">
        <w:rPr>
          <w:rFonts w:ascii="Times New Roman" w:hAnsi="Times New Roman" w:cs="Times New Roman"/>
        </w:rPr>
        <w:t>assumed</w:t>
      </w:r>
      <w:r w:rsidRPr="003C413E">
        <w:rPr>
          <w:rFonts w:ascii="Times New Roman" w:hAnsi="Times New Roman" w:cs="Times New Roman"/>
        </w:rPr>
        <w:t xml:space="preserve"> (based on expert opinion)</w:t>
      </w:r>
      <w:r w:rsidR="00CF33CA" w:rsidRPr="003C413E">
        <w:rPr>
          <w:rFonts w:ascii="Times New Roman" w:hAnsi="Times New Roman" w:cs="Times New Roman"/>
        </w:rPr>
        <w:t xml:space="preserve"> </w:t>
      </w:r>
      <w:r w:rsidRPr="003C413E">
        <w:rPr>
          <w:rFonts w:ascii="Times New Roman" w:hAnsi="Times New Roman" w:cs="Times New Roman"/>
        </w:rPr>
        <w:t xml:space="preserve">that men naturally clear gonorrhea twice as fast as women. Because of the small sample size, rather than bootstrapping, we sampled from a gamma distribution with </w:t>
      </w:r>
      <w:r w:rsidR="008F3665" w:rsidRPr="003C413E">
        <w:rPr>
          <w:rFonts w:ascii="Times New Roman" w:hAnsi="Times New Roman" w:cs="Times New Roman"/>
        </w:rPr>
        <w:t xml:space="preserve">a </w:t>
      </w:r>
      <w:r w:rsidRPr="003C413E">
        <w:rPr>
          <w:rFonts w:ascii="Times New Roman" w:hAnsi="Times New Roman" w:cs="Times New Roman"/>
        </w:rPr>
        <w:t>resulting median similar to the study.</w:t>
      </w:r>
      <w:r w:rsidR="00DF677E" w:rsidRPr="003C413E">
        <w:rPr>
          <w:rFonts w:ascii="Times New Roman" w:hAnsi="Times New Roman" w:cs="Times New Roman"/>
        </w:rPr>
        <w:t xml:space="preserve"> </w:t>
      </w:r>
      <w:r w:rsidRPr="003C413E">
        <w:rPr>
          <w:rFonts w:ascii="Times New Roman" w:hAnsi="Times New Roman" w:cs="Times New Roman"/>
        </w:rPr>
        <w:t>Specifically, we sampled from a</w:t>
      </w:r>
      <w:r w:rsidR="00CF33CA" w:rsidRPr="003C413E">
        <w:rPr>
          <w:rFonts w:ascii="Times New Roman" w:hAnsi="Times New Roman" w:cs="Times New Roman"/>
        </w:rPr>
        <w:t xml:space="preserve"> </w:t>
      </w:r>
      <w:r w:rsidRPr="003C413E">
        <w:rPr>
          <w:rFonts w:ascii="Times New Roman" w:hAnsi="Times New Roman" w:cs="Times New Roman"/>
        </w:rPr>
        <w:t>gamma distribution with shape parameter</w:t>
      </w:r>
      <w:r w:rsidR="00CF33CA" w:rsidRPr="003C413E">
        <w:rPr>
          <w:rFonts w:ascii="Times New Roman" w:hAnsi="Times New Roman" w:cs="Times New Roman"/>
        </w:rPr>
        <w:t xml:space="preserve"> </w:t>
      </w:r>
      <w:r w:rsidRPr="003C413E">
        <w:rPr>
          <w:rFonts w:ascii="Times New Roman" w:hAnsi="Times New Roman" w:cs="Times New Roman"/>
        </w:rPr>
        <w:t>=</w:t>
      </w:r>
      <w:r w:rsidR="00CF33CA" w:rsidRPr="003C413E">
        <w:rPr>
          <w:rFonts w:ascii="Times New Roman" w:hAnsi="Times New Roman" w:cs="Times New Roman"/>
        </w:rPr>
        <w:t xml:space="preserve"> </w:t>
      </w:r>
      <w:r w:rsidRPr="003C413E">
        <w:rPr>
          <w:rFonts w:ascii="Times New Roman" w:hAnsi="Times New Roman" w:cs="Times New Roman"/>
        </w:rPr>
        <w:t>16 and rate</w:t>
      </w:r>
      <w:r w:rsidR="00CF33CA" w:rsidRPr="003C413E">
        <w:rPr>
          <w:rFonts w:ascii="Times New Roman" w:hAnsi="Times New Roman" w:cs="Times New Roman"/>
        </w:rPr>
        <w:t xml:space="preserve"> </w:t>
      </w:r>
      <w:r w:rsidRPr="003C413E">
        <w:rPr>
          <w:rFonts w:ascii="Times New Roman" w:hAnsi="Times New Roman" w:cs="Times New Roman"/>
        </w:rPr>
        <w:t>=</w:t>
      </w:r>
      <w:r w:rsidR="00CF33CA" w:rsidRPr="003C413E">
        <w:rPr>
          <w:rFonts w:ascii="Times New Roman" w:hAnsi="Times New Roman" w:cs="Times New Roman"/>
        </w:rPr>
        <w:t xml:space="preserve"> </w:t>
      </w:r>
      <w:r w:rsidRPr="003C413E">
        <w:rPr>
          <w:rFonts w:ascii="Times New Roman" w:hAnsi="Times New Roman" w:cs="Times New Roman"/>
        </w:rPr>
        <w:t>16/4.089</w:t>
      </w:r>
      <w:r w:rsidR="00CF33CA" w:rsidRPr="003C413E">
        <w:rPr>
          <w:rFonts w:ascii="Times New Roman" w:hAnsi="Times New Roman" w:cs="Times New Roman"/>
        </w:rPr>
        <w:t xml:space="preserve"> </w:t>
      </w:r>
      <w:r w:rsidRPr="003C413E">
        <w:rPr>
          <w:rFonts w:ascii="Times New Roman" w:hAnsi="Times New Roman" w:cs="Times New Roman"/>
        </w:rPr>
        <w:t>to generate a distribution of natural clearance in women; for men, we assumed the rate was twice as fast, also sampling</w:t>
      </w:r>
      <w:r w:rsidR="00CF33CA" w:rsidRPr="003C413E">
        <w:rPr>
          <w:rFonts w:ascii="Times New Roman" w:hAnsi="Times New Roman" w:cs="Times New Roman"/>
        </w:rPr>
        <w:t xml:space="preserve"> </w:t>
      </w:r>
      <w:r w:rsidRPr="003C413E">
        <w:rPr>
          <w:rFonts w:ascii="Times New Roman" w:hAnsi="Times New Roman" w:cs="Times New Roman"/>
        </w:rPr>
        <w:t xml:space="preserve">from a gamma distribution. </w:t>
      </w:r>
      <w:r w:rsidRPr="003C413E">
        <w:rPr>
          <w:rFonts w:ascii="Times New Roman" w:hAnsi="Times New Roman" w:cs="Times New Roman"/>
        </w:rPr>
        <w:lastRenderedPageBreak/>
        <w:t>Based on these inputs, estimates of the rate of and days to natural clearance for</w:t>
      </w:r>
      <w:r w:rsidR="00CF33CA" w:rsidRPr="003C413E">
        <w:rPr>
          <w:rFonts w:ascii="Times New Roman" w:hAnsi="Times New Roman" w:cs="Times New Roman"/>
        </w:rPr>
        <w:t xml:space="preserve"> gonorrhea</w:t>
      </w:r>
      <w:r w:rsidRPr="003C413E">
        <w:rPr>
          <w:rFonts w:ascii="Times New Roman" w:hAnsi="Times New Roman" w:cs="Times New Roman"/>
        </w:rPr>
        <w:t xml:space="preserve"> by sex are presented in Supplemental Table </w:t>
      </w:r>
      <w:r w:rsidR="00DF677E" w:rsidRPr="003C413E">
        <w:rPr>
          <w:rFonts w:ascii="Times New Roman" w:hAnsi="Times New Roman" w:cs="Times New Roman"/>
        </w:rPr>
        <w:t>S6</w:t>
      </w:r>
      <w:r w:rsidRPr="003C413E">
        <w:rPr>
          <w:rFonts w:ascii="Times New Roman" w:hAnsi="Times New Roman" w:cs="Times New Roman"/>
        </w:rPr>
        <w:t xml:space="preserve">. </w:t>
      </w:r>
    </w:p>
    <w:p w14:paraId="22F6AE73" w14:textId="77777777" w:rsidR="001718E7" w:rsidRPr="003C413E" w:rsidRDefault="001718E7" w:rsidP="001718E7">
      <w:pPr>
        <w:rPr>
          <w:rFonts w:ascii="Times New Roman" w:hAnsi="Times New Roman" w:cs="Times New Roman"/>
        </w:rPr>
      </w:pPr>
    </w:p>
    <w:p w14:paraId="4C66AB55" w14:textId="424CA011" w:rsidR="001718E7" w:rsidRPr="003C413E" w:rsidRDefault="001718E7" w:rsidP="00A3332C">
      <w:pPr>
        <w:pStyle w:val="Heading3"/>
        <w:jc w:val="center"/>
        <w:rPr>
          <w:rFonts w:ascii="Times New Roman" w:hAnsi="Times New Roman" w:cs="Times New Roman"/>
        </w:rPr>
      </w:pPr>
      <w:bookmarkStart w:id="31" w:name="_Toc113956988"/>
      <w:r w:rsidRPr="003C413E">
        <w:rPr>
          <w:rFonts w:ascii="Times New Roman" w:hAnsi="Times New Roman" w:cs="Times New Roman"/>
        </w:rPr>
        <w:t xml:space="preserve">Table </w:t>
      </w:r>
      <w:r w:rsidR="0040468A" w:rsidRPr="003C413E">
        <w:rPr>
          <w:rFonts w:ascii="Times New Roman" w:hAnsi="Times New Roman" w:cs="Times New Roman"/>
        </w:rPr>
        <w:t>S</w:t>
      </w:r>
      <w:r w:rsidR="008A0372" w:rsidRPr="003C413E">
        <w:rPr>
          <w:rFonts w:ascii="Times New Roman" w:hAnsi="Times New Roman" w:cs="Times New Roman"/>
        </w:rPr>
        <w:t>8</w:t>
      </w:r>
      <w:r w:rsidRPr="003C413E">
        <w:rPr>
          <w:rFonts w:ascii="Times New Roman" w:hAnsi="Times New Roman" w:cs="Times New Roman"/>
        </w:rPr>
        <w:t>. Rate of and days to natural clearance of untreated</w:t>
      </w:r>
      <w:r w:rsidR="0020197C" w:rsidRPr="003C413E">
        <w:rPr>
          <w:rFonts w:ascii="Times New Roman" w:hAnsi="Times New Roman" w:cs="Times New Roman"/>
        </w:rPr>
        <w:t xml:space="preserve"> </w:t>
      </w:r>
      <w:r w:rsidRPr="003C413E">
        <w:rPr>
          <w:rFonts w:ascii="Times New Roman" w:hAnsi="Times New Roman" w:cs="Times New Roman"/>
        </w:rPr>
        <w:t>Neisseria gonorrhoeae, by sex.</w:t>
      </w:r>
      <w:bookmarkEnd w:id="31"/>
    </w:p>
    <w:tbl>
      <w:tblPr>
        <w:tblStyle w:val="TableGrid"/>
        <w:tblW w:w="0" w:type="auto"/>
        <w:jc w:val="center"/>
        <w:tblLook w:val="04A0" w:firstRow="1" w:lastRow="0" w:firstColumn="1" w:lastColumn="0" w:noHBand="0" w:noVBand="1"/>
      </w:tblPr>
      <w:tblGrid>
        <w:gridCol w:w="2337"/>
        <w:gridCol w:w="2338"/>
        <w:gridCol w:w="2338"/>
      </w:tblGrid>
      <w:tr w:rsidR="0020197C" w:rsidRPr="003C413E" w14:paraId="12E9D1A7" w14:textId="77777777" w:rsidTr="0020197C">
        <w:trPr>
          <w:jc w:val="center"/>
        </w:trPr>
        <w:tc>
          <w:tcPr>
            <w:tcW w:w="2337" w:type="dxa"/>
            <w:vMerge w:val="restart"/>
            <w:tcBorders>
              <w:top w:val="single" w:sz="4" w:space="0" w:color="auto"/>
              <w:left w:val="nil"/>
              <w:bottom w:val="nil"/>
              <w:right w:val="nil"/>
            </w:tcBorders>
          </w:tcPr>
          <w:p w14:paraId="13F8A6A1" w14:textId="645B2471" w:rsidR="0020197C" w:rsidRPr="003C413E" w:rsidRDefault="0020197C" w:rsidP="001718E7">
            <w:pPr>
              <w:rPr>
                <w:rFonts w:ascii="Times New Roman" w:hAnsi="Times New Roman" w:cs="Times New Roman"/>
              </w:rPr>
            </w:pPr>
            <w:r w:rsidRPr="003C413E">
              <w:rPr>
                <w:rFonts w:ascii="Times New Roman" w:hAnsi="Times New Roman" w:cs="Times New Roman"/>
              </w:rPr>
              <w:t>Sex</w:t>
            </w:r>
          </w:p>
        </w:tc>
        <w:tc>
          <w:tcPr>
            <w:tcW w:w="4676" w:type="dxa"/>
            <w:gridSpan w:val="2"/>
            <w:tcBorders>
              <w:top w:val="single" w:sz="4" w:space="0" w:color="auto"/>
              <w:left w:val="nil"/>
              <w:bottom w:val="nil"/>
              <w:right w:val="nil"/>
            </w:tcBorders>
          </w:tcPr>
          <w:p w14:paraId="096215C5" w14:textId="708BFACA" w:rsidR="0020197C" w:rsidRPr="003C413E" w:rsidRDefault="0020197C" w:rsidP="0020197C">
            <w:pPr>
              <w:jc w:val="center"/>
              <w:rPr>
                <w:rFonts w:ascii="Times New Roman" w:hAnsi="Times New Roman" w:cs="Times New Roman"/>
              </w:rPr>
            </w:pPr>
            <w:r w:rsidRPr="003C413E">
              <w:rPr>
                <w:rFonts w:ascii="Times New Roman" w:hAnsi="Times New Roman" w:cs="Times New Roman"/>
              </w:rPr>
              <w:t>Median</w:t>
            </w:r>
          </w:p>
        </w:tc>
      </w:tr>
      <w:tr w:rsidR="0020197C" w:rsidRPr="003C413E" w14:paraId="6DB79FAA" w14:textId="77777777" w:rsidTr="0020197C">
        <w:trPr>
          <w:jc w:val="center"/>
        </w:trPr>
        <w:tc>
          <w:tcPr>
            <w:tcW w:w="2337" w:type="dxa"/>
            <w:vMerge/>
            <w:tcBorders>
              <w:top w:val="nil"/>
              <w:left w:val="nil"/>
              <w:bottom w:val="nil"/>
              <w:right w:val="nil"/>
            </w:tcBorders>
          </w:tcPr>
          <w:p w14:paraId="7BD18AC1" w14:textId="77777777" w:rsidR="0020197C" w:rsidRPr="003C413E" w:rsidRDefault="0020197C" w:rsidP="001718E7">
            <w:pPr>
              <w:rPr>
                <w:rFonts w:ascii="Times New Roman" w:hAnsi="Times New Roman" w:cs="Times New Roman"/>
              </w:rPr>
            </w:pPr>
          </w:p>
        </w:tc>
        <w:tc>
          <w:tcPr>
            <w:tcW w:w="4676" w:type="dxa"/>
            <w:gridSpan w:val="2"/>
            <w:tcBorders>
              <w:top w:val="nil"/>
              <w:left w:val="nil"/>
              <w:bottom w:val="single" w:sz="4" w:space="0" w:color="auto"/>
              <w:right w:val="nil"/>
            </w:tcBorders>
          </w:tcPr>
          <w:p w14:paraId="107B855B" w14:textId="45210ED2" w:rsidR="0020197C" w:rsidRPr="003C413E" w:rsidRDefault="0020197C" w:rsidP="0020197C">
            <w:pPr>
              <w:jc w:val="center"/>
              <w:rPr>
                <w:rFonts w:ascii="Times New Roman" w:hAnsi="Times New Roman" w:cs="Times New Roman"/>
              </w:rPr>
            </w:pPr>
            <w:r w:rsidRPr="003C413E">
              <w:rPr>
                <w:rFonts w:ascii="Times New Roman" w:hAnsi="Times New Roman" w:cs="Times New Roman"/>
              </w:rPr>
              <w:t>(25</w:t>
            </w:r>
            <w:r w:rsidRPr="003C413E">
              <w:rPr>
                <w:rFonts w:ascii="Times New Roman" w:hAnsi="Times New Roman" w:cs="Times New Roman"/>
                <w:vertAlign w:val="superscript"/>
              </w:rPr>
              <w:t>th</w:t>
            </w:r>
            <w:r w:rsidRPr="003C413E">
              <w:rPr>
                <w:rFonts w:ascii="Times New Roman" w:hAnsi="Times New Roman" w:cs="Times New Roman"/>
              </w:rPr>
              <w:t xml:space="preserve"> – 75</w:t>
            </w:r>
            <w:r w:rsidRPr="003C413E">
              <w:rPr>
                <w:rFonts w:ascii="Times New Roman" w:hAnsi="Times New Roman" w:cs="Times New Roman"/>
                <w:vertAlign w:val="superscript"/>
              </w:rPr>
              <w:t>th</w:t>
            </w:r>
            <w:r w:rsidRPr="003C413E">
              <w:rPr>
                <w:rFonts w:ascii="Times New Roman" w:hAnsi="Times New Roman" w:cs="Times New Roman"/>
              </w:rPr>
              <w:t xml:space="preserve"> Percentile)</w:t>
            </w:r>
          </w:p>
        </w:tc>
      </w:tr>
      <w:tr w:rsidR="0020197C" w:rsidRPr="003C413E" w14:paraId="48E3A0DE" w14:textId="77777777" w:rsidTr="0020197C">
        <w:trPr>
          <w:jc w:val="center"/>
        </w:trPr>
        <w:tc>
          <w:tcPr>
            <w:tcW w:w="2337" w:type="dxa"/>
            <w:vMerge/>
            <w:tcBorders>
              <w:top w:val="nil"/>
              <w:left w:val="nil"/>
              <w:bottom w:val="single" w:sz="4" w:space="0" w:color="auto"/>
              <w:right w:val="nil"/>
            </w:tcBorders>
          </w:tcPr>
          <w:p w14:paraId="030CCE00" w14:textId="77777777" w:rsidR="0020197C" w:rsidRPr="003C413E" w:rsidRDefault="0020197C" w:rsidP="001718E7">
            <w:pPr>
              <w:rPr>
                <w:rFonts w:ascii="Times New Roman" w:hAnsi="Times New Roman" w:cs="Times New Roman"/>
              </w:rPr>
            </w:pPr>
          </w:p>
        </w:tc>
        <w:tc>
          <w:tcPr>
            <w:tcW w:w="2338" w:type="dxa"/>
            <w:tcBorders>
              <w:top w:val="single" w:sz="4" w:space="0" w:color="auto"/>
              <w:left w:val="nil"/>
              <w:bottom w:val="single" w:sz="4" w:space="0" w:color="auto"/>
              <w:right w:val="nil"/>
            </w:tcBorders>
          </w:tcPr>
          <w:p w14:paraId="1D4783DC" w14:textId="2DF2A581" w:rsidR="0020197C" w:rsidRPr="003C413E" w:rsidRDefault="0020197C" w:rsidP="0020197C">
            <w:pPr>
              <w:jc w:val="center"/>
              <w:rPr>
                <w:rFonts w:ascii="Times New Roman" w:hAnsi="Times New Roman" w:cs="Times New Roman"/>
              </w:rPr>
            </w:pPr>
            <w:r w:rsidRPr="003C413E">
              <w:rPr>
                <w:rFonts w:ascii="Times New Roman" w:hAnsi="Times New Roman" w:cs="Times New Roman"/>
              </w:rPr>
              <w:t>Rate</w:t>
            </w:r>
          </w:p>
        </w:tc>
        <w:tc>
          <w:tcPr>
            <w:tcW w:w="2338" w:type="dxa"/>
            <w:tcBorders>
              <w:top w:val="single" w:sz="4" w:space="0" w:color="auto"/>
              <w:left w:val="nil"/>
              <w:bottom w:val="single" w:sz="4" w:space="0" w:color="auto"/>
              <w:right w:val="nil"/>
            </w:tcBorders>
          </w:tcPr>
          <w:p w14:paraId="5B9A48B1" w14:textId="6912B605" w:rsidR="0020197C" w:rsidRPr="003C413E" w:rsidRDefault="0020197C" w:rsidP="0020197C">
            <w:pPr>
              <w:jc w:val="center"/>
              <w:rPr>
                <w:rFonts w:ascii="Times New Roman" w:hAnsi="Times New Roman" w:cs="Times New Roman"/>
              </w:rPr>
            </w:pPr>
            <w:r w:rsidRPr="003C413E">
              <w:rPr>
                <w:rFonts w:ascii="Times New Roman" w:hAnsi="Times New Roman" w:cs="Times New Roman"/>
              </w:rPr>
              <w:t>Days</w:t>
            </w:r>
          </w:p>
        </w:tc>
      </w:tr>
      <w:tr w:rsidR="0020197C" w:rsidRPr="003C413E" w14:paraId="704B6D32" w14:textId="77777777" w:rsidTr="0020197C">
        <w:trPr>
          <w:jc w:val="center"/>
        </w:trPr>
        <w:tc>
          <w:tcPr>
            <w:tcW w:w="2337" w:type="dxa"/>
            <w:tcBorders>
              <w:top w:val="single" w:sz="4" w:space="0" w:color="auto"/>
              <w:left w:val="nil"/>
              <w:bottom w:val="nil"/>
              <w:right w:val="nil"/>
            </w:tcBorders>
          </w:tcPr>
          <w:p w14:paraId="799D850E" w14:textId="24E59F0B" w:rsidR="0020197C" w:rsidRPr="003C413E" w:rsidRDefault="0020197C" w:rsidP="001718E7">
            <w:pPr>
              <w:rPr>
                <w:rFonts w:ascii="Times New Roman" w:hAnsi="Times New Roman" w:cs="Times New Roman"/>
              </w:rPr>
            </w:pPr>
            <w:r w:rsidRPr="003C413E">
              <w:rPr>
                <w:rFonts w:ascii="Times New Roman" w:hAnsi="Times New Roman" w:cs="Times New Roman"/>
              </w:rPr>
              <w:t>Men</w:t>
            </w:r>
          </w:p>
        </w:tc>
        <w:tc>
          <w:tcPr>
            <w:tcW w:w="2338" w:type="dxa"/>
            <w:tcBorders>
              <w:top w:val="single" w:sz="4" w:space="0" w:color="auto"/>
              <w:left w:val="nil"/>
              <w:bottom w:val="nil"/>
              <w:right w:val="nil"/>
            </w:tcBorders>
          </w:tcPr>
          <w:p w14:paraId="2B066738" w14:textId="5D4AA24A" w:rsidR="0020197C" w:rsidRPr="003C413E" w:rsidRDefault="0020197C" w:rsidP="0020197C">
            <w:pPr>
              <w:jc w:val="center"/>
              <w:rPr>
                <w:rFonts w:ascii="Times New Roman" w:hAnsi="Times New Roman" w:cs="Times New Roman"/>
              </w:rPr>
            </w:pPr>
            <w:r w:rsidRPr="003C413E">
              <w:rPr>
                <w:rFonts w:ascii="Times New Roman" w:hAnsi="Times New Roman" w:cs="Times New Roman"/>
              </w:rPr>
              <w:t>8.02</w:t>
            </w:r>
          </w:p>
        </w:tc>
        <w:tc>
          <w:tcPr>
            <w:tcW w:w="2338" w:type="dxa"/>
            <w:tcBorders>
              <w:top w:val="single" w:sz="4" w:space="0" w:color="auto"/>
              <w:left w:val="nil"/>
              <w:bottom w:val="nil"/>
              <w:right w:val="nil"/>
            </w:tcBorders>
          </w:tcPr>
          <w:p w14:paraId="2FB29002" w14:textId="04221A73" w:rsidR="0020197C" w:rsidRPr="003C413E" w:rsidRDefault="0020197C" w:rsidP="0020197C">
            <w:pPr>
              <w:jc w:val="center"/>
              <w:rPr>
                <w:rFonts w:ascii="Times New Roman" w:hAnsi="Times New Roman" w:cs="Times New Roman"/>
              </w:rPr>
            </w:pPr>
            <w:r w:rsidRPr="003C413E">
              <w:rPr>
                <w:rFonts w:ascii="Times New Roman" w:hAnsi="Times New Roman" w:cs="Times New Roman"/>
              </w:rPr>
              <w:t>45.54</w:t>
            </w:r>
          </w:p>
        </w:tc>
      </w:tr>
      <w:tr w:rsidR="0020197C" w:rsidRPr="003C413E" w14:paraId="4F36DA24" w14:textId="77777777" w:rsidTr="0020197C">
        <w:trPr>
          <w:jc w:val="center"/>
        </w:trPr>
        <w:tc>
          <w:tcPr>
            <w:tcW w:w="2337" w:type="dxa"/>
            <w:tcBorders>
              <w:top w:val="nil"/>
              <w:left w:val="nil"/>
              <w:bottom w:val="nil"/>
              <w:right w:val="nil"/>
            </w:tcBorders>
          </w:tcPr>
          <w:p w14:paraId="2A6AFD77" w14:textId="77777777" w:rsidR="0020197C" w:rsidRPr="003C413E" w:rsidRDefault="0020197C" w:rsidP="001718E7">
            <w:pPr>
              <w:rPr>
                <w:rFonts w:ascii="Times New Roman" w:hAnsi="Times New Roman" w:cs="Times New Roman"/>
              </w:rPr>
            </w:pPr>
          </w:p>
        </w:tc>
        <w:tc>
          <w:tcPr>
            <w:tcW w:w="2338" w:type="dxa"/>
            <w:tcBorders>
              <w:top w:val="nil"/>
              <w:left w:val="nil"/>
              <w:bottom w:val="nil"/>
              <w:right w:val="nil"/>
            </w:tcBorders>
          </w:tcPr>
          <w:p w14:paraId="658A8AF4" w14:textId="1BA37E28" w:rsidR="0020197C" w:rsidRPr="003C413E" w:rsidRDefault="0020197C" w:rsidP="0020197C">
            <w:pPr>
              <w:jc w:val="center"/>
              <w:rPr>
                <w:rFonts w:ascii="Times New Roman" w:hAnsi="Times New Roman" w:cs="Times New Roman"/>
              </w:rPr>
            </w:pPr>
            <w:r w:rsidRPr="003C413E">
              <w:rPr>
                <w:rFonts w:ascii="Times New Roman" w:hAnsi="Times New Roman" w:cs="Times New Roman"/>
              </w:rPr>
              <w:t>(6.71-9.47)</w:t>
            </w:r>
          </w:p>
        </w:tc>
        <w:tc>
          <w:tcPr>
            <w:tcW w:w="2338" w:type="dxa"/>
            <w:tcBorders>
              <w:top w:val="nil"/>
              <w:left w:val="nil"/>
              <w:bottom w:val="nil"/>
              <w:right w:val="nil"/>
            </w:tcBorders>
          </w:tcPr>
          <w:p w14:paraId="0F01B2D9" w14:textId="6CAB078F" w:rsidR="0020197C" w:rsidRPr="003C413E" w:rsidRDefault="0020197C" w:rsidP="0020197C">
            <w:pPr>
              <w:jc w:val="center"/>
              <w:rPr>
                <w:rFonts w:ascii="Times New Roman" w:hAnsi="Times New Roman" w:cs="Times New Roman"/>
              </w:rPr>
            </w:pPr>
            <w:r w:rsidRPr="003C413E">
              <w:rPr>
                <w:rFonts w:ascii="Times New Roman" w:hAnsi="Times New Roman" w:cs="Times New Roman"/>
              </w:rPr>
              <w:t>(38.56-54.44)</w:t>
            </w:r>
          </w:p>
        </w:tc>
      </w:tr>
      <w:tr w:rsidR="0020197C" w:rsidRPr="003C413E" w14:paraId="0E87DF37" w14:textId="77777777" w:rsidTr="0020197C">
        <w:trPr>
          <w:jc w:val="center"/>
        </w:trPr>
        <w:tc>
          <w:tcPr>
            <w:tcW w:w="2337" w:type="dxa"/>
            <w:tcBorders>
              <w:top w:val="nil"/>
              <w:left w:val="nil"/>
              <w:bottom w:val="nil"/>
              <w:right w:val="nil"/>
            </w:tcBorders>
          </w:tcPr>
          <w:p w14:paraId="7CF679D1" w14:textId="2EAB40BB" w:rsidR="0020197C" w:rsidRPr="003C413E" w:rsidRDefault="0020197C" w:rsidP="001718E7">
            <w:pPr>
              <w:rPr>
                <w:rFonts w:ascii="Times New Roman" w:hAnsi="Times New Roman" w:cs="Times New Roman"/>
              </w:rPr>
            </w:pPr>
            <w:r w:rsidRPr="003C413E">
              <w:rPr>
                <w:rFonts w:ascii="Times New Roman" w:hAnsi="Times New Roman" w:cs="Times New Roman"/>
              </w:rPr>
              <w:t xml:space="preserve">Women </w:t>
            </w:r>
          </w:p>
        </w:tc>
        <w:tc>
          <w:tcPr>
            <w:tcW w:w="2338" w:type="dxa"/>
            <w:tcBorders>
              <w:top w:val="nil"/>
              <w:left w:val="nil"/>
              <w:bottom w:val="nil"/>
              <w:right w:val="nil"/>
            </w:tcBorders>
          </w:tcPr>
          <w:p w14:paraId="16AC390B" w14:textId="6A66DAC8" w:rsidR="0020197C" w:rsidRPr="003C413E" w:rsidRDefault="0020197C" w:rsidP="0020197C">
            <w:pPr>
              <w:jc w:val="center"/>
              <w:rPr>
                <w:rFonts w:ascii="Times New Roman" w:hAnsi="Times New Roman" w:cs="Times New Roman"/>
              </w:rPr>
            </w:pPr>
            <w:r w:rsidRPr="003C413E">
              <w:rPr>
                <w:rFonts w:ascii="Times New Roman" w:hAnsi="Times New Roman" w:cs="Times New Roman"/>
              </w:rPr>
              <w:t>4.00</w:t>
            </w:r>
          </w:p>
        </w:tc>
        <w:tc>
          <w:tcPr>
            <w:tcW w:w="2338" w:type="dxa"/>
            <w:tcBorders>
              <w:top w:val="nil"/>
              <w:left w:val="nil"/>
              <w:bottom w:val="nil"/>
              <w:right w:val="nil"/>
            </w:tcBorders>
          </w:tcPr>
          <w:p w14:paraId="6815270C" w14:textId="58186DD4" w:rsidR="0020197C" w:rsidRPr="003C413E" w:rsidRDefault="0020197C" w:rsidP="0020197C">
            <w:pPr>
              <w:jc w:val="center"/>
              <w:rPr>
                <w:rFonts w:ascii="Times New Roman" w:hAnsi="Times New Roman" w:cs="Times New Roman"/>
              </w:rPr>
            </w:pPr>
            <w:r w:rsidRPr="003C413E">
              <w:rPr>
                <w:rFonts w:ascii="Times New Roman" w:hAnsi="Times New Roman" w:cs="Times New Roman"/>
              </w:rPr>
              <w:t>91.25</w:t>
            </w:r>
          </w:p>
        </w:tc>
      </w:tr>
      <w:tr w:rsidR="0020197C" w:rsidRPr="003C413E" w14:paraId="1516F4E0" w14:textId="77777777" w:rsidTr="0020197C">
        <w:trPr>
          <w:trHeight w:val="80"/>
          <w:jc w:val="center"/>
        </w:trPr>
        <w:tc>
          <w:tcPr>
            <w:tcW w:w="2337" w:type="dxa"/>
            <w:tcBorders>
              <w:top w:val="nil"/>
              <w:left w:val="nil"/>
              <w:bottom w:val="single" w:sz="4" w:space="0" w:color="auto"/>
              <w:right w:val="nil"/>
            </w:tcBorders>
          </w:tcPr>
          <w:p w14:paraId="2566CE79" w14:textId="77777777" w:rsidR="0020197C" w:rsidRPr="003C413E" w:rsidRDefault="0020197C" w:rsidP="001718E7">
            <w:pPr>
              <w:rPr>
                <w:rFonts w:ascii="Times New Roman" w:hAnsi="Times New Roman" w:cs="Times New Roman"/>
              </w:rPr>
            </w:pPr>
          </w:p>
        </w:tc>
        <w:tc>
          <w:tcPr>
            <w:tcW w:w="2338" w:type="dxa"/>
            <w:tcBorders>
              <w:top w:val="nil"/>
              <w:left w:val="nil"/>
              <w:bottom w:val="single" w:sz="4" w:space="0" w:color="auto"/>
              <w:right w:val="nil"/>
            </w:tcBorders>
          </w:tcPr>
          <w:p w14:paraId="740BBF83" w14:textId="42467F79" w:rsidR="0020197C" w:rsidRPr="003C413E" w:rsidRDefault="0020197C" w:rsidP="0020197C">
            <w:pPr>
              <w:jc w:val="center"/>
              <w:rPr>
                <w:rFonts w:ascii="Times New Roman" w:hAnsi="Times New Roman" w:cs="Times New Roman"/>
              </w:rPr>
            </w:pPr>
            <w:r w:rsidRPr="003C413E">
              <w:rPr>
                <w:rFonts w:ascii="Times New Roman" w:hAnsi="Times New Roman" w:cs="Times New Roman"/>
              </w:rPr>
              <w:t>(3.36-4.72)</w:t>
            </w:r>
          </w:p>
        </w:tc>
        <w:tc>
          <w:tcPr>
            <w:tcW w:w="2338" w:type="dxa"/>
            <w:tcBorders>
              <w:top w:val="nil"/>
              <w:left w:val="nil"/>
              <w:bottom w:val="single" w:sz="4" w:space="0" w:color="auto"/>
              <w:right w:val="nil"/>
            </w:tcBorders>
          </w:tcPr>
          <w:p w14:paraId="01BEF057" w14:textId="089BC909" w:rsidR="0020197C" w:rsidRPr="003C413E" w:rsidRDefault="0020197C" w:rsidP="0020197C">
            <w:pPr>
              <w:jc w:val="center"/>
              <w:rPr>
                <w:rFonts w:ascii="Times New Roman" w:hAnsi="Times New Roman" w:cs="Times New Roman"/>
              </w:rPr>
            </w:pPr>
            <w:r w:rsidRPr="003C413E">
              <w:rPr>
                <w:rFonts w:ascii="Times New Roman" w:hAnsi="Times New Roman" w:cs="Times New Roman"/>
              </w:rPr>
              <w:t>(77.33-108.63)</w:t>
            </w:r>
          </w:p>
        </w:tc>
      </w:tr>
    </w:tbl>
    <w:p w14:paraId="19C7CC33" w14:textId="08AA01B6" w:rsidR="001718E7" w:rsidRPr="003C413E" w:rsidRDefault="001718E7" w:rsidP="001718E7">
      <w:pPr>
        <w:rPr>
          <w:rFonts w:ascii="Times New Roman" w:hAnsi="Times New Roman" w:cs="Times New Roman"/>
        </w:rPr>
      </w:pPr>
    </w:p>
    <w:p w14:paraId="643C3841" w14:textId="77777777" w:rsidR="001718E7" w:rsidRPr="003C413E" w:rsidRDefault="001718E7" w:rsidP="00D518DC">
      <w:pPr>
        <w:spacing w:line="360" w:lineRule="auto"/>
        <w:rPr>
          <w:rFonts w:ascii="Times New Roman" w:hAnsi="Times New Roman" w:cs="Times New Roman"/>
        </w:rPr>
      </w:pPr>
    </w:p>
    <w:p w14:paraId="11162232" w14:textId="7059FE01" w:rsidR="00DF677E" w:rsidRPr="003C413E" w:rsidRDefault="001718E7" w:rsidP="00A83BC4">
      <w:pPr>
        <w:spacing w:line="360" w:lineRule="auto"/>
        <w:ind w:firstLine="720"/>
        <w:rPr>
          <w:rFonts w:ascii="Times New Roman" w:hAnsi="Times New Roman" w:cs="Times New Roman"/>
        </w:rPr>
      </w:pPr>
      <w:r w:rsidRPr="003C413E">
        <w:rPr>
          <w:rFonts w:ascii="Times New Roman" w:hAnsi="Times New Roman" w:cs="Times New Roman"/>
        </w:rPr>
        <w:t>There were a</w:t>
      </w:r>
      <w:r w:rsidR="00CF33CA" w:rsidRPr="003C413E">
        <w:rPr>
          <w:rFonts w:ascii="Times New Roman" w:hAnsi="Times New Roman" w:cs="Times New Roman"/>
        </w:rPr>
        <w:t xml:space="preserve"> </w:t>
      </w:r>
      <w:r w:rsidRPr="003C413E">
        <w:rPr>
          <w:rFonts w:ascii="Times New Roman" w:hAnsi="Times New Roman" w:cs="Times New Roman"/>
        </w:rPr>
        <w:t>variety of assumptions that factored into these calculations. First, we assumed that the natural clearance of gonorrhea did not vary</w:t>
      </w:r>
      <w:r w:rsidR="00CF33CA" w:rsidRPr="003C413E">
        <w:rPr>
          <w:rFonts w:ascii="Times New Roman" w:hAnsi="Times New Roman" w:cs="Times New Roman"/>
        </w:rPr>
        <w:t xml:space="preserve"> </w:t>
      </w:r>
      <w:r w:rsidRPr="003C413E">
        <w:rPr>
          <w:rFonts w:ascii="Times New Roman" w:hAnsi="Times New Roman" w:cs="Times New Roman"/>
        </w:rPr>
        <w:t>by age</w:t>
      </w:r>
      <w:r w:rsidR="00C866C8" w:rsidRPr="003C413E">
        <w:rPr>
          <w:rFonts w:ascii="Times New Roman" w:hAnsi="Times New Roman" w:cs="Times New Roman"/>
        </w:rPr>
        <w:t xml:space="preserve"> group. </w:t>
      </w:r>
      <w:r w:rsidRPr="003C413E">
        <w:rPr>
          <w:rFonts w:ascii="Times New Roman" w:hAnsi="Times New Roman" w:cs="Times New Roman"/>
        </w:rPr>
        <w:t>Second, we assumed a</w:t>
      </w:r>
      <w:r w:rsidR="00CF33CA" w:rsidRPr="003C413E">
        <w:rPr>
          <w:rFonts w:ascii="Times New Roman" w:hAnsi="Times New Roman" w:cs="Times New Roman"/>
        </w:rPr>
        <w:t xml:space="preserve"> </w:t>
      </w:r>
      <w:r w:rsidRPr="003C413E">
        <w:rPr>
          <w:rFonts w:ascii="Times New Roman" w:hAnsi="Times New Roman" w:cs="Times New Roman"/>
        </w:rPr>
        <w:t xml:space="preserve">constant exponential clearance rate from available data. </w:t>
      </w:r>
      <w:r w:rsidR="00CF33CA" w:rsidRPr="003C413E">
        <w:rPr>
          <w:rFonts w:ascii="Times New Roman" w:hAnsi="Times New Roman" w:cs="Times New Roman"/>
        </w:rPr>
        <w:t>Lastly</w:t>
      </w:r>
      <w:r w:rsidRPr="003C413E">
        <w:rPr>
          <w:rFonts w:ascii="Times New Roman" w:hAnsi="Times New Roman" w:cs="Times New Roman"/>
        </w:rPr>
        <w:t>, we assumed that the subjects in the studies from which these numbers were drawn were representative of all</w:t>
      </w:r>
      <w:r w:rsidR="00CF33CA" w:rsidRPr="003C413E">
        <w:rPr>
          <w:rFonts w:ascii="Times New Roman" w:hAnsi="Times New Roman" w:cs="Times New Roman"/>
        </w:rPr>
        <w:t xml:space="preserve"> </w:t>
      </w:r>
      <w:r w:rsidRPr="003C413E">
        <w:rPr>
          <w:rFonts w:ascii="Times New Roman" w:hAnsi="Times New Roman" w:cs="Times New Roman"/>
        </w:rPr>
        <w:t>people with</w:t>
      </w:r>
      <w:r w:rsidR="00CF33CA" w:rsidRPr="003C413E">
        <w:rPr>
          <w:rFonts w:ascii="Times New Roman" w:hAnsi="Times New Roman" w:cs="Times New Roman"/>
        </w:rPr>
        <w:t xml:space="preserve"> </w:t>
      </w:r>
      <w:r w:rsidRPr="003C413E">
        <w:rPr>
          <w:rFonts w:ascii="Times New Roman" w:hAnsi="Times New Roman" w:cs="Times New Roman"/>
        </w:rPr>
        <w:t xml:space="preserve">gonococcal infection.  </w:t>
      </w:r>
    </w:p>
    <w:p w14:paraId="130A6B7E" w14:textId="77777777" w:rsidR="009544B3" w:rsidRPr="003C413E" w:rsidRDefault="009544B3" w:rsidP="001718E7">
      <w:pPr>
        <w:rPr>
          <w:rFonts w:ascii="Times New Roman" w:hAnsi="Times New Roman" w:cs="Times New Roman"/>
        </w:rPr>
      </w:pPr>
    </w:p>
    <w:p w14:paraId="06C01338" w14:textId="11ADF408" w:rsidR="003739B6" w:rsidRPr="003C413E" w:rsidRDefault="001718E7" w:rsidP="00A1269F">
      <w:pPr>
        <w:pStyle w:val="Heading2"/>
        <w:spacing w:line="360" w:lineRule="auto"/>
        <w:rPr>
          <w:rFonts w:ascii="Times New Roman" w:hAnsi="Times New Roman" w:cs="Times New Roman"/>
        </w:rPr>
      </w:pPr>
      <w:bookmarkStart w:id="32" w:name="_Toc113956989"/>
      <w:r w:rsidRPr="003C413E">
        <w:rPr>
          <w:rFonts w:ascii="Times New Roman" w:hAnsi="Times New Roman" w:cs="Times New Roman"/>
        </w:rPr>
        <w:t>Rate</w:t>
      </w:r>
      <w:r w:rsidR="00CF33CA" w:rsidRPr="003C413E">
        <w:rPr>
          <w:rFonts w:ascii="Times New Roman" w:hAnsi="Times New Roman" w:cs="Times New Roman"/>
        </w:rPr>
        <w:t xml:space="preserve"> </w:t>
      </w:r>
      <w:r w:rsidRPr="003C413E">
        <w:rPr>
          <w:rFonts w:ascii="Times New Roman" w:hAnsi="Times New Roman" w:cs="Times New Roman"/>
        </w:rPr>
        <w:t>of</w:t>
      </w:r>
      <w:r w:rsidR="00CF33CA" w:rsidRPr="003C413E">
        <w:rPr>
          <w:rFonts w:ascii="Times New Roman" w:hAnsi="Times New Roman" w:cs="Times New Roman"/>
        </w:rPr>
        <w:t xml:space="preserve"> </w:t>
      </w:r>
      <w:r w:rsidRPr="003C413E">
        <w:rPr>
          <w:rFonts w:ascii="Times New Roman" w:hAnsi="Times New Roman" w:cs="Times New Roman"/>
        </w:rPr>
        <w:t>Symptomatic</w:t>
      </w:r>
      <w:r w:rsidR="00CF33CA" w:rsidRPr="003C413E">
        <w:rPr>
          <w:rFonts w:ascii="Times New Roman" w:hAnsi="Times New Roman" w:cs="Times New Roman"/>
        </w:rPr>
        <w:t xml:space="preserve"> </w:t>
      </w:r>
      <w:r w:rsidRPr="003C413E">
        <w:rPr>
          <w:rFonts w:ascii="Times New Roman" w:hAnsi="Times New Roman" w:cs="Times New Roman"/>
        </w:rPr>
        <w:t>Treatment</w:t>
      </w:r>
      <w:r w:rsidR="00CF33CA" w:rsidRPr="003C413E">
        <w:rPr>
          <w:rFonts w:ascii="Times New Roman" w:hAnsi="Times New Roman" w:cs="Times New Roman"/>
        </w:rPr>
        <w:t xml:space="preserve"> </w:t>
      </w:r>
      <w:r w:rsidRPr="003C413E">
        <w:rPr>
          <w:rFonts w:ascii="Times New Roman" w:hAnsi="Times New Roman" w:cs="Times New Roman"/>
        </w:rPr>
        <w:t>Seeking</w:t>
      </w:r>
      <w:r w:rsidR="00CF33CA" w:rsidRPr="003C413E">
        <w:rPr>
          <w:rFonts w:ascii="Times New Roman" w:hAnsi="Times New Roman" w:cs="Times New Roman"/>
        </w:rPr>
        <w:t xml:space="preserve"> </w:t>
      </w:r>
      <w:r w:rsidRPr="003C413E">
        <w:rPr>
          <w:rFonts w:ascii="Times New Roman" w:hAnsi="Times New Roman" w:cs="Times New Roman"/>
        </w:rPr>
        <w:t>(τ)</w:t>
      </w:r>
      <w:bookmarkEnd w:id="32"/>
      <w:r w:rsidRPr="003C413E">
        <w:rPr>
          <w:rFonts w:ascii="Times New Roman" w:hAnsi="Times New Roman" w:cs="Times New Roman"/>
        </w:rPr>
        <w:t xml:space="preserve"> </w:t>
      </w:r>
    </w:p>
    <w:p w14:paraId="65CF16D0" w14:textId="61311A4B" w:rsidR="001718E7" w:rsidRPr="003C413E" w:rsidRDefault="001718E7" w:rsidP="00D518DC">
      <w:pPr>
        <w:spacing w:line="360" w:lineRule="auto"/>
        <w:ind w:firstLine="720"/>
        <w:rPr>
          <w:rFonts w:ascii="Times New Roman" w:hAnsi="Times New Roman" w:cs="Times New Roman"/>
        </w:rPr>
      </w:pPr>
      <w:r w:rsidRPr="003C413E">
        <w:rPr>
          <w:rFonts w:ascii="Times New Roman" w:hAnsi="Times New Roman" w:cs="Times New Roman"/>
        </w:rPr>
        <w:t>Among symptomatic</w:t>
      </w:r>
      <w:r w:rsidR="00DF58DC">
        <w:rPr>
          <w:rFonts w:ascii="Times New Roman" w:hAnsi="Times New Roman" w:cs="Times New Roman"/>
        </w:rPr>
        <w:t>ally infected</w:t>
      </w:r>
      <w:r w:rsidRPr="003C413E">
        <w:rPr>
          <w:rFonts w:ascii="Times New Roman" w:hAnsi="Times New Roman" w:cs="Times New Roman"/>
        </w:rPr>
        <w:t xml:space="preserve"> people, we estimated the rate of seeking</w:t>
      </w:r>
      <w:r w:rsidR="00CF33CA" w:rsidRPr="003C413E">
        <w:rPr>
          <w:rFonts w:ascii="Times New Roman" w:hAnsi="Times New Roman" w:cs="Times New Roman"/>
        </w:rPr>
        <w:t xml:space="preserve"> </w:t>
      </w:r>
      <w:r w:rsidRPr="003C413E">
        <w:rPr>
          <w:rFonts w:ascii="Times New Roman" w:hAnsi="Times New Roman" w:cs="Times New Roman"/>
        </w:rPr>
        <w:t>treatment as a function of multiple inputs. These included</w:t>
      </w:r>
      <w:r w:rsidR="00CF33CA" w:rsidRPr="003C413E">
        <w:rPr>
          <w:rFonts w:ascii="Times New Roman" w:hAnsi="Times New Roman" w:cs="Times New Roman"/>
        </w:rPr>
        <w:t xml:space="preserve"> </w:t>
      </w:r>
      <w:r w:rsidRPr="003C413E">
        <w:rPr>
          <w:rFonts w:ascii="Times New Roman" w:hAnsi="Times New Roman" w:cs="Times New Roman"/>
        </w:rPr>
        <w:t>the probability of a person never seeking</w:t>
      </w:r>
      <w:r w:rsidR="00CF33CA" w:rsidRPr="003C413E">
        <w:rPr>
          <w:rFonts w:ascii="Times New Roman" w:hAnsi="Times New Roman" w:cs="Times New Roman"/>
        </w:rPr>
        <w:t xml:space="preserve"> </w:t>
      </w:r>
      <w:r w:rsidRPr="003C413E">
        <w:rPr>
          <w:rFonts w:ascii="Times New Roman" w:hAnsi="Times New Roman" w:cs="Times New Roman"/>
        </w:rPr>
        <w:t>treatment</w:t>
      </w:r>
      <w:r w:rsidR="00CF33CA" w:rsidRPr="003C413E">
        <w:rPr>
          <w:rFonts w:ascii="Times New Roman" w:hAnsi="Times New Roman" w:cs="Times New Roman"/>
        </w:rPr>
        <w:t xml:space="preserve"> </w:t>
      </w:r>
      <w:r w:rsidRPr="003C413E">
        <w:rPr>
          <w:rFonts w:ascii="Times New Roman" w:hAnsi="Times New Roman" w:cs="Times New Roman"/>
        </w:rPr>
        <w:t>(</w:t>
      </w:r>
      <w:r w:rsidR="00B27C4B" w:rsidRPr="003C413E">
        <w:rPr>
          <w:rFonts w:ascii="Times New Roman" w:hAnsi="Times New Roman" w:cs="Times New Roman"/>
        </w:rPr>
        <w:t>ζ</w:t>
      </w:r>
      <w:r w:rsidRPr="003C413E">
        <w:rPr>
          <w:rFonts w:ascii="Times New Roman" w:hAnsi="Times New Roman" w:cs="Times New Roman"/>
        </w:rPr>
        <w:t>), the time from infection acquisition to symptom onset</w:t>
      </w:r>
      <w:r w:rsidR="00CF33CA" w:rsidRPr="003C413E">
        <w:rPr>
          <w:rFonts w:ascii="Times New Roman" w:hAnsi="Times New Roman" w:cs="Times New Roman"/>
        </w:rPr>
        <w:t xml:space="preserve"> </w:t>
      </w:r>
      <w:r w:rsidRPr="003C413E">
        <w:rPr>
          <w:rFonts w:ascii="Times New Roman" w:hAnsi="Times New Roman" w:cs="Times New Roman"/>
        </w:rPr>
        <w:t>(d1), and time from symptom onset to testing due to symptoms (d2). These were combined as: τ</w:t>
      </w:r>
      <w:r w:rsidR="00963DFF" w:rsidRPr="003C413E">
        <w:rPr>
          <w:rFonts w:ascii="Times New Roman" w:hAnsi="Times New Roman" w:cs="Times New Roman"/>
        </w:rPr>
        <w:t xml:space="preserve"> </w:t>
      </w:r>
      <w:r w:rsidRPr="003C413E">
        <w:rPr>
          <w:rFonts w:ascii="Times New Roman" w:hAnsi="Times New Roman" w:cs="Times New Roman"/>
        </w:rPr>
        <w:t>=</w:t>
      </w:r>
      <w:r w:rsidR="00963DFF" w:rsidRPr="003C413E">
        <w:rPr>
          <w:rFonts w:ascii="Times New Roman" w:hAnsi="Times New Roman" w:cs="Times New Roman"/>
        </w:rPr>
        <w:t xml:space="preserve"> </w:t>
      </w:r>
      <w:r w:rsidRPr="003C413E">
        <w:rPr>
          <w:rFonts w:ascii="Times New Roman" w:hAnsi="Times New Roman" w:cs="Times New Roman"/>
        </w:rPr>
        <w:t>(1-</w:t>
      </w:r>
      <w:r w:rsidR="00B27C4B" w:rsidRPr="003C413E">
        <w:rPr>
          <w:rFonts w:ascii="Times New Roman" w:hAnsi="Times New Roman" w:cs="Times New Roman"/>
        </w:rPr>
        <w:t xml:space="preserve"> ζ</w:t>
      </w:r>
      <w:r w:rsidRPr="003C413E">
        <w:rPr>
          <w:rFonts w:ascii="Times New Roman" w:hAnsi="Times New Roman" w:cs="Times New Roman"/>
        </w:rPr>
        <w:t xml:space="preserve">)/(d1+d2). Note that </w:t>
      </w:r>
      <w:r w:rsidR="002E700D" w:rsidRPr="003C413E">
        <w:rPr>
          <w:rFonts w:ascii="Times New Roman" w:hAnsi="Times New Roman" w:cs="Times New Roman"/>
        </w:rPr>
        <w:t>ζ</w:t>
      </w:r>
      <w:r w:rsidRPr="003C413E">
        <w:rPr>
          <w:rFonts w:ascii="Times New Roman" w:hAnsi="Times New Roman" w:cs="Times New Roman"/>
        </w:rPr>
        <w:t xml:space="preserve"> does not represent</w:t>
      </w:r>
      <w:r w:rsidR="00CF33CA" w:rsidRPr="003C413E">
        <w:rPr>
          <w:rFonts w:ascii="Times New Roman" w:hAnsi="Times New Roman" w:cs="Times New Roman"/>
        </w:rPr>
        <w:t xml:space="preserve"> </w:t>
      </w:r>
      <w:r w:rsidRPr="003C413E">
        <w:rPr>
          <w:rFonts w:ascii="Times New Roman" w:hAnsi="Times New Roman" w:cs="Times New Roman"/>
        </w:rPr>
        <w:t xml:space="preserve">the proportion of symptomatic infections that </w:t>
      </w:r>
      <w:r w:rsidR="00F934F7" w:rsidRPr="003C413E">
        <w:rPr>
          <w:rFonts w:ascii="Times New Roman" w:hAnsi="Times New Roman" w:cs="Times New Roman"/>
        </w:rPr>
        <w:t>e</w:t>
      </w:r>
      <w:r w:rsidRPr="003C413E">
        <w:rPr>
          <w:rFonts w:ascii="Times New Roman" w:hAnsi="Times New Roman" w:cs="Times New Roman"/>
        </w:rPr>
        <w:t>ver receive treatment, as this would be given by</w:t>
      </w:r>
      <w:r w:rsidR="0066367C" w:rsidRPr="003C413E">
        <w:rPr>
          <w:rFonts w:ascii="Times New Roman" w:hAnsi="Times New Roman" w:cs="Times New Roman"/>
        </w:rPr>
        <w:t xml:space="preserve"> </w:t>
      </w:r>
      <w:r w:rsidRPr="003C413E">
        <w:rPr>
          <w:rFonts w:ascii="Times New Roman" w:hAnsi="Times New Roman" w:cs="Times New Roman"/>
        </w:rPr>
        <w:t>(</w:t>
      </w:r>
      <w:r w:rsidR="00E56113" w:rsidRPr="003C413E">
        <w:rPr>
          <w:rFonts w:ascii="Times New Roman" w:hAnsi="Times New Roman" w:cs="Times New Roman"/>
        </w:rPr>
        <w:t>σ</w:t>
      </w:r>
      <w:r w:rsidRPr="003C413E">
        <w:rPr>
          <w:rFonts w:ascii="Times New Roman" w:hAnsi="Times New Roman" w:cs="Times New Roman"/>
        </w:rPr>
        <w:t>+</w:t>
      </w:r>
      <w:r w:rsidR="00E56113" w:rsidRPr="003C413E">
        <w:rPr>
          <w:rFonts w:ascii="Times New Roman" w:hAnsi="Times New Roman" w:cs="Times New Roman"/>
        </w:rPr>
        <w:t>τ</w:t>
      </w:r>
      <w:r w:rsidRPr="003C413E">
        <w:rPr>
          <w:rFonts w:ascii="Times New Roman" w:hAnsi="Times New Roman" w:cs="Times New Roman"/>
        </w:rPr>
        <w:t>)/(</w:t>
      </w:r>
      <w:r w:rsidR="00E56113" w:rsidRPr="003C413E">
        <w:rPr>
          <w:rFonts w:ascii="Times New Roman" w:hAnsi="Times New Roman" w:cs="Times New Roman"/>
        </w:rPr>
        <w:t>σ</w:t>
      </w:r>
      <w:r w:rsidRPr="003C413E">
        <w:rPr>
          <w:rFonts w:ascii="Times New Roman" w:hAnsi="Times New Roman" w:cs="Times New Roman"/>
        </w:rPr>
        <w:t>+</w:t>
      </w:r>
      <w:r w:rsidR="00E56113" w:rsidRPr="003C413E">
        <w:rPr>
          <w:rFonts w:ascii="Times New Roman" w:hAnsi="Times New Roman" w:cs="Times New Roman"/>
        </w:rPr>
        <w:t>τ</w:t>
      </w:r>
      <w:r w:rsidRPr="003C413E">
        <w:rPr>
          <w:rFonts w:ascii="Times New Roman" w:hAnsi="Times New Roman" w:cs="Times New Roman"/>
        </w:rPr>
        <w:t>+</w:t>
      </w:r>
      <w:r w:rsidR="00E56113" w:rsidRPr="003C413E">
        <w:rPr>
          <w:rFonts w:ascii="Times New Roman" w:hAnsi="Times New Roman" w:cs="Times New Roman"/>
        </w:rPr>
        <w:t>ψ</w:t>
      </w:r>
      <w:r w:rsidRPr="003C413E">
        <w:rPr>
          <w:rFonts w:ascii="Times New Roman" w:hAnsi="Times New Roman" w:cs="Times New Roman"/>
        </w:rPr>
        <w:t xml:space="preserve">). </w:t>
      </w:r>
    </w:p>
    <w:p w14:paraId="203B2B6C" w14:textId="561A9292" w:rsidR="000D219A" w:rsidRPr="003C413E" w:rsidRDefault="001718E7" w:rsidP="00A83BC4">
      <w:pPr>
        <w:spacing w:line="360" w:lineRule="auto"/>
        <w:ind w:firstLine="720"/>
        <w:rPr>
          <w:rFonts w:ascii="Times New Roman" w:hAnsi="Times New Roman" w:cs="Times New Roman"/>
        </w:rPr>
      </w:pPr>
      <w:r w:rsidRPr="003C413E">
        <w:rPr>
          <w:rFonts w:ascii="Times New Roman" w:hAnsi="Times New Roman" w:cs="Times New Roman"/>
        </w:rPr>
        <w:t>We used estimates from the literature for incubation period to estimate d1</w:t>
      </w:r>
      <w:r w:rsidR="00DF677E" w:rsidRPr="003C413E">
        <w:rPr>
          <w:rFonts w:ascii="Times New Roman" w:hAnsi="Times New Roman" w:cs="Times New Roman"/>
        </w:rPr>
        <w:t xml:space="preserve"> </w:t>
      </w:r>
      <w:r w:rsidRPr="003C413E">
        <w:rPr>
          <w:rFonts w:ascii="Times New Roman" w:hAnsi="Times New Roman" w:cs="Times New Roman"/>
        </w:rPr>
        <w:fldChar w:fldCharType="begin" w:fldLock="1"/>
      </w:r>
      <w:r w:rsidR="00303E7E" w:rsidRPr="003C413E">
        <w:rPr>
          <w:rFonts w:ascii="Times New Roman" w:hAnsi="Times New Roman" w:cs="Times New Roman"/>
        </w:rPr>
        <w:instrText>ADDIN CSL_CITATION {"citationItems":[{"id":"ITEM-1","itemData":{"DOI":"10.1258/0956462021924712","ISSN":"09564624","PMID":"11839163","abstract":"The effectiveness of syndromic treatment as an STD control strategy depends on the proportion of episodes which become symptomatic; few studies have measured this directly. We estimated these proportions for gonorrhoea (NG) and chlamydia (CT), synthesizing data on the point prevalence of self-reported discharge and dysuria among infected cases in rural Uganda, the durations of symptoms, incubation period and asymptomatic episodes, and the effect of treatment on symptom duration. Estimated proportions of episodes that become symptomatic were 45% for males with NG, 11% for males with CT, 14% for females with NG and 6% for females with CT. This was on average 1.5-fold higher than symptom prevalence at cross-section among infected cases in this population. Estimates were sensitive to assumptions on the relative durations of asymptomatic and symptomatic episodes, but were invariably inconsistent with previous direct estimates based on a US cohort study. These results show that the probability of recognizing symptoms in NG and CT episodes varies between settings. In populations with low treatment rates like Uganda, these probabilities can be very low. Here, health education should have priority in STD management programmes.","author":[{"dropping-particle":"","family":"Korenromp","given":"E. L.","non-dropping-particle":"","parse-names":false,"suffix":""},{"dropping-particle":"","family":"Sudaryo","given":"M. K.","non-dropping-particle":"","parse-names":false,"suffix":""},{"dropping-particle":"","family":"Vlas","given":"S. J.","non-dropping-particle":"De","parse-names":false,"suffix":""},{"dropping-particle":"","family":"Gray","given":"R. H.","non-dropping-particle":"","parse-names":false,"suffix":""},{"dropping-particle":"","family":"Sewankambo","given":"N. K.","non-dropping-particle":"","parse-names":false,"suffix":""},{"dropping-particle":"","family":"Serwadda","given":"D.","non-dropping-particle":"","parse-names":false,"suffix":""},{"dropping-particle":"","family":"Wawer","given":"M. J.","non-dropping-particle":"","parse-names":false,"suffix":""},{"dropping-particle":"","family":"Habbema","given":"J. D.F.","non-dropping-particle":"","parse-names":false,"suffix":""}],"container-title":"International Journal of STD and AIDS","id":"ITEM-1","issue":"2","issued":{"date-parts":[["2002","6","25"]]},"page":"91-101","publisher":"SAGE PublicationsSage UK: London, England","title":"What proportion of episodes of gonorrhoea and chlamydia becomes symptomatic?","type":"article-journal","volume":"13"},"uris":["http://www.mendeley.com/documents/?uuid=b0551c92-ae56-3018-bb88-e98016ab8453"]}],"mendeley":{"formattedCitation":"[29]","plainTextFormattedCitation":"[29]","previouslyFormattedCitation":"[28]"},"properties":{"noteIndex":0},"schema":"https://github.com/citation-style-language/schema/raw/master/csl-citation.json"}</w:instrText>
      </w:r>
      <w:r w:rsidRPr="003C413E">
        <w:rPr>
          <w:rFonts w:ascii="Times New Roman" w:hAnsi="Times New Roman" w:cs="Times New Roman"/>
        </w:rPr>
        <w:fldChar w:fldCharType="separate"/>
      </w:r>
      <w:r w:rsidR="00303E7E" w:rsidRPr="003C413E">
        <w:rPr>
          <w:rFonts w:ascii="Times New Roman" w:hAnsi="Times New Roman" w:cs="Times New Roman"/>
          <w:noProof/>
        </w:rPr>
        <w:t>[29]</w:t>
      </w:r>
      <w:r w:rsidRPr="003C413E">
        <w:rPr>
          <w:rFonts w:ascii="Times New Roman" w:hAnsi="Times New Roman" w:cs="Times New Roman"/>
        </w:rPr>
        <w:fldChar w:fldCharType="end"/>
      </w:r>
      <w:r w:rsidRPr="003C413E">
        <w:rPr>
          <w:rFonts w:ascii="Times New Roman" w:hAnsi="Times New Roman" w:cs="Times New Roman"/>
        </w:rPr>
        <w:t>. For gonorrhea, this was 6.2 days (Q1</w:t>
      </w:r>
      <w:r w:rsidR="00CF33CA" w:rsidRPr="003C413E">
        <w:rPr>
          <w:rFonts w:ascii="Times New Roman" w:hAnsi="Times New Roman" w:cs="Times New Roman"/>
        </w:rPr>
        <w:t xml:space="preserve"> </w:t>
      </w:r>
      <w:r w:rsidRPr="003C413E">
        <w:rPr>
          <w:rFonts w:ascii="Times New Roman" w:hAnsi="Times New Roman" w:cs="Times New Roman"/>
        </w:rPr>
        <w:t>=</w:t>
      </w:r>
      <w:r w:rsidR="00CF33CA" w:rsidRPr="003C413E">
        <w:rPr>
          <w:rFonts w:ascii="Times New Roman" w:hAnsi="Times New Roman" w:cs="Times New Roman"/>
        </w:rPr>
        <w:t xml:space="preserve"> </w:t>
      </w:r>
      <w:r w:rsidRPr="003C413E">
        <w:rPr>
          <w:rFonts w:ascii="Times New Roman" w:hAnsi="Times New Roman" w:cs="Times New Roman"/>
        </w:rPr>
        <w:t>4.3</w:t>
      </w:r>
      <w:r w:rsidR="00EF34F7" w:rsidRPr="003C413E">
        <w:rPr>
          <w:rFonts w:ascii="Times New Roman" w:hAnsi="Times New Roman" w:cs="Times New Roman"/>
        </w:rPr>
        <w:t xml:space="preserve"> </w:t>
      </w:r>
      <w:r w:rsidRPr="003C413E">
        <w:rPr>
          <w:rFonts w:ascii="Times New Roman" w:hAnsi="Times New Roman" w:cs="Times New Roman"/>
        </w:rPr>
        <w:t>days, Q3</w:t>
      </w:r>
      <w:r w:rsidR="00CF33CA" w:rsidRPr="003C413E">
        <w:rPr>
          <w:rFonts w:ascii="Times New Roman" w:hAnsi="Times New Roman" w:cs="Times New Roman"/>
        </w:rPr>
        <w:t xml:space="preserve"> </w:t>
      </w:r>
      <w:r w:rsidRPr="003C413E">
        <w:rPr>
          <w:rFonts w:ascii="Times New Roman" w:hAnsi="Times New Roman" w:cs="Times New Roman"/>
        </w:rPr>
        <w:t>=</w:t>
      </w:r>
      <w:r w:rsidR="00CF33CA" w:rsidRPr="003C413E">
        <w:rPr>
          <w:rFonts w:ascii="Times New Roman" w:hAnsi="Times New Roman" w:cs="Times New Roman"/>
        </w:rPr>
        <w:t xml:space="preserve"> </w:t>
      </w:r>
      <w:r w:rsidRPr="003C413E">
        <w:rPr>
          <w:rFonts w:ascii="Times New Roman" w:hAnsi="Times New Roman" w:cs="Times New Roman"/>
        </w:rPr>
        <w:t>8.1 days) in men and 11.2</w:t>
      </w:r>
      <w:r w:rsidR="00CF33CA" w:rsidRPr="003C413E">
        <w:rPr>
          <w:rFonts w:ascii="Times New Roman" w:hAnsi="Times New Roman" w:cs="Times New Roman"/>
        </w:rPr>
        <w:t xml:space="preserve"> </w:t>
      </w:r>
      <w:r w:rsidRPr="003C413E">
        <w:rPr>
          <w:rFonts w:ascii="Times New Roman" w:hAnsi="Times New Roman" w:cs="Times New Roman"/>
        </w:rPr>
        <w:t>days (Q1</w:t>
      </w:r>
      <w:r w:rsidR="00CF33CA" w:rsidRPr="003C413E">
        <w:rPr>
          <w:rFonts w:ascii="Times New Roman" w:hAnsi="Times New Roman" w:cs="Times New Roman"/>
        </w:rPr>
        <w:t xml:space="preserve"> </w:t>
      </w:r>
      <w:r w:rsidRPr="003C413E">
        <w:rPr>
          <w:rFonts w:ascii="Times New Roman" w:hAnsi="Times New Roman" w:cs="Times New Roman"/>
        </w:rPr>
        <w:t>=</w:t>
      </w:r>
      <w:r w:rsidR="00CF33CA" w:rsidRPr="003C413E">
        <w:rPr>
          <w:rFonts w:ascii="Times New Roman" w:hAnsi="Times New Roman" w:cs="Times New Roman"/>
        </w:rPr>
        <w:t xml:space="preserve"> </w:t>
      </w:r>
      <w:r w:rsidRPr="003C413E">
        <w:rPr>
          <w:rFonts w:ascii="Times New Roman" w:hAnsi="Times New Roman" w:cs="Times New Roman"/>
        </w:rPr>
        <w:t>7.9 days, Q3</w:t>
      </w:r>
      <w:r w:rsidR="00CF33CA" w:rsidRPr="003C413E">
        <w:rPr>
          <w:rFonts w:ascii="Times New Roman" w:hAnsi="Times New Roman" w:cs="Times New Roman"/>
        </w:rPr>
        <w:t xml:space="preserve"> </w:t>
      </w:r>
      <w:r w:rsidRPr="003C413E">
        <w:rPr>
          <w:rFonts w:ascii="Times New Roman" w:hAnsi="Times New Roman" w:cs="Times New Roman"/>
        </w:rPr>
        <w:t>=</w:t>
      </w:r>
      <w:r w:rsidR="00CF33CA" w:rsidRPr="003C413E">
        <w:rPr>
          <w:rFonts w:ascii="Times New Roman" w:hAnsi="Times New Roman" w:cs="Times New Roman"/>
        </w:rPr>
        <w:t xml:space="preserve"> </w:t>
      </w:r>
      <w:r w:rsidRPr="003C413E">
        <w:rPr>
          <w:rFonts w:ascii="Times New Roman" w:hAnsi="Times New Roman" w:cs="Times New Roman"/>
        </w:rPr>
        <w:t>14.6days) in women. To estimate d2, we used unpublished data from the STD Surveillance Network (PS13-1306, 2016–2018) summarizing</w:t>
      </w:r>
      <w:r w:rsidR="00CF33CA" w:rsidRPr="003C413E">
        <w:rPr>
          <w:rFonts w:ascii="Times New Roman" w:hAnsi="Times New Roman" w:cs="Times New Roman"/>
        </w:rPr>
        <w:t xml:space="preserve"> </w:t>
      </w:r>
      <w:r w:rsidRPr="003C413E">
        <w:rPr>
          <w:rFonts w:ascii="Times New Roman" w:hAnsi="Times New Roman" w:cs="Times New Roman"/>
        </w:rPr>
        <w:t>time from symptoms to testing (among</w:t>
      </w:r>
      <w:r w:rsidR="00CF33CA" w:rsidRPr="003C413E">
        <w:rPr>
          <w:rFonts w:ascii="Times New Roman" w:hAnsi="Times New Roman" w:cs="Times New Roman"/>
        </w:rPr>
        <w:t xml:space="preserve"> </w:t>
      </w:r>
      <w:r w:rsidRPr="003C413E">
        <w:rPr>
          <w:rFonts w:ascii="Times New Roman" w:hAnsi="Times New Roman" w:cs="Times New Roman"/>
        </w:rPr>
        <w:t>those who sought treatment</w:t>
      </w:r>
      <w:r w:rsidR="00CF33CA" w:rsidRPr="003C413E">
        <w:rPr>
          <w:rFonts w:ascii="Times New Roman" w:hAnsi="Times New Roman" w:cs="Times New Roman"/>
        </w:rPr>
        <w:t xml:space="preserve">). </w:t>
      </w:r>
      <w:r w:rsidRPr="003C413E">
        <w:rPr>
          <w:rFonts w:ascii="Times New Roman" w:hAnsi="Times New Roman" w:cs="Times New Roman"/>
        </w:rPr>
        <w:t>In men, this was 6.5 days (Q1</w:t>
      </w:r>
      <w:r w:rsidR="00CF33CA" w:rsidRPr="003C413E">
        <w:rPr>
          <w:rFonts w:ascii="Times New Roman" w:hAnsi="Times New Roman" w:cs="Times New Roman"/>
        </w:rPr>
        <w:t xml:space="preserve"> </w:t>
      </w:r>
      <w:r w:rsidRPr="003C413E">
        <w:rPr>
          <w:rFonts w:ascii="Times New Roman" w:hAnsi="Times New Roman" w:cs="Times New Roman"/>
        </w:rPr>
        <w:t>=</w:t>
      </w:r>
      <w:r w:rsidR="00CF33CA" w:rsidRPr="003C413E">
        <w:rPr>
          <w:rFonts w:ascii="Times New Roman" w:hAnsi="Times New Roman" w:cs="Times New Roman"/>
        </w:rPr>
        <w:t xml:space="preserve"> </w:t>
      </w:r>
      <w:r w:rsidRPr="003C413E">
        <w:rPr>
          <w:rFonts w:ascii="Times New Roman" w:hAnsi="Times New Roman" w:cs="Times New Roman"/>
        </w:rPr>
        <w:t>6.4 days, Q3</w:t>
      </w:r>
      <w:r w:rsidR="00CF33CA" w:rsidRPr="003C413E">
        <w:rPr>
          <w:rFonts w:ascii="Times New Roman" w:hAnsi="Times New Roman" w:cs="Times New Roman"/>
        </w:rPr>
        <w:t xml:space="preserve"> </w:t>
      </w:r>
      <w:r w:rsidRPr="003C413E">
        <w:rPr>
          <w:rFonts w:ascii="Times New Roman" w:hAnsi="Times New Roman" w:cs="Times New Roman"/>
        </w:rPr>
        <w:t>=</w:t>
      </w:r>
      <w:r w:rsidR="00CF33CA" w:rsidRPr="003C413E">
        <w:rPr>
          <w:rFonts w:ascii="Times New Roman" w:hAnsi="Times New Roman" w:cs="Times New Roman"/>
        </w:rPr>
        <w:t xml:space="preserve"> </w:t>
      </w:r>
      <w:r w:rsidRPr="003C413E">
        <w:rPr>
          <w:rFonts w:ascii="Times New Roman" w:hAnsi="Times New Roman" w:cs="Times New Roman"/>
        </w:rPr>
        <w:t>6.6</w:t>
      </w:r>
      <w:r w:rsidR="00CF33CA" w:rsidRPr="003C413E">
        <w:rPr>
          <w:rFonts w:ascii="Times New Roman" w:hAnsi="Times New Roman" w:cs="Times New Roman"/>
        </w:rPr>
        <w:t xml:space="preserve"> </w:t>
      </w:r>
      <w:r w:rsidRPr="003C413E">
        <w:rPr>
          <w:rFonts w:ascii="Times New Roman" w:hAnsi="Times New Roman" w:cs="Times New Roman"/>
        </w:rPr>
        <w:t>days); in women, this was 13.9 days (Q1</w:t>
      </w:r>
      <w:r w:rsidR="00CF33CA" w:rsidRPr="003C413E">
        <w:rPr>
          <w:rFonts w:ascii="Times New Roman" w:hAnsi="Times New Roman" w:cs="Times New Roman"/>
        </w:rPr>
        <w:t xml:space="preserve"> </w:t>
      </w:r>
      <w:r w:rsidRPr="003C413E">
        <w:rPr>
          <w:rFonts w:ascii="Times New Roman" w:hAnsi="Times New Roman" w:cs="Times New Roman"/>
        </w:rPr>
        <w:t>=</w:t>
      </w:r>
      <w:r w:rsidR="00CF33CA" w:rsidRPr="003C413E">
        <w:rPr>
          <w:rFonts w:ascii="Times New Roman" w:hAnsi="Times New Roman" w:cs="Times New Roman"/>
        </w:rPr>
        <w:t xml:space="preserve"> </w:t>
      </w:r>
      <w:r w:rsidRPr="003C413E">
        <w:rPr>
          <w:rFonts w:ascii="Times New Roman" w:hAnsi="Times New Roman" w:cs="Times New Roman"/>
        </w:rPr>
        <w:t>13.7</w:t>
      </w:r>
      <w:r w:rsidR="00CF33CA" w:rsidRPr="003C413E">
        <w:rPr>
          <w:rFonts w:ascii="Times New Roman" w:hAnsi="Times New Roman" w:cs="Times New Roman"/>
        </w:rPr>
        <w:t xml:space="preserve"> </w:t>
      </w:r>
      <w:r w:rsidRPr="003C413E">
        <w:rPr>
          <w:rFonts w:ascii="Times New Roman" w:hAnsi="Times New Roman" w:cs="Times New Roman"/>
        </w:rPr>
        <w:t>days, Q3</w:t>
      </w:r>
      <w:r w:rsidR="00CF33CA" w:rsidRPr="003C413E">
        <w:rPr>
          <w:rFonts w:ascii="Times New Roman" w:hAnsi="Times New Roman" w:cs="Times New Roman"/>
        </w:rPr>
        <w:t xml:space="preserve"> </w:t>
      </w:r>
      <w:r w:rsidRPr="003C413E">
        <w:rPr>
          <w:rFonts w:ascii="Times New Roman" w:hAnsi="Times New Roman" w:cs="Times New Roman"/>
        </w:rPr>
        <w:t>=</w:t>
      </w:r>
      <w:r w:rsidR="00CF33CA" w:rsidRPr="003C413E">
        <w:rPr>
          <w:rFonts w:ascii="Times New Roman" w:hAnsi="Times New Roman" w:cs="Times New Roman"/>
        </w:rPr>
        <w:t xml:space="preserve"> </w:t>
      </w:r>
      <w:r w:rsidRPr="003C413E">
        <w:rPr>
          <w:rFonts w:ascii="Times New Roman" w:hAnsi="Times New Roman" w:cs="Times New Roman"/>
        </w:rPr>
        <w:t>14.1</w:t>
      </w:r>
      <w:r w:rsidR="00CF33CA" w:rsidRPr="003C413E">
        <w:rPr>
          <w:rFonts w:ascii="Times New Roman" w:hAnsi="Times New Roman" w:cs="Times New Roman"/>
        </w:rPr>
        <w:t xml:space="preserve"> </w:t>
      </w:r>
      <w:r w:rsidRPr="003C413E">
        <w:rPr>
          <w:rFonts w:ascii="Times New Roman" w:hAnsi="Times New Roman" w:cs="Times New Roman"/>
        </w:rPr>
        <w:t xml:space="preserve">days). </w:t>
      </w:r>
      <w:r w:rsidR="00CF33CA" w:rsidRPr="003C413E">
        <w:rPr>
          <w:rFonts w:ascii="Times New Roman" w:hAnsi="Times New Roman" w:cs="Times New Roman"/>
        </w:rPr>
        <w:t xml:space="preserve">We looked at the data over a longer </w:t>
      </w:r>
      <w:r w:rsidR="00D30585" w:rsidRPr="003C413E">
        <w:rPr>
          <w:rFonts w:ascii="Times New Roman" w:hAnsi="Times New Roman" w:cs="Times New Roman"/>
        </w:rPr>
        <w:t>interval</w:t>
      </w:r>
      <w:r w:rsidR="00CF33CA" w:rsidRPr="003C413E">
        <w:rPr>
          <w:rFonts w:ascii="Times New Roman" w:hAnsi="Times New Roman" w:cs="Times New Roman"/>
        </w:rPr>
        <w:t xml:space="preserve"> for this follow-up paper</w:t>
      </w:r>
      <w:r w:rsidR="00D30585" w:rsidRPr="003C413E">
        <w:rPr>
          <w:rFonts w:ascii="Times New Roman" w:hAnsi="Times New Roman" w:cs="Times New Roman"/>
        </w:rPr>
        <w:t xml:space="preserve"> </w:t>
      </w:r>
      <w:r w:rsidR="00CF33CA" w:rsidRPr="003C413E">
        <w:rPr>
          <w:rFonts w:ascii="Times New Roman" w:hAnsi="Times New Roman" w:cs="Times New Roman"/>
        </w:rPr>
        <w:t xml:space="preserve">but based on lack of evidence that this rate has meaningfully changed, we applied the </w:t>
      </w:r>
      <w:r w:rsidR="00D30585" w:rsidRPr="003C413E">
        <w:rPr>
          <w:rFonts w:ascii="Times New Roman" w:hAnsi="Times New Roman" w:cs="Times New Roman"/>
        </w:rPr>
        <w:t>original</w:t>
      </w:r>
      <w:r w:rsidR="00CF33CA" w:rsidRPr="003C413E">
        <w:rPr>
          <w:rFonts w:ascii="Times New Roman" w:hAnsi="Times New Roman" w:cs="Times New Roman"/>
        </w:rPr>
        <w:t xml:space="preserve"> d2 estimate across all years. </w:t>
      </w:r>
      <w:r w:rsidRPr="003C413E">
        <w:rPr>
          <w:rFonts w:ascii="Times New Roman" w:hAnsi="Times New Roman" w:cs="Times New Roman"/>
        </w:rPr>
        <w:t>To estimate (1-</w:t>
      </w:r>
      <w:r w:rsidR="00DC393D" w:rsidRPr="003C413E">
        <w:rPr>
          <w:rFonts w:ascii="Times New Roman" w:hAnsi="Times New Roman" w:cs="Times New Roman"/>
        </w:rPr>
        <w:t xml:space="preserve"> ζ</w:t>
      </w:r>
      <w:r w:rsidRPr="003C413E">
        <w:rPr>
          <w:rFonts w:ascii="Times New Roman" w:hAnsi="Times New Roman" w:cs="Times New Roman"/>
        </w:rPr>
        <w:t>), we used data from Farley et al, which found that only a</w:t>
      </w:r>
      <w:r w:rsidR="00D30585" w:rsidRPr="003C413E">
        <w:rPr>
          <w:rFonts w:ascii="Times New Roman" w:hAnsi="Times New Roman" w:cs="Times New Roman"/>
        </w:rPr>
        <w:t xml:space="preserve"> </w:t>
      </w:r>
      <w:r w:rsidRPr="003C413E">
        <w:rPr>
          <w:rFonts w:ascii="Times New Roman" w:hAnsi="Times New Roman" w:cs="Times New Roman"/>
        </w:rPr>
        <w:t>fraction of symptomatic people never sought treatment</w:t>
      </w:r>
      <w:r w:rsidR="00D30585" w:rsidRPr="003C413E">
        <w:rPr>
          <w:rFonts w:ascii="Times New Roman" w:hAnsi="Times New Roman" w:cs="Times New Roman"/>
        </w:rPr>
        <w:t xml:space="preserve"> </w:t>
      </w:r>
      <w:r w:rsidRPr="003C413E">
        <w:rPr>
          <w:rFonts w:ascii="Times New Roman" w:hAnsi="Times New Roman" w:cs="Times New Roman"/>
        </w:rPr>
        <w:t>due to their urogenital symptoms:</w:t>
      </w:r>
      <w:r w:rsidR="00D30585" w:rsidRPr="003C413E">
        <w:rPr>
          <w:rFonts w:ascii="Times New Roman" w:hAnsi="Times New Roman" w:cs="Times New Roman"/>
        </w:rPr>
        <w:t xml:space="preserve"> </w:t>
      </w:r>
      <w:r w:rsidRPr="003C413E">
        <w:rPr>
          <w:rFonts w:ascii="Times New Roman" w:hAnsi="Times New Roman" w:cs="Times New Roman"/>
        </w:rPr>
        <w:t>20.8% (Q1</w:t>
      </w:r>
      <w:r w:rsidR="00D30585" w:rsidRPr="003C413E">
        <w:rPr>
          <w:rFonts w:ascii="Times New Roman" w:hAnsi="Times New Roman" w:cs="Times New Roman"/>
        </w:rPr>
        <w:t xml:space="preserve"> </w:t>
      </w:r>
      <w:r w:rsidRPr="003C413E">
        <w:rPr>
          <w:rFonts w:ascii="Times New Roman" w:hAnsi="Times New Roman" w:cs="Times New Roman"/>
        </w:rPr>
        <w:t>=</w:t>
      </w:r>
      <w:r w:rsidR="00D30585" w:rsidRPr="003C413E">
        <w:rPr>
          <w:rFonts w:ascii="Times New Roman" w:hAnsi="Times New Roman" w:cs="Times New Roman"/>
        </w:rPr>
        <w:t xml:space="preserve"> </w:t>
      </w:r>
      <w:r w:rsidRPr="003C413E">
        <w:rPr>
          <w:rFonts w:ascii="Times New Roman" w:hAnsi="Times New Roman" w:cs="Times New Roman"/>
        </w:rPr>
        <w:t>19.3%, Q3</w:t>
      </w:r>
      <w:r w:rsidR="00D30585" w:rsidRPr="003C413E">
        <w:rPr>
          <w:rFonts w:ascii="Times New Roman" w:hAnsi="Times New Roman" w:cs="Times New Roman"/>
        </w:rPr>
        <w:t xml:space="preserve"> </w:t>
      </w:r>
      <w:r w:rsidRPr="003C413E">
        <w:rPr>
          <w:rFonts w:ascii="Times New Roman" w:hAnsi="Times New Roman" w:cs="Times New Roman"/>
        </w:rPr>
        <w:t>=</w:t>
      </w:r>
      <w:r w:rsidR="00D30585" w:rsidRPr="003C413E">
        <w:rPr>
          <w:rFonts w:ascii="Times New Roman" w:hAnsi="Times New Roman" w:cs="Times New Roman"/>
        </w:rPr>
        <w:t xml:space="preserve"> </w:t>
      </w:r>
      <w:r w:rsidRPr="003C413E">
        <w:rPr>
          <w:rFonts w:ascii="Times New Roman" w:hAnsi="Times New Roman" w:cs="Times New Roman"/>
        </w:rPr>
        <w:t>22.3%)</w:t>
      </w:r>
      <w:r w:rsidR="00DF677E" w:rsidRPr="003C413E">
        <w:rPr>
          <w:rFonts w:ascii="Times New Roman" w:hAnsi="Times New Roman" w:cs="Times New Roman"/>
        </w:rPr>
        <w:t xml:space="preserve"> </w:t>
      </w:r>
      <w:r w:rsidRPr="003C413E">
        <w:rPr>
          <w:rFonts w:ascii="Times New Roman" w:hAnsi="Times New Roman" w:cs="Times New Roman"/>
        </w:rPr>
        <w:t>(4)</w:t>
      </w:r>
      <w:r w:rsidR="00DF677E" w:rsidRPr="003C413E">
        <w:rPr>
          <w:rFonts w:ascii="Times New Roman" w:hAnsi="Times New Roman" w:cs="Times New Roman"/>
        </w:rPr>
        <w:t>.</w:t>
      </w:r>
      <w:r w:rsidRPr="003C413E">
        <w:rPr>
          <w:rFonts w:ascii="Times New Roman" w:hAnsi="Times New Roman" w:cs="Times New Roman"/>
        </w:rPr>
        <w:t xml:space="preserve"> Non-parametric bootstrapping</w:t>
      </w:r>
      <w:r w:rsidR="00D30585" w:rsidRPr="003C413E">
        <w:rPr>
          <w:rFonts w:ascii="Times New Roman" w:hAnsi="Times New Roman" w:cs="Times New Roman"/>
        </w:rPr>
        <w:t xml:space="preserve"> </w:t>
      </w:r>
      <w:r w:rsidRPr="003C413E">
        <w:rPr>
          <w:rFonts w:ascii="Times New Roman" w:hAnsi="Times New Roman" w:cs="Times New Roman"/>
        </w:rPr>
        <w:t xml:space="preserve">techniques were used to resample data for d2, while uniform and beta </w:t>
      </w:r>
      <w:r w:rsidRPr="003C413E">
        <w:rPr>
          <w:rFonts w:ascii="Times New Roman" w:hAnsi="Times New Roman" w:cs="Times New Roman"/>
        </w:rPr>
        <w:lastRenderedPageBreak/>
        <w:t xml:space="preserve">distributions were sampled from for d1and </w:t>
      </w:r>
      <w:r w:rsidR="00DC393D" w:rsidRPr="003C413E">
        <w:rPr>
          <w:rFonts w:ascii="Times New Roman" w:hAnsi="Times New Roman" w:cs="Times New Roman"/>
        </w:rPr>
        <w:t>ζ</w:t>
      </w:r>
      <w:r w:rsidRPr="003C413E">
        <w:rPr>
          <w:rFonts w:ascii="Times New Roman" w:hAnsi="Times New Roman" w:cs="Times New Roman"/>
        </w:rPr>
        <w:t xml:space="preserve">. </w:t>
      </w:r>
      <w:r w:rsidR="00D4499D" w:rsidRPr="003C413E">
        <w:rPr>
          <w:rFonts w:ascii="Times New Roman" w:hAnsi="Times New Roman" w:cs="Times New Roman"/>
        </w:rPr>
        <w:t>Finally, we assume that the proportion of people with symptomatic infections who will never seek treatment (</w:t>
      </w:r>
      <w:r w:rsidR="00DC393D" w:rsidRPr="003C413E">
        <w:rPr>
          <w:rFonts w:ascii="Times New Roman" w:hAnsi="Times New Roman" w:cs="Times New Roman"/>
        </w:rPr>
        <w:t>ζ</w:t>
      </w:r>
      <w:r w:rsidR="00D4499D" w:rsidRPr="003C413E">
        <w:rPr>
          <w:rFonts w:ascii="Times New Roman" w:hAnsi="Times New Roman" w:cs="Times New Roman"/>
        </w:rPr>
        <w:t xml:space="preserve">) is influenced by the proportion of people who </w:t>
      </w:r>
      <w:r w:rsidR="0081725F">
        <w:rPr>
          <w:rFonts w:ascii="Times New Roman" w:hAnsi="Times New Roman" w:cs="Times New Roman"/>
        </w:rPr>
        <w:t xml:space="preserve">are screened for </w:t>
      </w:r>
      <w:r w:rsidR="00D4499D" w:rsidRPr="003C413E">
        <w:rPr>
          <w:rFonts w:ascii="Times New Roman" w:hAnsi="Times New Roman" w:cs="Times New Roman"/>
        </w:rPr>
        <w:t>STIs (σ).</w:t>
      </w:r>
      <w:r w:rsidR="00D4499D" w:rsidRPr="003C413E">
        <w:rPr>
          <w:rFonts w:ascii="Times New Roman" w:hAnsi="Times New Roman" w:cs="Times New Roman"/>
          <w:b/>
          <w:bCs/>
        </w:rPr>
        <w:t xml:space="preserve"> </w:t>
      </w:r>
      <w:r w:rsidR="00D4499D" w:rsidRPr="003C413E">
        <w:rPr>
          <w:rFonts w:ascii="Times New Roman" w:hAnsi="Times New Roman" w:cs="Times New Roman"/>
        </w:rPr>
        <w:t xml:space="preserve">We adjust </w:t>
      </w:r>
      <w:r w:rsidR="0030242A" w:rsidRPr="003C413E">
        <w:rPr>
          <w:rFonts w:ascii="Times New Roman" w:hAnsi="Times New Roman" w:cs="Times New Roman"/>
        </w:rPr>
        <w:t>ζ</w:t>
      </w:r>
      <w:r w:rsidR="00D4499D" w:rsidRPr="003C413E">
        <w:rPr>
          <w:rFonts w:ascii="Times New Roman" w:hAnsi="Times New Roman" w:cs="Times New Roman"/>
        </w:rPr>
        <w:t xml:space="preserve"> by changes in this proportion over time using 2007 as our screening starting point by the following equation: </w:t>
      </w:r>
      <w:r w:rsidR="00B27C4B" w:rsidRPr="003C413E">
        <w:rPr>
          <w:rFonts w:ascii="Times New Roman" w:hAnsi="Times New Roman" w:cs="Times New Roman"/>
        </w:rPr>
        <w:t xml:space="preserve">ζ </w:t>
      </w:r>
      <w:r w:rsidR="00D4499D" w:rsidRPr="003C413E">
        <w:rPr>
          <w:rFonts w:ascii="Times New Roman" w:hAnsi="Times New Roman" w:cs="Times New Roman"/>
        </w:rPr>
        <w:t xml:space="preserve">_(2007+i) = </w:t>
      </w:r>
      <w:r w:rsidR="00B27C4B" w:rsidRPr="003C413E">
        <w:rPr>
          <w:rFonts w:ascii="Times New Roman" w:hAnsi="Times New Roman" w:cs="Times New Roman"/>
        </w:rPr>
        <w:t xml:space="preserve">ζ </w:t>
      </w:r>
      <w:r w:rsidR="00D4499D" w:rsidRPr="003C413E">
        <w:rPr>
          <w:rFonts w:ascii="Times New Roman" w:hAnsi="Times New Roman" w:cs="Times New Roman"/>
        </w:rPr>
        <w:t>+ σ_2007 – σ_(2007+i). We ran versions of this analysis with and without this correction the difference was minimal</w:t>
      </w:r>
      <w:r w:rsidR="00CC7591" w:rsidRPr="003C413E">
        <w:rPr>
          <w:rFonts w:ascii="Times New Roman" w:hAnsi="Times New Roman" w:cs="Times New Roman"/>
        </w:rPr>
        <w:t xml:space="preserve">, but we still </w:t>
      </w:r>
      <w:r w:rsidR="00111C3A" w:rsidRPr="003C413E">
        <w:rPr>
          <w:rFonts w:ascii="Times New Roman" w:hAnsi="Times New Roman" w:cs="Times New Roman"/>
        </w:rPr>
        <w:t xml:space="preserve">use the time-varying versions </w:t>
      </w:r>
      <w:r w:rsidR="00446CA9" w:rsidRPr="003C413E">
        <w:rPr>
          <w:rFonts w:ascii="Times New Roman" w:hAnsi="Times New Roman" w:cs="Times New Roman"/>
        </w:rPr>
        <w:t xml:space="preserve">to maintain consistency with the </w:t>
      </w:r>
      <w:r w:rsidR="007B69EC" w:rsidRPr="003C413E">
        <w:rPr>
          <w:rFonts w:ascii="Times New Roman" w:hAnsi="Times New Roman" w:cs="Times New Roman"/>
        </w:rPr>
        <w:t>annual screening parameter</w:t>
      </w:r>
      <w:r w:rsidR="00135E18" w:rsidRPr="003C413E">
        <w:rPr>
          <w:rFonts w:ascii="Times New Roman" w:hAnsi="Times New Roman" w:cs="Times New Roman"/>
        </w:rPr>
        <w:t>.</w:t>
      </w:r>
      <w:r w:rsidR="007B69EC" w:rsidRPr="003C413E">
        <w:rPr>
          <w:rFonts w:ascii="Times New Roman" w:hAnsi="Times New Roman" w:cs="Times New Roman"/>
        </w:rPr>
        <w:t xml:space="preserve"> T</w:t>
      </w:r>
      <w:r w:rsidR="00CC7591" w:rsidRPr="003C413E">
        <w:rPr>
          <w:rFonts w:ascii="Times New Roman" w:hAnsi="Times New Roman" w:cs="Times New Roman"/>
        </w:rPr>
        <w:t>he</w:t>
      </w:r>
      <w:r w:rsidR="00111C3A" w:rsidRPr="003C413E">
        <w:rPr>
          <w:rFonts w:ascii="Times New Roman" w:hAnsi="Times New Roman" w:cs="Times New Roman"/>
        </w:rPr>
        <w:t xml:space="preserve"> estimates</w:t>
      </w:r>
      <w:r w:rsidRPr="003C413E">
        <w:rPr>
          <w:rFonts w:ascii="Times New Roman" w:hAnsi="Times New Roman" w:cs="Times New Roman"/>
        </w:rPr>
        <w:t xml:space="preserve"> of the rate (year-1) of and days to symptomatic treatment seeking for gonorrhea, by sex</w:t>
      </w:r>
      <w:r w:rsidR="00111C3A" w:rsidRPr="003C413E">
        <w:rPr>
          <w:rFonts w:ascii="Times New Roman" w:hAnsi="Times New Roman" w:cs="Times New Roman"/>
        </w:rPr>
        <w:t xml:space="preserve"> and NSFG survey year</w:t>
      </w:r>
      <w:r w:rsidRPr="003C413E">
        <w:rPr>
          <w:rFonts w:ascii="Times New Roman" w:hAnsi="Times New Roman" w:cs="Times New Roman"/>
        </w:rPr>
        <w:t xml:space="preserve">, </w:t>
      </w:r>
      <w:r w:rsidR="007B69EC" w:rsidRPr="003C413E">
        <w:rPr>
          <w:rFonts w:ascii="Times New Roman" w:hAnsi="Times New Roman" w:cs="Times New Roman"/>
        </w:rPr>
        <w:t xml:space="preserve">are shown </w:t>
      </w:r>
      <w:r w:rsidRPr="003C413E">
        <w:rPr>
          <w:rFonts w:ascii="Times New Roman" w:hAnsi="Times New Roman" w:cs="Times New Roman"/>
        </w:rPr>
        <w:t xml:space="preserve">in Supplemental Table </w:t>
      </w:r>
      <w:r w:rsidR="00D518DC" w:rsidRPr="003C413E">
        <w:rPr>
          <w:rFonts w:ascii="Times New Roman" w:hAnsi="Times New Roman" w:cs="Times New Roman"/>
        </w:rPr>
        <w:t>S</w:t>
      </w:r>
      <w:r w:rsidR="00870C2A" w:rsidRPr="003C413E">
        <w:rPr>
          <w:rFonts w:ascii="Times New Roman" w:hAnsi="Times New Roman" w:cs="Times New Roman"/>
        </w:rPr>
        <w:t>9</w:t>
      </w:r>
      <w:r w:rsidR="00D518DC" w:rsidRPr="003C413E">
        <w:rPr>
          <w:rFonts w:ascii="Times New Roman" w:hAnsi="Times New Roman" w:cs="Times New Roman"/>
        </w:rPr>
        <w:t xml:space="preserve">. </w:t>
      </w:r>
      <w:r w:rsidRPr="003C413E">
        <w:rPr>
          <w:rFonts w:ascii="Times New Roman" w:hAnsi="Times New Roman" w:cs="Times New Roman"/>
        </w:rPr>
        <w:t xml:space="preserve"> </w:t>
      </w:r>
    </w:p>
    <w:p w14:paraId="437C42C6" w14:textId="77777777" w:rsidR="000D219A" w:rsidRPr="003C413E" w:rsidRDefault="000D219A" w:rsidP="001718E7">
      <w:pPr>
        <w:rPr>
          <w:rFonts w:ascii="Times New Roman" w:hAnsi="Times New Roman" w:cs="Times New Roman"/>
        </w:rPr>
      </w:pPr>
    </w:p>
    <w:p w14:paraId="3F464E0A" w14:textId="2689F5A4" w:rsidR="0020197C" w:rsidRPr="003C413E" w:rsidRDefault="001718E7" w:rsidP="00043B02">
      <w:pPr>
        <w:jc w:val="center"/>
        <w:rPr>
          <w:rFonts w:ascii="Times New Roman" w:hAnsi="Times New Roman" w:cs="Times New Roman"/>
          <w:color w:val="002060"/>
          <w:sz w:val="24"/>
          <w:szCs w:val="24"/>
        </w:rPr>
      </w:pPr>
      <w:bookmarkStart w:id="33" w:name="_Toc113956990"/>
      <w:r w:rsidRPr="003C413E">
        <w:rPr>
          <w:rStyle w:val="Heading3Char"/>
          <w:rFonts w:ascii="Times New Roman" w:hAnsi="Times New Roman" w:cs="Times New Roman"/>
          <w:b/>
          <w:bCs/>
        </w:rPr>
        <w:t xml:space="preserve">Table </w:t>
      </w:r>
      <w:r w:rsidR="0040468A" w:rsidRPr="003C413E">
        <w:rPr>
          <w:rStyle w:val="Heading3Char"/>
          <w:rFonts w:ascii="Times New Roman" w:hAnsi="Times New Roman" w:cs="Times New Roman"/>
          <w:b/>
          <w:bCs/>
        </w:rPr>
        <w:t>S</w:t>
      </w:r>
      <w:r w:rsidR="00043B02" w:rsidRPr="003C413E">
        <w:rPr>
          <w:rStyle w:val="Heading3Char"/>
          <w:rFonts w:ascii="Times New Roman" w:hAnsi="Times New Roman" w:cs="Times New Roman"/>
          <w:b/>
          <w:bCs/>
        </w:rPr>
        <w:t>9</w:t>
      </w:r>
      <w:r w:rsidRPr="003C413E">
        <w:rPr>
          <w:rStyle w:val="Heading3Char"/>
          <w:rFonts w:ascii="Times New Roman" w:hAnsi="Times New Roman" w:cs="Times New Roman"/>
          <w:b/>
          <w:bCs/>
        </w:rPr>
        <w:t>.</w:t>
      </w:r>
      <w:r w:rsidRPr="003C413E">
        <w:rPr>
          <w:rStyle w:val="Heading3Char"/>
          <w:rFonts w:ascii="Times New Roman" w:hAnsi="Times New Roman" w:cs="Times New Roman"/>
        </w:rPr>
        <w:t xml:space="preserve"> Rate of and days to symptomatic treatment seeking for infections due</w:t>
      </w:r>
      <w:r w:rsidR="0020197C" w:rsidRPr="003C413E">
        <w:rPr>
          <w:rStyle w:val="Heading3Char"/>
          <w:rFonts w:ascii="Times New Roman" w:hAnsi="Times New Roman" w:cs="Times New Roman"/>
        </w:rPr>
        <w:t xml:space="preserve"> to</w:t>
      </w:r>
      <w:r w:rsidRPr="003C413E">
        <w:rPr>
          <w:rStyle w:val="Heading3Char"/>
          <w:rFonts w:ascii="Times New Roman" w:hAnsi="Times New Roman" w:cs="Times New Roman"/>
        </w:rPr>
        <w:t xml:space="preserve"> </w:t>
      </w:r>
      <w:r w:rsidRPr="00B3605C">
        <w:rPr>
          <w:rStyle w:val="Heading3Char"/>
          <w:rFonts w:ascii="Times New Roman" w:hAnsi="Times New Roman" w:cs="Times New Roman"/>
          <w:i/>
          <w:iCs/>
        </w:rPr>
        <w:t>Neisseria gonorrhoeae</w:t>
      </w:r>
      <w:r w:rsidRPr="003C413E">
        <w:rPr>
          <w:rStyle w:val="Heading3Char"/>
          <w:rFonts w:ascii="Times New Roman" w:hAnsi="Times New Roman" w:cs="Times New Roman"/>
          <w:color w:val="002060"/>
        </w:rPr>
        <w:t>,</w:t>
      </w:r>
      <w:bookmarkEnd w:id="33"/>
      <w:r w:rsidRPr="003C413E">
        <w:rPr>
          <w:rFonts w:ascii="Times New Roman" w:hAnsi="Times New Roman" w:cs="Times New Roman"/>
          <w:color w:val="002060"/>
          <w:sz w:val="24"/>
          <w:szCs w:val="24"/>
        </w:rPr>
        <w:t xml:space="preserve"> by sex</w:t>
      </w:r>
      <w:r w:rsidR="002F544E" w:rsidRPr="003C413E">
        <w:rPr>
          <w:rFonts w:ascii="Times New Roman" w:hAnsi="Times New Roman" w:cs="Times New Roman"/>
          <w:color w:val="002060"/>
          <w:sz w:val="24"/>
          <w:szCs w:val="24"/>
        </w:rPr>
        <w:t xml:space="preserve"> and </w:t>
      </w:r>
      <w:r w:rsidR="00835E28" w:rsidRPr="003C413E">
        <w:rPr>
          <w:rFonts w:ascii="Times New Roman" w:hAnsi="Times New Roman" w:cs="Times New Roman"/>
          <w:color w:val="002060"/>
          <w:sz w:val="24"/>
          <w:szCs w:val="24"/>
        </w:rPr>
        <w:t>NSFG survey cycle</w:t>
      </w:r>
      <w:r w:rsidRPr="003C413E">
        <w:rPr>
          <w:rFonts w:ascii="Times New Roman" w:hAnsi="Times New Roman" w:cs="Times New Roman"/>
          <w:color w:val="002060"/>
          <w:sz w:val="24"/>
          <w:szCs w:val="24"/>
        </w:rPr>
        <w:t>.</w:t>
      </w:r>
    </w:p>
    <w:tbl>
      <w:tblPr>
        <w:tblStyle w:val="TableGrid"/>
        <w:tblW w:w="0" w:type="auto"/>
        <w:jc w:val="center"/>
        <w:tblLook w:val="04A0" w:firstRow="1" w:lastRow="0" w:firstColumn="1" w:lastColumn="0" w:noHBand="0" w:noVBand="1"/>
      </w:tblPr>
      <w:tblGrid>
        <w:gridCol w:w="2337"/>
        <w:gridCol w:w="2337"/>
        <w:gridCol w:w="2338"/>
        <w:gridCol w:w="2338"/>
      </w:tblGrid>
      <w:tr w:rsidR="008B0F79" w:rsidRPr="003C413E" w14:paraId="2243633D" w14:textId="77777777" w:rsidTr="00F91606">
        <w:trPr>
          <w:jc w:val="center"/>
        </w:trPr>
        <w:tc>
          <w:tcPr>
            <w:tcW w:w="2337" w:type="dxa"/>
            <w:tcBorders>
              <w:top w:val="single" w:sz="4" w:space="0" w:color="auto"/>
              <w:left w:val="nil"/>
              <w:bottom w:val="nil"/>
              <w:right w:val="nil"/>
            </w:tcBorders>
          </w:tcPr>
          <w:p w14:paraId="2270933E" w14:textId="059F2CAE" w:rsidR="008B0F79" w:rsidRPr="003C413E" w:rsidRDefault="008B0F79" w:rsidP="0041263A">
            <w:pPr>
              <w:rPr>
                <w:rFonts w:ascii="Times New Roman" w:hAnsi="Times New Roman" w:cs="Times New Roman"/>
              </w:rPr>
            </w:pPr>
            <w:r w:rsidRPr="003C413E">
              <w:rPr>
                <w:rFonts w:ascii="Times New Roman" w:hAnsi="Times New Roman" w:cs="Times New Roman"/>
              </w:rPr>
              <w:t xml:space="preserve">Year </w:t>
            </w:r>
          </w:p>
        </w:tc>
        <w:tc>
          <w:tcPr>
            <w:tcW w:w="2337" w:type="dxa"/>
            <w:vMerge w:val="restart"/>
            <w:tcBorders>
              <w:top w:val="single" w:sz="4" w:space="0" w:color="auto"/>
              <w:left w:val="nil"/>
              <w:bottom w:val="nil"/>
              <w:right w:val="nil"/>
            </w:tcBorders>
          </w:tcPr>
          <w:p w14:paraId="072CABCE" w14:textId="79B4A6D1" w:rsidR="008B0F79" w:rsidRPr="003C413E" w:rsidRDefault="008B0F79" w:rsidP="0041263A">
            <w:pPr>
              <w:rPr>
                <w:rFonts w:ascii="Times New Roman" w:hAnsi="Times New Roman" w:cs="Times New Roman"/>
              </w:rPr>
            </w:pPr>
            <w:r w:rsidRPr="003C413E">
              <w:rPr>
                <w:rFonts w:ascii="Times New Roman" w:hAnsi="Times New Roman" w:cs="Times New Roman"/>
              </w:rPr>
              <w:t>Sex</w:t>
            </w:r>
          </w:p>
        </w:tc>
        <w:tc>
          <w:tcPr>
            <w:tcW w:w="4676" w:type="dxa"/>
            <w:gridSpan w:val="2"/>
            <w:tcBorders>
              <w:top w:val="single" w:sz="4" w:space="0" w:color="auto"/>
              <w:left w:val="nil"/>
              <w:bottom w:val="nil"/>
              <w:right w:val="nil"/>
            </w:tcBorders>
          </w:tcPr>
          <w:p w14:paraId="57C7ACF7" w14:textId="77777777" w:rsidR="008B0F79" w:rsidRPr="003C413E" w:rsidRDefault="008B0F79" w:rsidP="0041263A">
            <w:pPr>
              <w:jc w:val="center"/>
              <w:rPr>
                <w:rFonts w:ascii="Times New Roman" w:hAnsi="Times New Roman" w:cs="Times New Roman"/>
              </w:rPr>
            </w:pPr>
            <w:r w:rsidRPr="003C413E">
              <w:rPr>
                <w:rFonts w:ascii="Times New Roman" w:hAnsi="Times New Roman" w:cs="Times New Roman"/>
              </w:rPr>
              <w:t>Median</w:t>
            </w:r>
          </w:p>
        </w:tc>
      </w:tr>
      <w:tr w:rsidR="008B0F79" w:rsidRPr="003C413E" w14:paraId="7442759B" w14:textId="77777777" w:rsidTr="00F91606">
        <w:trPr>
          <w:jc w:val="center"/>
        </w:trPr>
        <w:tc>
          <w:tcPr>
            <w:tcW w:w="2337" w:type="dxa"/>
            <w:tcBorders>
              <w:top w:val="nil"/>
              <w:left w:val="nil"/>
              <w:bottom w:val="nil"/>
              <w:right w:val="nil"/>
            </w:tcBorders>
          </w:tcPr>
          <w:p w14:paraId="4A8FED60" w14:textId="77777777" w:rsidR="008B0F79" w:rsidRPr="003C413E" w:rsidRDefault="008B0F79" w:rsidP="0041263A">
            <w:pPr>
              <w:rPr>
                <w:rFonts w:ascii="Times New Roman" w:hAnsi="Times New Roman" w:cs="Times New Roman"/>
              </w:rPr>
            </w:pPr>
          </w:p>
        </w:tc>
        <w:tc>
          <w:tcPr>
            <w:tcW w:w="2337" w:type="dxa"/>
            <w:vMerge/>
            <w:tcBorders>
              <w:top w:val="nil"/>
              <w:left w:val="nil"/>
              <w:bottom w:val="nil"/>
              <w:right w:val="nil"/>
            </w:tcBorders>
          </w:tcPr>
          <w:p w14:paraId="0E42D708" w14:textId="3DADAB43" w:rsidR="008B0F79" w:rsidRPr="003C413E" w:rsidRDefault="008B0F79" w:rsidP="0041263A">
            <w:pPr>
              <w:rPr>
                <w:rFonts w:ascii="Times New Roman" w:hAnsi="Times New Roman" w:cs="Times New Roman"/>
              </w:rPr>
            </w:pPr>
          </w:p>
        </w:tc>
        <w:tc>
          <w:tcPr>
            <w:tcW w:w="4676" w:type="dxa"/>
            <w:gridSpan w:val="2"/>
            <w:tcBorders>
              <w:top w:val="nil"/>
              <w:left w:val="nil"/>
              <w:bottom w:val="single" w:sz="4" w:space="0" w:color="auto"/>
              <w:right w:val="nil"/>
            </w:tcBorders>
          </w:tcPr>
          <w:p w14:paraId="35400667" w14:textId="77777777" w:rsidR="008B0F79" w:rsidRPr="003C413E" w:rsidRDefault="008B0F79" w:rsidP="0041263A">
            <w:pPr>
              <w:jc w:val="center"/>
              <w:rPr>
                <w:rFonts w:ascii="Times New Roman" w:hAnsi="Times New Roman" w:cs="Times New Roman"/>
              </w:rPr>
            </w:pPr>
            <w:r w:rsidRPr="003C413E">
              <w:rPr>
                <w:rFonts w:ascii="Times New Roman" w:hAnsi="Times New Roman" w:cs="Times New Roman"/>
              </w:rPr>
              <w:t>(25</w:t>
            </w:r>
            <w:r w:rsidRPr="003C413E">
              <w:rPr>
                <w:rFonts w:ascii="Times New Roman" w:hAnsi="Times New Roman" w:cs="Times New Roman"/>
                <w:vertAlign w:val="superscript"/>
              </w:rPr>
              <w:t>th</w:t>
            </w:r>
            <w:r w:rsidRPr="003C413E">
              <w:rPr>
                <w:rFonts w:ascii="Times New Roman" w:hAnsi="Times New Roman" w:cs="Times New Roman"/>
              </w:rPr>
              <w:t xml:space="preserve"> – 75</w:t>
            </w:r>
            <w:r w:rsidRPr="003C413E">
              <w:rPr>
                <w:rFonts w:ascii="Times New Roman" w:hAnsi="Times New Roman" w:cs="Times New Roman"/>
                <w:vertAlign w:val="superscript"/>
              </w:rPr>
              <w:t>th</w:t>
            </w:r>
            <w:r w:rsidRPr="003C413E">
              <w:rPr>
                <w:rFonts w:ascii="Times New Roman" w:hAnsi="Times New Roman" w:cs="Times New Roman"/>
              </w:rPr>
              <w:t xml:space="preserve"> Percentile)</w:t>
            </w:r>
          </w:p>
        </w:tc>
      </w:tr>
      <w:tr w:rsidR="008B0F79" w:rsidRPr="003C413E" w14:paraId="7000B79C" w14:textId="77777777" w:rsidTr="00F91606">
        <w:trPr>
          <w:jc w:val="center"/>
        </w:trPr>
        <w:tc>
          <w:tcPr>
            <w:tcW w:w="2337" w:type="dxa"/>
            <w:tcBorders>
              <w:top w:val="nil"/>
              <w:left w:val="nil"/>
              <w:bottom w:val="single" w:sz="4" w:space="0" w:color="auto"/>
              <w:right w:val="nil"/>
            </w:tcBorders>
          </w:tcPr>
          <w:p w14:paraId="351998E0" w14:textId="77777777" w:rsidR="008B0F79" w:rsidRPr="003C413E" w:rsidRDefault="008B0F79" w:rsidP="0041263A">
            <w:pPr>
              <w:rPr>
                <w:rFonts w:ascii="Times New Roman" w:hAnsi="Times New Roman" w:cs="Times New Roman"/>
              </w:rPr>
            </w:pPr>
          </w:p>
        </w:tc>
        <w:tc>
          <w:tcPr>
            <w:tcW w:w="2337" w:type="dxa"/>
            <w:vMerge/>
            <w:tcBorders>
              <w:top w:val="nil"/>
              <w:left w:val="nil"/>
              <w:bottom w:val="single" w:sz="4" w:space="0" w:color="auto"/>
              <w:right w:val="nil"/>
            </w:tcBorders>
          </w:tcPr>
          <w:p w14:paraId="34A6B37F" w14:textId="54A4107E" w:rsidR="008B0F79" w:rsidRPr="003C413E" w:rsidRDefault="008B0F79" w:rsidP="0041263A">
            <w:pPr>
              <w:rPr>
                <w:rFonts w:ascii="Times New Roman" w:hAnsi="Times New Roman" w:cs="Times New Roman"/>
              </w:rPr>
            </w:pPr>
          </w:p>
        </w:tc>
        <w:tc>
          <w:tcPr>
            <w:tcW w:w="2338" w:type="dxa"/>
            <w:tcBorders>
              <w:top w:val="single" w:sz="4" w:space="0" w:color="auto"/>
              <w:left w:val="nil"/>
              <w:bottom w:val="single" w:sz="4" w:space="0" w:color="auto"/>
              <w:right w:val="nil"/>
            </w:tcBorders>
          </w:tcPr>
          <w:p w14:paraId="7A40D019" w14:textId="77777777" w:rsidR="008B0F79" w:rsidRPr="003C413E" w:rsidRDefault="008B0F79" w:rsidP="0041263A">
            <w:pPr>
              <w:jc w:val="center"/>
              <w:rPr>
                <w:rFonts w:ascii="Times New Roman" w:hAnsi="Times New Roman" w:cs="Times New Roman"/>
              </w:rPr>
            </w:pPr>
            <w:r w:rsidRPr="003C413E">
              <w:rPr>
                <w:rFonts w:ascii="Times New Roman" w:hAnsi="Times New Roman" w:cs="Times New Roman"/>
              </w:rPr>
              <w:t>Rate</w:t>
            </w:r>
          </w:p>
        </w:tc>
        <w:tc>
          <w:tcPr>
            <w:tcW w:w="2338" w:type="dxa"/>
            <w:tcBorders>
              <w:top w:val="single" w:sz="4" w:space="0" w:color="auto"/>
              <w:left w:val="nil"/>
              <w:bottom w:val="single" w:sz="4" w:space="0" w:color="auto"/>
              <w:right w:val="nil"/>
            </w:tcBorders>
          </w:tcPr>
          <w:p w14:paraId="237C3B6E" w14:textId="77777777" w:rsidR="008B0F79" w:rsidRPr="003C413E" w:rsidRDefault="008B0F79" w:rsidP="0041263A">
            <w:pPr>
              <w:jc w:val="center"/>
              <w:rPr>
                <w:rFonts w:ascii="Times New Roman" w:hAnsi="Times New Roman" w:cs="Times New Roman"/>
              </w:rPr>
            </w:pPr>
            <w:r w:rsidRPr="003C413E">
              <w:rPr>
                <w:rFonts w:ascii="Times New Roman" w:hAnsi="Times New Roman" w:cs="Times New Roman"/>
              </w:rPr>
              <w:t>Days</w:t>
            </w:r>
          </w:p>
        </w:tc>
      </w:tr>
      <w:tr w:rsidR="008B0F79" w:rsidRPr="003C413E" w14:paraId="663C37E6" w14:textId="77777777" w:rsidTr="00247E1A">
        <w:trPr>
          <w:jc w:val="center"/>
        </w:trPr>
        <w:tc>
          <w:tcPr>
            <w:tcW w:w="2337" w:type="dxa"/>
            <w:tcBorders>
              <w:top w:val="single" w:sz="4" w:space="0" w:color="auto"/>
              <w:left w:val="nil"/>
              <w:bottom w:val="nil"/>
              <w:right w:val="nil"/>
            </w:tcBorders>
            <w:shd w:val="clear" w:color="auto" w:fill="E7E6E6" w:themeFill="background2"/>
          </w:tcPr>
          <w:p w14:paraId="50B05D2F" w14:textId="77777777" w:rsidR="008B0F79" w:rsidRPr="003C413E" w:rsidRDefault="008B0F79" w:rsidP="0041263A">
            <w:pPr>
              <w:rPr>
                <w:rFonts w:ascii="Times New Roman" w:hAnsi="Times New Roman" w:cs="Times New Roman"/>
              </w:rPr>
            </w:pPr>
          </w:p>
        </w:tc>
        <w:tc>
          <w:tcPr>
            <w:tcW w:w="2337" w:type="dxa"/>
            <w:tcBorders>
              <w:top w:val="single" w:sz="4" w:space="0" w:color="auto"/>
              <w:left w:val="nil"/>
              <w:bottom w:val="nil"/>
              <w:right w:val="nil"/>
            </w:tcBorders>
            <w:shd w:val="clear" w:color="auto" w:fill="E7E6E6" w:themeFill="background2"/>
          </w:tcPr>
          <w:p w14:paraId="6690D4E7" w14:textId="0AEA118F" w:rsidR="008B0F79" w:rsidRPr="003C413E" w:rsidRDefault="008B0F79" w:rsidP="0041263A">
            <w:pPr>
              <w:rPr>
                <w:rFonts w:ascii="Times New Roman" w:hAnsi="Times New Roman" w:cs="Times New Roman"/>
              </w:rPr>
            </w:pPr>
            <w:r w:rsidRPr="003C413E">
              <w:rPr>
                <w:rFonts w:ascii="Times New Roman" w:hAnsi="Times New Roman" w:cs="Times New Roman"/>
              </w:rPr>
              <w:t>Men</w:t>
            </w:r>
          </w:p>
        </w:tc>
        <w:tc>
          <w:tcPr>
            <w:tcW w:w="2338" w:type="dxa"/>
            <w:tcBorders>
              <w:top w:val="single" w:sz="4" w:space="0" w:color="auto"/>
              <w:left w:val="nil"/>
              <w:bottom w:val="nil"/>
              <w:right w:val="nil"/>
            </w:tcBorders>
            <w:shd w:val="clear" w:color="auto" w:fill="E7E6E6" w:themeFill="background2"/>
          </w:tcPr>
          <w:p w14:paraId="5D449E39" w14:textId="34F2C757" w:rsidR="008B0F79" w:rsidRPr="003C413E" w:rsidRDefault="00507F3E" w:rsidP="0041263A">
            <w:pPr>
              <w:jc w:val="center"/>
              <w:rPr>
                <w:rFonts w:ascii="Times New Roman" w:hAnsi="Times New Roman" w:cs="Times New Roman"/>
              </w:rPr>
            </w:pPr>
            <w:r w:rsidRPr="003C413E">
              <w:rPr>
                <w:rFonts w:ascii="Times New Roman" w:hAnsi="Times New Roman" w:cs="Times New Roman"/>
              </w:rPr>
              <w:t>26.5</w:t>
            </w:r>
          </w:p>
        </w:tc>
        <w:tc>
          <w:tcPr>
            <w:tcW w:w="2338" w:type="dxa"/>
            <w:tcBorders>
              <w:top w:val="single" w:sz="4" w:space="0" w:color="auto"/>
              <w:left w:val="nil"/>
              <w:bottom w:val="nil"/>
              <w:right w:val="nil"/>
            </w:tcBorders>
            <w:shd w:val="clear" w:color="auto" w:fill="E7E6E6" w:themeFill="background2"/>
          </w:tcPr>
          <w:p w14:paraId="2C76D7A9" w14:textId="61426D9E" w:rsidR="008B0F79" w:rsidRPr="003C413E" w:rsidRDefault="00FF5446" w:rsidP="0041263A">
            <w:pPr>
              <w:jc w:val="center"/>
              <w:rPr>
                <w:rFonts w:ascii="Times New Roman" w:hAnsi="Times New Roman" w:cs="Times New Roman"/>
              </w:rPr>
            </w:pPr>
            <w:r w:rsidRPr="003C413E">
              <w:rPr>
                <w:rFonts w:ascii="Times New Roman" w:hAnsi="Times New Roman" w:cs="Times New Roman"/>
              </w:rPr>
              <w:t>13.8</w:t>
            </w:r>
          </w:p>
        </w:tc>
      </w:tr>
      <w:tr w:rsidR="008B0F79" w:rsidRPr="003C413E" w14:paraId="7924053D" w14:textId="77777777" w:rsidTr="00247E1A">
        <w:trPr>
          <w:jc w:val="center"/>
        </w:trPr>
        <w:tc>
          <w:tcPr>
            <w:tcW w:w="2337" w:type="dxa"/>
            <w:tcBorders>
              <w:top w:val="nil"/>
              <w:left w:val="nil"/>
              <w:bottom w:val="nil"/>
              <w:right w:val="nil"/>
            </w:tcBorders>
            <w:shd w:val="clear" w:color="auto" w:fill="E7E6E6" w:themeFill="background2"/>
          </w:tcPr>
          <w:p w14:paraId="45B7EC61" w14:textId="0BDEFB1A" w:rsidR="008B0F79" w:rsidRPr="003C413E" w:rsidRDefault="008B0F79" w:rsidP="0041263A">
            <w:pPr>
              <w:rPr>
                <w:rFonts w:ascii="Times New Roman" w:hAnsi="Times New Roman" w:cs="Times New Roman"/>
              </w:rPr>
            </w:pPr>
            <w:r w:rsidRPr="003C413E">
              <w:rPr>
                <w:rFonts w:ascii="Times New Roman" w:hAnsi="Times New Roman" w:cs="Times New Roman"/>
              </w:rPr>
              <w:t>2007</w:t>
            </w:r>
            <w:r w:rsidR="008D2973" w:rsidRPr="003C413E">
              <w:rPr>
                <w:rFonts w:ascii="Times New Roman" w:hAnsi="Times New Roman" w:cs="Times New Roman"/>
              </w:rPr>
              <w:t>-2008</w:t>
            </w:r>
          </w:p>
        </w:tc>
        <w:tc>
          <w:tcPr>
            <w:tcW w:w="2337" w:type="dxa"/>
            <w:tcBorders>
              <w:top w:val="nil"/>
              <w:left w:val="nil"/>
              <w:bottom w:val="nil"/>
              <w:right w:val="nil"/>
            </w:tcBorders>
            <w:shd w:val="clear" w:color="auto" w:fill="E7E6E6" w:themeFill="background2"/>
          </w:tcPr>
          <w:p w14:paraId="2F3953AA" w14:textId="7074A3AC" w:rsidR="008B0F79" w:rsidRPr="003C413E" w:rsidRDefault="008B0F79" w:rsidP="0041263A">
            <w:pPr>
              <w:rPr>
                <w:rFonts w:ascii="Times New Roman" w:hAnsi="Times New Roman" w:cs="Times New Roman"/>
              </w:rPr>
            </w:pPr>
          </w:p>
        </w:tc>
        <w:tc>
          <w:tcPr>
            <w:tcW w:w="2338" w:type="dxa"/>
            <w:tcBorders>
              <w:top w:val="nil"/>
              <w:left w:val="nil"/>
              <w:bottom w:val="nil"/>
              <w:right w:val="nil"/>
            </w:tcBorders>
            <w:shd w:val="clear" w:color="auto" w:fill="E7E6E6" w:themeFill="background2"/>
          </w:tcPr>
          <w:p w14:paraId="454B63D2" w14:textId="4267F82B" w:rsidR="008B0F79" w:rsidRPr="003C413E" w:rsidRDefault="008B0F79" w:rsidP="0041263A">
            <w:pPr>
              <w:jc w:val="center"/>
              <w:rPr>
                <w:rFonts w:ascii="Times New Roman" w:hAnsi="Times New Roman" w:cs="Times New Roman"/>
              </w:rPr>
            </w:pPr>
            <w:r w:rsidRPr="003C413E">
              <w:rPr>
                <w:rFonts w:ascii="Times New Roman" w:hAnsi="Times New Roman" w:cs="Times New Roman"/>
              </w:rPr>
              <w:t>(</w:t>
            </w:r>
            <w:r w:rsidR="00ED761A" w:rsidRPr="003C413E">
              <w:rPr>
                <w:rFonts w:ascii="Times New Roman" w:hAnsi="Times New Roman" w:cs="Times New Roman"/>
              </w:rPr>
              <w:t>22.6</w:t>
            </w:r>
            <w:r w:rsidR="00FF5446" w:rsidRPr="003C413E">
              <w:rPr>
                <w:rFonts w:ascii="Times New Roman" w:hAnsi="Times New Roman" w:cs="Times New Roman"/>
              </w:rPr>
              <w:t xml:space="preserve"> </w:t>
            </w:r>
            <w:r w:rsidR="00ED761A" w:rsidRPr="003C413E">
              <w:rPr>
                <w:rFonts w:ascii="Times New Roman" w:hAnsi="Times New Roman" w:cs="Times New Roman"/>
              </w:rPr>
              <w:t>-</w:t>
            </w:r>
            <w:r w:rsidR="00FF5446" w:rsidRPr="003C413E">
              <w:rPr>
                <w:rFonts w:ascii="Times New Roman" w:hAnsi="Times New Roman" w:cs="Times New Roman"/>
              </w:rPr>
              <w:t xml:space="preserve"> 32.2</w:t>
            </w:r>
            <w:r w:rsidRPr="003C413E">
              <w:rPr>
                <w:rFonts w:ascii="Times New Roman" w:hAnsi="Times New Roman" w:cs="Times New Roman"/>
              </w:rPr>
              <w:t>)</w:t>
            </w:r>
          </w:p>
        </w:tc>
        <w:tc>
          <w:tcPr>
            <w:tcW w:w="2338" w:type="dxa"/>
            <w:tcBorders>
              <w:top w:val="nil"/>
              <w:left w:val="nil"/>
              <w:bottom w:val="nil"/>
              <w:right w:val="nil"/>
            </w:tcBorders>
            <w:shd w:val="clear" w:color="auto" w:fill="E7E6E6" w:themeFill="background2"/>
          </w:tcPr>
          <w:p w14:paraId="78413891" w14:textId="161F7A99" w:rsidR="008B0F79" w:rsidRPr="003C413E" w:rsidRDefault="008B0F79" w:rsidP="0041263A">
            <w:pPr>
              <w:jc w:val="center"/>
              <w:rPr>
                <w:rFonts w:ascii="Times New Roman" w:hAnsi="Times New Roman" w:cs="Times New Roman"/>
              </w:rPr>
            </w:pPr>
            <w:r w:rsidRPr="003C413E">
              <w:rPr>
                <w:rFonts w:ascii="Times New Roman" w:hAnsi="Times New Roman" w:cs="Times New Roman"/>
              </w:rPr>
              <w:t>(</w:t>
            </w:r>
            <w:r w:rsidR="00265D0E" w:rsidRPr="003C413E">
              <w:rPr>
                <w:rFonts w:ascii="Times New Roman" w:hAnsi="Times New Roman" w:cs="Times New Roman"/>
              </w:rPr>
              <w:t>11.3</w:t>
            </w:r>
            <w:r w:rsidR="00B63D78" w:rsidRPr="003C413E">
              <w:rPr>
                <w:rFonts w:ascii="Times New Roman" w:hAnsi="Times New Roman" w:cs="Times New Roman"/>
              </w:rPr>
              <w:t xml:space="preserve"> </w:t>
            </w:r>
            <w:r w:rsidR="00483B28" w:rsidRPr="003C413E">
              <w:rPr>
                <w:rFonts w:ascii="Times New Roman" w:hAnsi="Times New Roman" w:cs="Times New Roman"/>
              </w:rPr>
              <w:t>–</w:t>
            </w:r>
            <w:r w:rsidR="00B63D78" w:rsidRPr="003C413E">
              <w:rPr>
                <w:rFonts w:ascii="Times New Roman" w:hAnsi="Times New Roman" w:cs="Times New Roman"/>
              </w:rPr>
              <w:t xml:space="preserve"> </w:t>
            </w:r>
            <w:r w:rsidR="00483B28" w:rsidRPr="003C413E">
              <w:rPr>
                <w:rFonts w:ascii="Times New Roman" w:hAnsi="Times New Roman" w:cs="Times New Roman"/>
              </w:rPr>
              <w:t>16.2</w:t>
            </w:r>
            <w:r w:rsidRPr="003C413E">
              <w:rPr>
                <w:rFonts w:ascii="Times New Roman" w:hAnsi="Times New Roman" w:cs="Times New Roman"/>
              </w:rPr>
              <w:t>)</w:t>
            </w:r>
          </w:p>
        </w:tc>
      </w:tr>
      <w:tr w:rsidR="008B0F79" w:rsidRPr="003C413E" w14:paraId="2A3CBC33" w14:textId="77777777" w:rsidTr="00247E1A">
        <w:trPr>
          <w:jc w:val="center"/>
        </w:trPr>
        <w:tc>
          <w:tcPr>
            <w:tcW w:w="2337" w:type="dxa"/>
            <w:tcBorders>
              <w:top w:val="nil"/>
              <w:left w:val="nil"/>
              <w:bottom w:val="nil"/>
              <w:right w:val="nil"/>
            </w:tcBorders>
            <w:shd w:val="clear" w:color="auto" w:fill="E7E6E6" w:themeFill="background2"/>
          </w:tcPr>
          <w:p w14:paraId="2579E526" w14:textId="77777777" w:rsidR="008B0F79" w:rsidRPr="003C413E" w:rsidRDefault="008B0F79" w:rsidP="0041263A">
            <w:pPr>
              <w:rPr>
                <w:rFonts w:ascii="Times New Roman" w:hAnsi="Times New Roman" w:cs="Times New Roman"/>
              </w:rPr>
            </w:pPr>
          </w:p>
        </w:tc>
        <w:tc>
          <w:tcPr>
            <w:tcW w:w="2337" w:type="dxa"/>
            <w:tcBorders>
              <w:top w:val="nil"/>
              <w:left w:val="nil"/>
              <w:bottom w:val="nil"/>
              <w:right w:val="nil"/>
            </w:tcBorders>
            <w:shd w:val="clear" w:color="auto" w:fill="E7E6E6" w:themeFill="background2"/>
          </w:tcPr>
          <w:p w14:paraId="75E9EB05" w14:textId="4F2A5133" w:rsidR="008B0F79" w:rsidRPr="003C413E" w:rsidRDefault="008B0F79" w:rsidP="0041263A">
            <w:pPr>
              <w:rPr>
                <w:rFonts w:ascii="Times New Roman" w:hAnsi="Times New Roman" w:cs="Times New Roman"/>
              </w:rPr>
            </w:pPr>
            <w:r w:rsidRPr="003C413E">
              <w:rPr>
                <w:rFonts w:ascii="Times New Roman" w:hAnsi="Times New Roman" w:cs="Times New Roman"/>
              </w:rPr>
              <w:t xml:space="preserve">Women </w:t>
            </w:r>
          </w:p>
        </w:tc>
        <w:tc>
          <w:tcPr>
            <w:tcW w:w="2338" w:type="dxa"/>
            <w:tcBorders>
              <w:top w:val="nil"/>
              <w:left w:val="nil"/>
              <w:bottom w:val="nil"/>
              <w:right w:val="nil"/>
            </w:tcBorders>
            <w:shd w:val="clear" w:color="auto" w:fill="E7E6E6" w:themeFill="background2"/>
          </w:tcPr>
          <w:p w14:paraId="29EA1461" w14:textId="34B646B2" w:rsidR="008B0F79" w:rsidRPr="003C413E" w:rsidRDefault="005D56D9" w:rsidP="0041263A">
            <w:pPr>
              <w:jc w:val="center"/>
              <w:rPr>
                <w:rFonts w:ascii="Times New Roman" w:hAnsi="Times New Roman" w:cs="Times New Roman"/>
              </w:rPr>
            </w:pPr>
            <w:r w:rsidRPr="003C413E">
              <w:rPr>
                <w:rFonts w:ascii="Times New Roman" w:hAnsi="Times New Roman" w:cs="Times New Roman"/>
              </w:rPr>
              <w:t>13.3</w:t>
            </w:r>
          </w:p>
        </w:tc>
        <w:tc>
          <w:tcPr>
            <w:tcW w:w="2338" w:type="dxa"/>
            <w:tcBorders>
              <w:top w:val="nil"/>
              <w:left w:val="nil"/>
              <w:bottom w:val="nil"/>
              <w:right w:val="nil"/>
            </w:tcBorders>
            <w:shd w:val="clear" w:color="auto" w:fill="E7E6E6" w:themeFill="background2"/>
          </w:tcPr>
          <w:p w14:paraId="141CA6EE" w14:textId="489FBFF2" w:rsidR="008B0F79" w:rsidRPr="003C413E" w:rsidRDefault="0039577D" w:rsidP="0041263A">
            <w:pPr>
              <w:jc w:val="center"/>
              <w:rPr>
                <w:rFonts w:ascii="Times New Roman" w:hAnsi="Times New Roman" w:cs="Times New Roman"/>
              </w:rPr>
            </w:pPr>
            <w:r w:rsidRPr="003C413E">
              <w:rPr>
                <w:rFonts w:ascii="Times New Roman" w:hAnsi="Times New Roman" w:cs="Times New Roman"/>
              </w:rPr>
              <w:t>27.5</w:t>
            </w:r>
          </w:p>
        </w:tc>
      </w:tr>
      <w:tr w:rsidR="008B0F79" w:rsidRPr="003C413E" w14:paraId="19668C74" w14:textId="77777777" w:rsidTr="00247E1A">
        <w:trPr>
          <w:trHeight w:val="80"/>
          <w:jc w:val="center"/>
        </w:trPr>
        <w:tc>
          <w:tcPr>
            <w:tcW w:w="2337" w:type="dxa"/>
            <w:tcBorders>
              <w:top w:val="nil"/>
              <w:left w:val="nil"/>
              <w:bottom w:val="nil"/>
              <w:right w:val="nil"/>
            </w:tcBorders>
            <w:shd w:val="clear" w:color="auto" w:fill="E7E6E6" w:themeFill="background2"/>
          </w:tcPr>
          <w:p w14:paraId="0B2A74E4" w14:textId="77777777" w:rsidR="008B0F79" w:rsidRPr="003C413E" w:rsidRDefault="008B0F79" w:rsidP="0041263A">
            <w:pPr>
              <w:rPr>
                <w:rFonts w:ascii="Times New Roman" w:hAnsi="Times New Roman" w:cs="Times New Roman"/>
              </w:rPr>
            </w:pPr>
          </w:p>
        </w:tc>
        <w:tc>
          <w:tcPr>
            <w:tcW w:w="2337" w:type="dxa"/>
            <w:tcBorders>
              <w:top w:val="nil"/>
              <w:left w:val="nil"/>
              <w:bottom w:val="nil"/>
              <w:right w:val="nil"/>
            </w:tcBorders>
            <w:shd w:val="clear" w:color="auto" w:fill="E7E6E6" w:themeFill="background2"/>
          </w:tcPr>
          <w:p w14:paraId="770CABCB" w14:textId="262C439C" w:rsidR="008B0F79" w:rsidRPr="003C413E" w:rsidRDefault="008B0F79" w:rsidP="0041263A">
            <w:pPr>
              <w:rPr>
                <w:rFonts w:ascii="Times New Roman" w:hAnsi="Times New Roman" w:cs="Times New Roman"/>
              </w:rPr>
            </w:pPr>
          </w:p>
        </w:tc>
        <w:tc>
          <w:tcPr>
            <w:tcW w:w="2338" w:type="dxa"/>
            <w:tcBorders>
              <w:top w:val="nil"/>
              <w:left w:val="nil"/>
              <w:bottom w:val="nil"/>
              <w:right w:val="nil"/>
            </w:tcBorders>
            <w:shd w:val="clear" w:color="auto" w:fill="E7E6E6" w:themeFill="background2"/>
          </w:tcPr>
          <w:p w14:paraId="3C277E96" w14:textId="7941DFA9" w:rsidR="008B0F79" w:rsidRPr="003C413E" w:rsidRDefault="008B0F79" w:rsidP="0041263A">
            <w:pPr>
              <w:jc w:val="center"/>
              <w:rPr>
                <w:rFonts w:ascii="Times New Roman" w:hAnsi="Times New Roman" w:cs="Times New Roman"/>
              </w:rPr>
            </w:pPr>
            <w:r w:rsidRPr="003C413E">
              <w:rPr>
                <w:rFonts w:ascii="Times New Roman" w:hAnsi="Times New Roman" w:cs="Times New Roman"/>
              </w:rPr>
              <w:t>(</w:t>
            </w:r>
            <w:r w:rsidR="00582779" w:rsidRPr="003C413E">
              <w:rPr>
                <w:rFonts w:ascii="Times New Roman" w:hAnsi="Times New Roman" w:cs="Times New Roman"/>
              </w:rPr>
              <w:t xml:space="preserve">11.5 </w:t>
            </w:r>
            <w:r w:rsidR="00B20F51" w:rsidRPr="003C413E">
              <w:rPr>
                <w:rFonts w:ascii="Times New Roman" w:hAnsi="Times New Roman" w:cs="Times New Roman"/>
              </w:rPr>
              <w:t>–</w:t>
            </w:r>
            <w:r w:rsidR="00582779" w:rsidRPr="003C413E">
              <w:rPr>
                <w:rFonts w:ascii="Times New Roman" w:hAnsi="Times New Roman" w:cs="Times New Roman"/>
              </w:rPr>
              <w:t xml:space="preserve"> </w:t>
            </w:r>
            <w:r w:rsidR="00B20F51" w:rsidRPr="003C413E">
              <w:rPr>
                <w:rFonts w:ascii="Times New Roman" w:hAnsi="Times New Roman" w:cs="Times New Roman"/>
              </w:rPr>
              <w:t>15.8</w:t>
            </w:r>
            <w:r w:rsidRPr="003C413E">
              <w:rPr>
                <w:rFonts w:ascii="Times New Roman" w:hAnsi="Times New Roman" w:cs="Times New Roman"/>
              </w:rPr>
              <w:t>)</w:t>
            </w:r>
          </w:p>
        </w:tc>
        <w:tc>
          <w:tcPr>
            <w:tcW w:w="2338" w:type="dxa"/>
            <w:tcBorders>
              <w:top w:val="nil"/>
              <w:left w:val="nil"/>
              <w:bottom w:val="nil"/>
              <w:right w:val="nil"/>
            </w:tcBorders>
            <w:shd w:val="clear" w:color="auto" w:fill="E7E6E6" w:themeFill="background2"/>
          </w:tcPr>
          <w:p w14:paraId="52301370" w14:textId="43708436" w:rsidR="008B0F79" w:rsidRPr="003C413E" w:rsidRDefault="008B0F79" w:rsidP="0041263A">
            <w:pPr>
              <w:jc w:val="center"/>
              <w:rPr>
                <w:rFonts w:ascii="Times New Roman" w:hAnsi="Times New Roman" w:cs="Times New Roman"/>
              </w:rPr>
            </w:pPr>
            <w:r w:rsidRPr="003C413E">
              <w:rPr>
                <w:rFonts w:ascii="Times New Roman" w:hAnsi="Times New Roman" w:cs="Times New Roman"/>
              </w:rPr>
              <w:t>(</w:t>
            </w:r>
            <w:r w:rsidR="00F7080C" w:rsidRPr="003C413E">
              <w:rPr>
                <w:rFonts w:ascii="Times New Roman" w:hAnsi="Times New Roman" w:cs="Times New Roman"/>
              </w:rPr>
              <w:t xml:space="preserve">23.1 </w:t>
            </w:r>
            <w:r w:rsidR="007F6854" w:rsidRPr="003C413E">
              <w:rPr>
                <w:rFonts w:ascii="Times New Roman" w:hAnsi="Times New Roman" w:cs="Times New Roman"/>
              </w:rPr>
              <w:t>–</w:t>
            </w:r>
            <w:r w:rsidR="00F7080C" w:rsidRPr="003C413E">
              <w:rPr>
                <w:rFonts w:ascii="Times New Roman" w:hAnsi="Times New Roman" w:cs="Times New Roman"/>
              </w:rPr>
              <w:t xml:space="preserve"> </w:t>
            </w:r>
            <w:r w:rsidR="007F6854" w:rsidRPr="003C413E">
              <w:rPr>
                <w:rFonts w:ascii="Times New Roman" w:hAnsi="Times New Roman" w:cs="Times New Roman"/>
              </w:rPr>
              <w:t>31.6</w:t>
            </w:r>
            <w:r w:rsidRPr="003C413E">
              <w:rPr>
                <w:rFonts w:ascii="Times New Roman" w:hAnsi="Times New Roman" w:cs="Times New Roman"/>
              </w:rPr>
              <w:t>)</w:t>
            </w:r>
          </w:p>
        </w:tc>
      </w:tr>
      <w:tr w:rsidR="00247E1A" w:rsidRPr="003C413E" w14:paraId="63324EBC" w14:textId="77777777" w:rsidTr="008B0F79">
        <w:trPr>
          <w:trHeight w:val="80"/>
          <w:jc w:val="center"/>
        </w:trPr>
        <w:tc>
          <w:tcPr>
            <w:tcW w:w="2337" w:type="dxa"/>
            <w:tcBorders>
              <w:top w:val="nil"/>
              <w:left w:val="nil"/>
              <w:bottom w:val="nil"/>
              <w:right w:val="nil"/>
            </w:tcBorders>
          </w:tcPr>
          <w:p w14:paraId="3779B12E" w14:textId="77777777" w:rsidR="00247E1A" w:rsidRPr="003C413E" w:rsidRDefault="00247E1A" w:rsidP="0041263A">
            <w:pPr>
              <w:rPr>
                <w:rFonts w:ascii="Times New Roman" w:hAnsi="Times New Roman" w:cs="Times New Roman"/>
              </w:rPr>
            </w:pPr>
          </w:p>
        </w:tc>
        <w:tc>
          <w:tcPr>
            <w:tcW w:w="2337" w:type="dxa"/>
            <w:tcBorders>
              <w:top w:val="nil"/>
              <w:left w:val="nil"/>
              <w:bottom w:val="nil"/>
              <w:right w:val="nil"/>
            </w:tcBorders>
          </w:tcPr>
          <w:p w14:paraId="528F003C" w14:textId="0124AE52" w:rsidR="00247E1A" w:rsidRPr="003C413E" w:rsidRDefault="00247E1A" w:rsidP="0041263A">
            <w:pPr>
              <w:rPr>
                <w:rFonts w:ascii="Times New Roman" w:hAnsi="Times New Roman" w:cs="Times New Roman"/>
              </w:rPr>
            </w:pPr>
            <w:r w:rsidRPr="003C413E">
              <w:rPr>
                <w:rFonts w:ascii="Times New Roman" w:hAnsi="Times New Roman" w:cs="Times New Roman"/>
              </w:rPr>
              <w:t>Men</w:t>
            </w:r>
          </w:p>
        </w:tc>
        <w:tc>
          <w:tcPr>
            <w:tcW w:w="2338" w:type="dxa"/>
            <w:tcBorders>
              <w:top w:val="nil"/>
              <w:left w:val="nil"/>
              <w:bottom w:val="nil"/>
              <w:right w:val="nil"/>
            </w:tcBorders>
          </w:tcPr>
          <w:p w14:paraId="5308E56C" w14:textId="77403AE8" w:rsidR="00247E1A" w:rsidRPr="003C413E" w:rsidRDefault="00247E1A" w:rsidP="0041263A">
            <w:pPr>
              <w:jc w:val="center"/>
              <w:rPr>
                <w:rFonts w:ascii="Times New Roman" w:hAnsi="Times New Roman" w:cs="Times New Roman"/>
              </w:rPr>
            </w:pPr>
            <w:r w:rsidRPr="003C413E">
              <w:rPr>
                <w:rFonts w:ascii="Times New Roman" w:hAnsi="Times New Roman" w:cs="Times New Roman"/>
              </w:rPr>
              <w:t>26.7</w:t>
            </w:r>
          </w:p>
        </w:tc>
        <w:tc>
          <w:tcPr>
            <w:tcW w:w="2338" w:type="dxa"/>
            <w:tcBorders>
              <w:top w:val="nil"/>
              <w:left w:val="nil"/>
              <w:bottom w:val="nil"/>
              <w:right w:val="nil"/>
            </w:tcBorders>
          </w:tcPr>
          <w:p w14:paraId="17564218" w14:textId="7620BC2F" w:rsidR="00247E1A" w:rsidRPr="003C413E" w:rsidRDefault="00247E1A" w:rsidP="0041263A">
            <w:pPr>
              <w:jc w:val="center"/>
              <w:rPr>
                <w:rFonts w:ascii="Times New Roman" w:hAnsi="Times New Roman" w:cs="Times New Roman"/>
              </w:rPr>
            </w:pPr>
            <w:r w:rsidRPr="003C413E">
              <w:rPr>
                <w:rFonts w:ascii="Times New Roman" w:hAnsi="Times New Roman" w:cs="Times New Roman"/>
              </w:rPr>
              <w:t>13.7</w:t>
            </w:r>
          </w:p>
        </w:tc>
      </w:tr>
      <w:tr w:rsidR="00247E1A" w:rsidRPr="003C413E" w14:paraId="43F974A1" w14:textId="77777777" w:rsidTr="008B0F79">
        <w:trPr>
          <w:trHeight w:val="80"/>
          <w:jc w:val="center"/>
        </w:trPr>
        <w:tc>
          <w:tcPr>
            <w:tcW w:w="2337" w:type="dxa"/>
            <w:tcBorders>
              <w:top w:val="nil"/>
              <w:left w:val="nil"/>
              <w:bottom w:val="nil"/>
              <w:right w:val="nil"/>
            </w:tcBorders>
          </w:tcPr>
          <w:p w14:paraId="1C036F18" w14:textId="60E03DA6" w:rsidR="00247E1A" w:rsidRPr="003C413E" w:rsidRDefault="00247E1A" w:rsidP="002E6DE4">
            <w:pPr>
              <w:rPr>
                <w:rFonts w:ascii="Times New Roman" w:hAnsi="Times New Roman" w:cs="Times New Roman"/>
              </w:rPr>
            </w:pPr>
            <w:r w:rsidRPr="003C413E">
              <w:rPr>
                <w:rFonts w:ascii="Times New Roman" w:hAnsi="Times New Roman" w:cs="Times New Roman"/>
              </w:rPr>
              <w:t>2009-2010</w:t>
            </w:r>
          </w:p>
        </w:tc>
        <w:tc>
          <w:tcPr>
            <w:tcW w:w="2337" w:type="dxa"/>
            <w:tcBorders>
              <w:top w:val="nil"/>
              <w:left w:val="nil"/>
              <w:bottom w:val="nil"/>
              <w:right w:val="nil"/>
            </w:tcBorders>
          </w:tcPr>
          <w:p w14:paraId="4AC9BBAB" w14:textId="15A9FCC6" w:rsidR="00247E1A" w:rsidRPr="003C413E" w:rsidRDefault="00247E1A" w:rsidP="002E6DE4">
            <w:pPr>
              <w:rPr>
                <w:rFonts w:ascii="Times New Roman" w:hAnsi="Times New Roman" w:cs="Times New Roman"/>
              </w:rPr>
            </w:pPr>
          </w:p>
        </w:tc>
        <w:tc>
          <w:tcPr>
            <w:tcW w:w="2338" w:type="dxa"/>
            <w:tcBorders>
              <w:top w:val="nil"/>
              <w:left w:val="nil"/>
              <w:bottom w:val="nil"/>
              <w:right w:val="nil"/>
            </w:tcBorders>
          </w:tcPr>
          <w:p w14:paraId="383161B1" w14:textId="4896AC88" w:rsidR="00247E1A" w:rsidRPr="003C413E" w:rsidRDefault="00247E1A" w:rsidP="002E6DE4">
            <w:pPr>
              <w:jc w:val="center"/>
              <w:rPr>
                <w:rFonts w:ascii="Times New Roman" w:hAnsi="Times New Roman" w:cs="Times New Roman"/>
              </w:rPr>
            </w:pPr>
            <w:r w:rsidRPr="003C413E">
              <w:rPr>
                <w:rFonts w:ascii="Times New Roman" w:hAnsi="Times New Roman" w:cs="Times New Roman"/>
              </w:rPr>
              <w:t>(22.7 – 32.1)</w:t>
            </w:r>
          </w:p>
        </w:tc>
        <w:tc>
          <w:tcPr>
            <w:tcW w:w="2338" w:type="dxa"/>
            <w:tcBorders>
              <w:top w:val="nil"/>
              <w:left w:val="nil"/>
              <w:bottom w:val="nil"/>
              <w:right w:val="nil"/>
            </w:tcBorders>
          </w:tcPr>
          <w:p w14:paraId="597DA395" w14:textId="746A5B19" w:rsidR="00247E1A" w:rsidRPr="003C413E" w:rsidRDefault="00247E1A" w:rsidP="002E6DE4">
            <w:pPr>
              <w:jc w:val="center"/>
              <w:rPr>
                <w:rFonts w:ascii="Times New Roman" w:hAnsi="Times New Roman" w:cs="Times New Roman"/>
              </w:rPr>
            </w:pPr>
            <w:r w:rsidRPr="003C413E">
              <w:rPr>
                <w:rFonts w:ascii="Times New Roman" w:hAnsi="Times New Roman" w:cs="Times New Roman"/>
              </w:rPr>
              <w:t>(11.4 – 16.1)</w:t>
            </w:r>
          </w:p>
        </w:tc>
      </w:tr>
      <w:tr w:rsidR="00247E1A" w:rsidRPr="003C413E" w14:paraId="25712E0C" w14:textId="77777777" w:rsidTr="008B0F79">
        <w:trPr>
          <w:trHeight w:val="80"/>
          <w:jc w:val="center"/>
        </w:trPr>
        <w:tc>
          <w:tcPr>
            <w:tcW w:w="2337" w:type="dxa"/>
            <w:tcBorders>
              <w:top w:val="nil"/>
              <w:left w:val="nil"/>
              <w:bottom w:val="nil"/>
              <w:right w:val="nil"/>
            </w:tcBorders>
          </w:tcPr>
          <w:p w14:paraId="53FC14BC" w14:textId="2F35CC43" w:rsidR="00247E1A" w:rsidRPr="003C413E" w:rsidRDefault="00247E1A" w:rsidP="002E6DE4">
            <w:pPr>
              <w:rPr>
                <w:rFonts w:ascii="Times New Roman" w:hAnsi="Times New Roman" w:cs="Times New Roman"/>
              </w:rPr>
            </w:pPr>
          </w:p>
        </w:tc>
        <w:tc>
          <w:tcPr>
            <w:tcW w:w="2337" w:type="dxa"/>
            <w:tcBorders>
              <w:top w:val="nil"/>
              <w:left w:val="nil"/>
              <w:bottom w:val="nil"/>
              <w:right w:val="nil"/>
            </w:tcBorders>
          </w:tcPr>
          <w:p w14:paraId="08B45EBF" w14:textId="3DE9FBAF" w:rsidR="00247E1A" w:rsidRPr="003C413E" w:rsidRDefault="00247E1A" w:rsidP="002E6DE4">
            <w:pPr>
              <w:rPr>
                <w:rFonts w:ascii="Times New Roman" w:hAnsi="Times New Roman" w:cs="Times New Roman"/>
              </w:rPr>
            </w:pPr>
            <w:r w:rsidRPr="003C413E">
              <w:rPr>
                <w:rFonts w:ascii="Times New Roman" w:hAnsi="Times New Roman" w:cs="Times New Roman"/>
              </w:rPr>
              <w:t xml:space="preserve">Women </w:t>
            </w:r>
          </w:p>
        </w:tc>
        <w:tc>
          <w:tcPr>
            <w:tcW w:w="2338" w:type="dxa"/>
            <w:tcBorders>
              <w:top w:val="nil"/>
              <w:left w:val="nil"/>
              <w:bottom w:val="nil"/>
              <w:right w:val="nil"/>
            </w:tcBorders>
          </w:tcPr>
          <w:p w14:paraId="0AA36ED3" w14:textId="6481D58D" w:rsidR="00247E1A" w:rsidRPr="003C413E" w:rsidRDefault="00247E1A" w:rsidP="002E6DE4">
            <w:pPr>
              <w:jc w:val="center"/>
              <w:rPr>
                <w:rFonts w:ascii="Times New Roman" w:hAnsi="Times New Roman" w:cs="Times New Roman"/>
              </w:rPr>
            </w:pPr>
            <w:r w:rsidRPr="003C413E">
              <w:rPr>
                <w:rFonts w:ascii="Times New Roman" w:hAnsi="Times New Roman" w:cs="Times New Roman"/>
              </w:rPr>
              <w:t>13.3</w:t>
            </w:r>
          </w:p>
        </w:tc>
        <w:tc>
          <w:tcPr>
            <w:tcW w:w="2338" w:type="dxa"/>
            <w:tcBorders>
              <w:top w:val="nil"/>
              <w:left w:val="nil"/>
              <w:bottom w:val="nil"/>
              <w:right w:val="nil"/>
            </w:tcBorders>
          </w:tcPr>
          <w:p w14:paraId="3ADF594A" w14:textId="317E7C1D" w:rsidR="00247E1A" w:rsidRPr="003C413E" w:rsidRDefault="00247E1A" w:rsidP="002E6DE4">
            <w:pPr>
              <w:jc w:val="center"/>
              <w:rPr>
                <w:rFonts w:ascii="Times New Roman" w:hAnsi="Times New Roman" w:cs="Times New Roman"/>
              </w:rPr>
            </w:pPr>
            <w:r w:rsidRPr="003C413E">
              <w:rPr>
                <w:rFonts w:ascii="Times New Roman" w:hAnsi="Times New Roman" w:cs="Times New Roman"/>
              </w:rPr>
              <w:t>27.4</w:t>
            </w:r>
          </w:p>
        </w:tc>
      </w:tr>
      <w:tr w:rsidR="00247E1A" w:rsidRPr="003C413E" w14:paraId="5DA5AA0E" w14:textId="77777777" w:rsidTr="000D219A">
        <w:trPr>
          <w:trHeight w:val="80"/>
          <w:jc w:val="center"/>
        </w:trPr>
        <w:tc>
          <w:tcPr>
            <w:tcW w:w="2337" w:type="dxa"/>
            <w:tcBorders>
              <w:top w:val="nil"/>
              <w:left w:val="nil"/>
              <w:bottom w:val="nil"/>
              <w:right w:val="nil"/>
            </w:tcBorders>
          </w:tcPr>
          <w:p w14:paraId="1F4FA754" w14:textId="77777777" w:rsidR="00247E1A" w:rsidRPr="003C413E" w:rsidRDefault="00247E1A" w:rsidP="002E6DE4">
            <w:pPr>
              <w:rPr>
                <w:rFonts w:ascii="Times New Roman" w:hAnsi="Times New Roman" w:cs="Times New Roman"/>
              </w:rPr>
            </w:pPr>
          </w:p>
        </w:tc>
        <w:tc>
          <w:tcPr>
            <w:tcW w:w="2337" w:type="dxa"/>
            <w:tcBorders>
              <w:top w:val="nil"/>
              <w:left w:val="nil"/>
              <w:bottom w:val="nil"/>
              <w:right w:val="nil"/>
            </w:tcBorders>
          </w:tcPr>
          <w:p w14:paraId="4DD2FCEF" w14:textId="5C6C3934" w:rsidR="00247E1A" w:rsidRPr="003C413E" w:rsidRDefault="00247E1A" w:rsidP="002E6DE4">
            <w:pPr>
              <w:rPr>
                <w:rFonts w:ascii="Times New Roman" w:hAnsi="Times New Roman" w:cs="Times New Roman"/>
              </w:rPr>
            </w:pPr>
          </w:p>
        </w:tc>
        <w:tc>
          <w:tcPr>
            <w:tcW w:w="2338" w:type="dxa"/>
            <w:tcBorders>
              <w:top w:val="nil"/>
              <w:left w:val="nil"/>
              <w:bottom w:val="nil"/>
              <w:right w:val="nil"/>
            </w:tcBorders>
          </w:tcPr>
          <w:p w14:paraId="323E383D" w14:textId="0183DBCC" w:rsidR="00247E1A" w:rsidRPr="003C413E" w:rsidRDefault="00247E1A" w:rsidP="002E6DE4">
            <w:pPr>
              <w:jc w:val="center"/>
              <w:rPr>
                <w:rFonts w:ascii="Times New Roman" w:hAnsi="Times New Roman" w:cs="Times New Roman"/>
              </w:rPr>
            </w:pPr>
            <w:r w:rsidRPr="003C413E">
              <w:rPr>
                <w:rFonts w:ascii="Times New Roman" w:hAnsi="Times New Roman" w:cs="Times New Roman"/>
              </w:rPr>
              <w:t>(11.6 – 15.8)</w:t>
            </w:r>
          </w:p>
        </w:tc>
        <w:tc>
          <w:tcPr>
            <w:tcW w:w="2338" w:type="dxa"/>
            <w:tcBorders>
              <w:top w:val="nil"/>
              <w:left w:val="nil"/>
              <w:bottom w:val="nil"/>
              <w:right w:val="nil"/>
            </w:tcBorders>
          </w:tcPr>
          <w:p w14:paraId="180046B7" w14:textId="5471CE9D" w:rsidR="00247E1A" w:rsidRPr="003C413E" w:rsidRDefault="00247E1A" w:rsidP="002E6DE4">
            <w:pPr>
              <w:jc w:val="center"/>
              <w:rPr>
                <w:rFonts w:ascii="Times New Roman" w:hAnsi="Times New Roman" w:cs="Times New Roman"/>
              </w:rPr>
            </w:pPr>
            <w:r w:rsidRPr="003C413E">
              <w:rPr>
                <w:rFonts w:ascii="Times New Roman" w:hAnsi="Times New Roman" w:cs="Times New Roman"/>
              </w:rPr>
              <w:t>(23.1 – 31.5)</w:t>
            </w:r>
          </w:p>
        </w:tc>
      </w:tr>
      <w:tr w:rsidR="00C54FDB" w:rsidRPr="003C413E" w14:paraId="0DC65005" w14:textId="77777777" w:rsidTr="00247E1A">
        <w:trPr>
          <w:trHeight w:val="80"/>
          <w:jc w:val="center"/>
        </w:trPr>
        <w:tc>
          <w:tcPr>
            <w:tcW w:w="2337" w:type="dxa"/>
            <w:tcBorders>
              <w:top w:val="nil"/>
              <w:left w:val="nil"/>
              <w:bottom w:val="nil"/>
              <w:right w:val="nil"/>
            </w:tcBorders>
            <w:shd w:val="clear" w:color="auto" w:fill="E7E6E6" w:themeFill="background2"/>
          </w:tcPr>
          <w:p w14:paraId="7525F1C9" w14:textId="77777777" w:rsidR="00C54FDB" w:rsidRPr="003C413E" w:rsidRDefault="00C54FDB" w:rsidP="00C54FDB">
            <w:pPr>
              <w:rPr>
                <w:rFonts w:ascii="Times New Roman" w:hAnsi="Times New Roman" w:cs="Times New Roman"/>
              </w:rPr>
            </w:pPr>
          </w:p>
        </w:tc>
        <w:tc>
          <w:tcPr>
            <w:tcW w:w="2337" w:type="dxa"/>
            <w:tcBorders>
              <w:top w:val="nil"/>
              <w:left w:val="nil"/>
              <w:bottom w:val="nil"/>
              <w:right w:val="nil"/>
            </w:tcBorders>
            <w:shd w:val="clear" w:color="auto" w:fill="E7E6E6" w:themeFill="background2"/>
          </w:tcPr>
          <w:p w14:paraId="4BB9A4A7" w14:textId="33B4FA3B" w:rsidR="00C54FDB" w:rsidRPr="003C413E" w:rsidRDefault="00C54FDB" w:rsidP="00C54FDB">
            <w:pPr>
              <w:rPr>
                <w:rFonts w:ascii="Times New Roman" w:hAnsi="Times New Roman" w:cs="Times New Roman"/>
              </w:rPr>
            </w:pPr>
            <w:r w:rsidRPr="003C413E">
              <w:rPr>
                <w:rFonts w:ascii="Times New Roman" w:hAnsi="Times New Roman" w:cs="Times New Roman"/>
              </w:rPr>
              <w:t>Men</w:t>
            </w:r>
          </w:p>
        </w:tc>
        <w:tc>
          <w:tcPr>
            <w:tcW w:w="2338" w:type="dxa"/>
            <w:tcBorders>
              <w:top w:val="nil"/>
              <w:left w:val="nil"/>
              <w:bottom w:val="nil"/>
              <w:right w:val="nil"/>
            </w:tcBorders>
            <w:shd w:val="clear" w:color="auto" w:fill="E7E6E6" w:themeFill="background2"/>
          </w:tcPr>
          <w:p w14:paraId="2BEE8598" w14:textId="7DF71468" w:rsidR="00C54FDB" w:rsidRPr="003C413E" w:rsidRDefault="00C54FDB" w:rsidP="00C54FDB">
            <w:pPr>
              <w:jc w:val="center"/>
              <w:rPr>
                <w:rFonts w:ascii="Times New Roman" w:hAnsi="Times New Roman" w:cs="Times New Roman"/>
              </w:rPr>
            </w:pPr>
            <w:r w:rsidRPr="003C413E">
              <w:rPr>
                <w:rFonts w:ascii="Times New Roman" w:hAnsi="Times New Roman" w:cs="Times New Roman"/>
              </w:rPr>
              <w:t>26.7</w:t>
            </w:r>
          </w:p>
        </w:tc>
        <w:tc>
          <w:tcPr>
            <w:tcW w:w="2338" w:type="dxa"/>
            <w:tcBorders>
              <w:top w:val="nil"/>
              <w:left w:val="nil"/>
              <w:bottom w:val="nil"/>
              <w:right w:val="nil"/>
            </w:tcBorders>
            <w:shd w:val="clear" w:color="auto" w:fill="E7E6E6" w:themeFill="background2"/>
          </w:tcPr>
          <w:p w14:paraId="7887D369" w14:textId="0AD6E108" w:rsidR="00C54FDB" w:rsidRPr="003C413E" w:rsidRDefault="00C54FDB" w:rsidP="00C54FDB">
            <w:pPr>
              <w:jc w:val="center"/>
              <w:rPr>
                <w:rFonts w:ascii="Times New Roman" w:hAnsi="Times New Roman" w:cs="Times New Roman"/>
              </w:rPr>
            </w:pPr>
            <w:r w:rsidRPr="003C413E">
              <w:rPr>
                <w:rFonts w:ascii="Times New Roman" w:hAnsi="Times New Roman" w:cs="Times New Roman"/>
              </w:rPr>
              <w:t>13.7</w:t>
            </w:r>
          </w:p>
        </w:tc>
      </w:tr>
      <w:tr w:rsidR="00C54FDB" w:rsidRPr="003C413E" w14:paraId="080AF167" w14:textId="77777777" w:rsidTr="00247E1A">
        <w:trPr>
          <w:trHeight w:val="80"/>
          <w:jc w:val="center"/>
        </w:trPr>
        <w:tc>
          <w:tcPr>
            <w:tcW w:w="2337" w:type="dxa"/>
            <w:tcBorders>
              <w:top w:val="nil"/>
              <w:left w:val="nil"/>
              <w:bottom w:val="nil"/>
              <w:right w:val="nil"/>
            </w:tcBorders>
            <w:shd w:val="clear" w:color="auto" w:fill="E7E6E6" w:themeFill="background2"/>
          </w:tcPr>
          <w:p w14:paraId="630E2088" w14:textId="40F069A6" w:rsidR="00C54FDB" w:rsidRPr="003C413E" w:rsidRDefault="00C54FDB" w:rsidP="00C54FDB">
            <w:pPr>
              <w:rPr>
                <w:rFonts w:ascii="Times New Roman" w:hAnsi="Times New Roman" w:cs="Times New Roman"/>
              </w:rPr>
            </w:pPr>
            <w:r w:rsidRPr="003C413E">
              <w:rPr>
                <w:rFonts w:ascii="Times New Roman" w:hAnsi="Times New Roman" w:cs="Times New Roman"/>
              </w:rPr>
              <w:t>2011-2012</w:t>
            </w:r>
          </w:p>
        </w:tc>
        <w:tc>
          <w:tcPr>
            <w:tcW w:w="2337" w:type="dxa"/>
            <w:tcBorders>
              <w:top w:val="nil"/>
              <w:left w:val="nil"/>
              <w:bottom w:val="nil"/>
              <w:right w:val="nil"/>
            </w:tcBorders>
            <w:shd w:val="clear" w:color="auto" w:fill="E7E6E6" w:themeFill="background2"/>
          </w:tcPr>
          <w:p w14:paraId="3002E330" w14:textId="6211D254" w:rsidR="00C54FDB" w:rsidRPr="003C413E" w:rsidRDefault="00C54FDB" w:rsidP="00C54FDB">
            <w:pPr>
              <w:rPr>
                <w:rFonts w:ascii="Times New Roman" w:hAnsi="Times New Roman" w:cs="Times New Roman"/>
              </w:rPr>
            </w:pPr>
          </w:p>
        </w:tc>
        <w:tc>
          <w:tcPr>
            <w:tcW w:w="2338" w:type="dxa"/>
            <w:tcBorders>
              <w:top w:val="nil"/>
              <w:left w:val="nil"/>
              <w:bottom w:val="nil"/>
              <w:right w:val="nil"/>
            </w:tcBorders>
            <w:shd w:val="clear" w:color="auto" w:fill="E7E6E6" w:themeFill="background2"/>
          </w:tcPr>
          <w:p w14:paraId="79D283D9" w14:textId="70FA9ED2" w:rsidR="00C54FDB" w:rsidRPr="003C413E" w:rsidRDefault="00C54FDB" w:rsidP="00C54FDB">
            <w:pPr>
              <w:jc w:val="center"/>
              <w:rPr>
                <w:rFonts w:ascii="Times New Roman" w:hAnsi="Times New Roman" w:cs="Times New Roman"/>
              </w:rPr>
            </w:pPr>
            <w:r w:rsidRPr="003C413E">
              <w:rPr>
                <w:rFonts w:ascii="Times New Roman" w:hAnsi="Times New Roman" w:cs="Times New Roman"/>
              </w:rPr>
              <w:t>(22.7 – 32.</w:t>
            </w:r>
            <w:r w:rsidR="00750771" w:rsidRPr="003C413E">
              <w:rPr>
                <w:rFonts w:ascii="Times New Roman" w:hAnsi="Times New Roman" w:cs="Times New Roman"/>
              </w:rPr>
              <w:t>2</w:t>
            </w:r>
            <w:r w:rsidRPr="003C413E">
              <w:rPr>
                <w:rFonts w:ascii="Times New Roman" w:hAnsi="Times New Roman" w:cs="Times New Roman"/>
              </w:rPr>
              <w:t>)</w:t>
            </w:r>
          </w:p>
        </w:tc>
        <w:tc>
          <w:tcPr>
            <w:tcW w:w="2338" w:type="dxa"/>
            <w:tcBorders>
              <w:top w:val="nil"/>
              <w:left w:val="nil"/>
              <w:bottom w:val="nil"/>
              <w:right w:val="nil"/>
            </w:tcBorders>
            <w:shd w:val="clear" w:color="auto" w:fill="E7E6E6" w:themeFill="background2"/>
          </w:tcPr>
          <w:p w14:paraId="1C190CC0" w14:textId="326422C5" w:rsidR="00C54FDB" w:rsidRPr="003C413E" w:rsidRDefault="00C54FDB" w:rsidP="00C54FDB">
            <w:pPr>
              <w:jc w:val="center"/>
              <w:rPr>
                <w:rFonts w:ascii="Times New Roman" w:hAnsi="Times New Roman" w:cs="Times New Roman"/>
              </w:rPr>
            </w:pPr>
            <w:r w:rsidRPr="003C413E">
              <w:rPr>
                <w:rFonts w:ascii="Times New Roman" w:hAnsi="Times New Roman" w:cs="Times New Roman"/>
              </w:rPr>
              <w:t>(11.</w:t>
            </w:r>
            <w:r w:rsidR="00326756" w:rsidRPr="003C413E">
              <w:rPr>
                <w:rFonts w:ascii="Times New Roman" w:hAnsi="Times New Roman" w:cs="Times New Roman"/>
              </w:rPr>
              <w:t>3</w:t>
            </w:r>
            <w:r w:rsidRPr="003C413E">
              <w:rPr>
                <w:rFonts w:ascii="Times New Roman" w:hAnsi="Times New Roman" w:cs="Times New Roman"/>
              </w:rPr>
              <w:t xml:space="preserve"> – 16.1)</w:t>
            </w:r>
          </w:p>
        </w:tc>
      </w:tr>
      <w:tr w:rsidR="00C54FDB" w:rsidRPr="003C413E" w14:paraId="497D71D1" w14:textId="77777777" w:rsidTr="00247E1A">
        <w:trPr>
          <w:trHeight w:val="80"/>
          <w:jc w:val="center"/>
        </w:trPr>
        <w:tc>
          <w:tcPr>
            <w:tcW w:w="2337" w:type="dxa"/>
            <w:tcBorders>
              <w:top w:val="nil"/>
              <w:left w:val="nil"/>
              <w:bottom w:val="nil"/>
              <w:right w:val="nil"/>
            </w:tcBorders>
            <w:shd w:val="clear" w:color="auto" w:fill="E7E6E6" w:themeFill="background2"/>
          </w:tcPr>
          <w:p w14:paraId="36DA7D4A" w14:textId="60BED63A" w:rsidR="00C54FDB" w:rsidRPr="003C413E" w:rsidRDefault="00C54FDB" w:rsidP="00C54FDB">
            <w:pPr>
              <w:rPr>
                <w:rFonts w:ascii="Times New Roman" w:hAnsi="Times New Roman" w:cs="Times New Roman"/>
              </w:rPr>
            </w:pPr>
          </w:p>
        </w:tc>
        <w:tc>
          <w:tcPr>
            <w:tcW w:w="2337" w:type="dxa"/>
            <w:tcBorders>
              <w:top w:val="nil"/>
              <w:left w:val="nil"/>
              <w:bottom w:val="nil"/>
              <w:right w:val="nil"/>
            </w:tcBorders>
            <w:shd w:val="clear" w:color="auto" w:fill="E7E6E6" w:themeFill="background2"/>
          </w:tcPr>
          <w:p w14:paraId="77054D0E" w14:textId="142D56A0" w:rsidR="00C54FDB" w:rsidRPr="003C413E" w:rsidRDefault="00C54FDB" w:rsidP="00C54FDB">
            <w:pPr>
              <w:rPr>
                <w:rFonts w:ascii="Times New Roman" w:hAnsi="Times New Roman" w:cs="Times New Roman"/>
              </w:rPr>
            </w:pPr>
            <w:r w:rsidRPr="003C413E">
              <w:rPr>
                <w:rFonts w:ascii="Times New Roman" w:hAnsi="Times New Roman" w:cs="Times New Roman"/>
              </w:rPr>
              <w:t xml:space="preserve">Women </w:t>
            </w:r>
          </w:p>
        </w:tc>
        <w:tc>
          <w:tcPr>
            <w:tcW w:w="2338" w:type="dxa"/>
            <w:tcBorders>
              <w:top w:val="nil"/>
              <w:left w:val="nil"/>
              <w:bottom w:val="nil"/>
              <w:right w:val="nil"/>
            </w:tcBorders>
            <w:shd w:val="clear" w:color="auto" w:fill="E7E6E6" w:themeFill="background2"/>
          </w:tcPr>
          <w:p w14:paraId="216A15BD" w14:textId="05AC3A7A" w:rsidR="00C54FDB" w:rsidRPr="003C413E" w:rsidRDefault="00C54FDB" w:rsidP="00C54FDB">
            <w:pPr>
              <w:jc w:val="center"/>
              <w:rPr>
                <w:rFonts w:ascii="Times New Roman" w:hAnsi="Times New Roman" w:cs="Times New Roman"/>
              </w:rPr>
            </w:pPr>
            <w:r w:rsidRPr="003C413E">
              <w:rPr>
                <w:rFonts w:ascii="Times New Roman" w:hAnsi="Times New Roman" w:cs="Times New Roman"/>
              </w:rPr>
              <w:t>13.3</w:t>
            </w:r>
          </w:p>
        </w:tc>
        <w:tc>
          <w:tcPr>
            <w:tcW w:w="2338" w:type="dxa"/>
            <w:tcBorders>
              <w:top w:val="nil"/>
              <w:left w:val="nil"/>
              <w:bottom w:val="nil"/>
              <w:right w:val="nil"/>
            </w:tcBorders>
            <w:shd w:val="clear" w:color="auto" w:fill="E7E6E6" w:themeFill="background2"/>
          </w:tcPr>
          <w:p w14:paraId="7DD0ACAD" w14:textId="3B4C0E52" w:rsidR="00C54FDB" w:rsidRPr="003C413E" w:rsidRDefault="00C54FDB" w:rsidP="00C54FDB">
            <w:pPr>
              <w:jc w:val="center"/>
              <w:rPr>
                <w:rFonts w:ascii="Times New Roman" w:hAnsi="Times New Roman" w:cs="Times New Roman"/>
              </w:rPr>
            </w:pPr>
            <w:r w:rsidRPr="003C413E">
              <w:rPr>
                <w:rFonts w:ascii="Times New Roman" w:hAnsi="Times New Roman" w:cs="Times New Roman"/>
              </w:rPr>
              <w:t>27.4</w:t>
            </w:r>
          </w:p>
        </w:tc>
      </w:tr>
      <w:tr w:rsidR="00C54FDB" w:rsidRPr="003C413E" w14:paraId="26BB2A07" w14:textId="77777777" w:rsidTr="00247E1A">
        <w:trPr>
          <w:trHeight w:val="80"/>
          <w:jc w:val="center"/>
        </w:trPr>
        <w:tc>
          <w:tcPr>
            <w:tcW w:w="2337" w:type="dxa"/>
            <w:tcBorders>
              <w:top w:val="nil"/>
              <w:left w:val="nil"/>
              <w:bottom w:val="nil"/>
              <w:right w:val="nil"/>
            </w:tcBorders>
            <w:shd w:val="clear" w:color="auto" w:fill="E7E6E6" w:themeFill="background2"/>
          </w:tcPr>
          <w:p w14:paraId="6C843A43" w14:textId="6184FF79" w:rsidR="00C54FDB" w:rsidRPr="003C413E" w:rsidRDefault="00C54FDB" w:rsidP="00C54FDB">
            <w:pPr>
              <w:rPr>
                <w:rFonts w:ascii="Times New Roman" w:hAnsi="Times New Roman" w:cs="Times New Roman"/>
              </w:rPr>
            </w:pPr>
          </w:p>
        </w:tc>
        <w:tc>
          <w:tcPr>
            <w:tcW w:w="2337" w:type="dxa"/>
            <w:tcBorders>
              <w:top w:val="nil"/>
              <w:left w:val="nil"/>
              <w:bottom w:val="nil"/>
              <w:right w:val="nil"/>
            </w:tcBorders>
            <w:shd w:val="clear" w:color="auto" w:fill="E7E6E6" w:themeFill="background2"/>
          </w:tcPr>
          <w:p w14:paraId="27BC064A" w14:textId="2A60ECA7" w:rsidR="00C54FDB" w:rsidRPr="003C413E" w:rsidRDefault="00C54FDB" w:rsidP="00C54FDB">
            <w:pPr>
              <w:rPr>
                <w:rFonts w:ascii="Times New Roman" w:hAnsi="Times New Roman" w:cs="Times New Roman"/>
              </w:rPr>
            </w:pPr>
          </w:p>
        </w:tc>
        <w:tc>
          <w:tcPr>
            <w:tcW w:w="2338" w:type="dxa"/>
            <w:tcBorders>
              <w:top w:val="nil"/>
              <w:left w:val="nil"/>
              <w:bottom w:val="nil"/>
              <w:right w:val="nil"/>
            </w:tcBorders>
            <w:shd w:val="clear" w:color="auto" w:fill="E7E6E6" w:themeFill="background2"/>
          </w:tcPr>
          <w:p w14:paraId="734A18BA" w14:textId="0B920776" w:rsidR="00C54FDB" w:rsidRPr="003C413E" w:rsidRDefault="00C54FDB" w:rsidP="00C54FDB">
            <w:pPr>
              <w:jc w:val="center"/>
              <w:rPr>
                <w:rFonts w:ascii="Times New Roman" w:hAnsi="Times New Roman" w:cs="Times New Roman"/>
              </w:rPr>
            </w:pPr>
            <w:r w:rsidRPr="003C413E">
              <w:rPr>
                <w:rFonts w:ascii="Times New Roman" w:hAnsi="Times New Roman" w:cs="Times New Roman"/>
              </w:rPr>
              <w:t>(11.6 – 15.</w:t>
            </w:r>
            <w:r w:rsidR="00E005BF" w:rsidRPr="003C413E">
              <w:rPr>
                <w:rFonts w:ascii="Times New Roman" w:hAnsi="Times New Roman" w:cs="Times New Roman"/>
              </w:rPr>
              <w:t>9</w:t>
            </w:r>
            <w:r w:rsidRPr="003C413E">
              <w:rPr>
                <w:rFonts w:ascii="Times New Roman" w:hAnsi="Times New Roman" w:cs="Times New Roman"/>
              </w:rPr>
              <w:t>)</w:t>
            </w:r>
          </w:p>
        </w:tc>
        <w:tc>
          <w:tcPr>
            <w:tcW w:w="2338" w:type="dxa"/>
            <w:tcBorders>
              <w:top w:val="nil"/>
              <w:left w:val="nil"/>
              <w:bottom w:val="nil"/>
              <w:right w:val="nil"/>
            </w:tcBorders>
            <w:shd w:val="clear" w:color="auto" w:fill="E7E6E6" w:themeFill="background2"/>
          </w:tcPr>
          <w:p w14:paraId="7CA37B39" w14:textId="01F802C5" w:rsidR="00C54FDB" w:rsidRPr="003C413E" w:rsidRDefault="00C54FDB" w:rsidP="00C54FDB">
            <w:pPr>
              <w:jc w:val="center"/>
              <w:rPr>
                <w:rFonts w:ascii="Times New Roman" w:hAnsi="Times New Roman" w:cs="Times New Roman"/>
              </w:rPr>
            </w:pPr>
            <w:r w:rsidRPr="003C413E">
              <w:rPr>
                <w:rFonts w:ascii="Times New Roman" w:hAnsi="Times New Roman" w:cs="Times New Roman"/>
              </w:rPr>
              <w:t>(23</w:t>
            </w:r>
            <w:r w:rsidR="002A2220" w:rsidRPr="003C413E">
              <w:rPr>
                <w:rFonts w:ascii="Times New Roman" w:hAnsi="Times New Roman" w:cs="Times New Roman"/>
              </w:rPr>
              <w:t xml:space="preserve"> </w:t>
            </w:r>
            <w:r w:rsidRPr="003C413E">
              <w:rPr>
                <w:rFonts w:ascii="Times New Roman" w:hAnsi="Times New Roman" w:cs="Times New Roman"/>
              </w:rPr>
              <w:t>– 31.5)</w:t>
            </w:r>
          </w:p>
        </w:tc>
      </w:tr>
      <w:tr w:rsidR="00866E9F" w:rsidRPr="003C413E" w14:paraId="3073A9DA" w14:textId="77777777" w:rsidTr="00866E9F">
        <w:trPr>
          <w:trHeight w:val="80"/>
          <w:jc w:val="center"/>
        </w:trPr>
        <w:tc>
          <w:tcPr>
            <w:tcW w:w="2337" w:type="dxa"/>
            <w:tcBorders>
              <w:top w:val="nil"/>
              <w:left w:val="nil"/>
              <w:bottom w:val="nil"/>
              <w:right w:val="nil"/>
            </w:tcBorders>
            <w:shd w:val="clear" w:color="auto" w:fill="FFFFFF" w:themeFill="background1"/>
          </w:tcPr>
          <w:p w14:paraId="74AF5E5F" w14:textId="77777777" w:rsidR="00866E9F" w:rsidRPr="003C413E" w:rsidRDefault="00866E9F" w:rsidP="00866E9F">
            <w:pPr>
              <w:rPr>
                <w:rFonts w:ascii="Times New Roman" w:hAnsi="Times New Roman" w:cs="Times New Roman"/>
              </w:rPr>
            </w:pPr>
          </w:p>
        </w:tc>
        <w:tc>
          <w:tcPr>
            <w:tcW w:w="2337" w:type="dxa"/>
            <w:tcBorders>
              <w:top w:val="nil"/>
              <w:left w:val="nil"/>
              <w:bottom w:val="nil"/>
              <w:right w:val="nil"/>
            </w:tcBorders>
            <w:shd w:val="clear" w:color="auto" w:fill="FFFFFF" w:themeFill="background1"/>
          </w:tcPr>
          <w:p w14:paraId="06C46245" w14:textId="2FEBFBCC" w:rsidR="00866E9F" w:rsidRPr="003C413E" w:rsidRDefault="00866E9F" w:rsidP="00866E9F">
            <w:pPr>
              <w:rPr>
                <w:rFonts w:ascii="Times New Roman" w:hAnsi="Times New Roman" w:cs="Times New Roman"/>
              </w:rPr>
            </w:pPr>
            <w:r w:rsidRPr="003C413E">
              <w:rPr>
                <w:rFonts w:ascii="Times New Roman" w:hAnsi="Times New Roman" w:cs="Times New Roman"/>
              </w:rPr>
              <w:t>Men</w:t>
            </w:r>
          </w:p>
        </w:tc>
        <w:tc>
          <w:tcPr>
            <w:tcW w:w="2338" w:type="dxa"/>
            <w:tcBorders>
              <w:top w:val="nil"/>
              <w:left w:val="nil"/>
              <w:bottom w:val="nil"/>
              <w:right w:val="nil"/>
            </w:tcBorders>
            <w:shd w:val="clear" w:color="auto" w:fill="FFFFFF" w:themeFill="background1"/>
          </w:tcPr>
          <w:p w14:paraId="36FA9901" w14:textId="27B80D80" w:rsidR="00866E9F" w:rsidRPr="003C413E" w:rsidRDefault="00866E9F" w:rsidP="00866E9F">
            <w:pPr>
              <w:jc w:val="center"/>
              <w:rPr>
                <w:rFonts w:ascii="Times New Roman" w:hAnsi="Times New Roman" w:cs="Times New Roman"/>
              </w:rPr>
            </w:pPr>
            <w:r w:rsidRPr="003C413E">
              <w:rPr>
                <w:rFonts w:ascii="Times New Roman" w:hAnsi="Times New Roman" w:cs="Times New Roman"/>
              </w:rPr>
              <w:t>26.</w:t>
            </w:r>
            <w:r w:rsidR="00476613" w:rsidRPr="003C413E">
              <w:rPr>
                <w:rFonts w:ascii="Times New Roman" w:hAnsi="Times New Roman" w:cs="Times New Roman"/>
              </w:rPr>
              <w:t>4</w:t>
            </w:r>
          </w:p>
        </w:tc>
        <w:tc>
          <w:tcPr>
            <w:tcW w:w="2338" w:type="dxa"/>
            <w:tcBorders>
              <w:top w:val="nil"/>
              <w:left w:val="nil"/>
              <w:bottom w:val="nil"/>
              <w:right w:val="nil"/>
            </w:tcBorders>
            <w:shd w:val="clear" w:color="auto" w:fill="FFFFFF" w:themeFill="background1"/>
          </w:tcPr>
          <w:p w14:paraId="46CC8E16" w14:textId="23718F2F" w:rsidR="00866E9F" w:rsidRPr="003C413E" w:rsidRDefault="00866E9F" w:rsidP="00866E9F">
            <w:pPr>
              <w:jc w:val="center"/>
              <w:rPr>
                <w:rFonts w:ascii="Times New Roman" w:hAnsi="Times New Roman" w:cs="Times New Roman"/>
              </w:rPr>
            </w:pPr>
            <w:r w:rsidRPr="003C413E">
              <w:rPr>
                <w:rFonts w:ascii="Times New Roman" w:hAnsi="Times New Roman" w:cs="Times New Roman"/>
              </w:rPr>
              <w:t>13.</w:t>
            </w:r>
            <w:r w:rsidR="00D52B95" w:rsidRPr="003C413E">
              <w:rPr>
                <w:rFonts w:ascii="Times New Roman" w:hAnsi="Times New Roman" w:cs="Times New Roman"/>
              </w:rPr>
              <w:t>8</w:t>
            </w:r>
          </w:p>
        </w:tc>
      </w:tr>
      <w:tr w:rsidR="00866E9F" w:rsidRPr="003C413E" w14:paraId="16588BA7" w14:textId="77777777" w:rsidTr="00866E9F">
        <w:trPr>
          <w:trHeight w:val="80"/>
          <w:jc w:val="center"/>
        </w:trPr>
        <w:tc>
          <w:tcPr>
            <w:tcW w:w="2337" w:type="dxa"/>
            <w:tcBorders>
              <w:top w:val="nil"/>
              <w:left w:val="nil"/>
              <w:bottom w:val="nil"/>
              <w:right w:val="nil"/>
            </w:tcBorders>
            <w:shd w:val="clear" w:color="auto" w:fill="FFFFFF" w:themeFill="background1"/>
          </w:tcPr>
          <w:p w14:paraId="6047CB16" w14:textId="4AC1A561" w:rsidR="00866E9F" w:rsidRPr="003C413E" w:rsidRDefault="00866E9F" w:rsidP="00866E9F">
            <w:pPr>
              <w:rPr>
                <w:rFonts w:ascii="Times New Roman" w:hAnsi="Times New Roman" w:cs="Times New Roman"/>
              </w:rPr>
            </w:pPr>
            <w:r w:rsidRPr="003C413E">
              <w:rPr>
                <w:rFonts w:ascii="Times New Roman" w:hAnsi="Times New Roman" w:cs="Times New Roman"/>
              </w:rPr>
              <w:t>2013-2014</w:t>
            </w:r>
          </w:p>
        </w:tc>
        <w:tc>
          <w:tcPr>
            <w:tcW w:w="2337" w:type="dxa"/>
            <w:tcBorders>
              <w:top w:val="nil"/>
              <w:left w:val="nil"/>
              <w:bottom w:val="nil"/>
              <w:right w:val="nil"/>
            </w:tcBorders>
            <w:shd w:val="clear" w:color="auto" w:fill="FFFFFF" w:themeFill="background1"/>
          </w:tcPr>
          <w:p w14:paraId="3D47025A" w14:textId="77777777" w:rsidR="00866E9F" w:rsidRPr="003C413E" w:rsidRDefault="00866E9F" w:rsidP="00866E9F">
            <w:pPr>
              <w:rPr>
                <w:rFonts w:ascii="Times New Roman" w:hAnsi="Times New Roman" w:cs="Times New Roman"/>
              </w:rPr>
            </w:pPr>
          </w:p>
        </w:tc>
        <w:tc>
          <w:tcPr>
            <w:tcW w:w="2338" w:type="dxa"/>
            <w:tcBorders>
              <w:top w:val="nil"/>
              <w:left w:val="nil"/>
              <w:bottom w:val="nil"/>
              <w:right w:val="nil"/>
            </w:tcBorders>
            <w:shd w:val="clear" w:color="auto" w:fill="FFFFFF" w:themeFill="background1"/>
          </w:tcPr>
          <w:p w14:paraId="68321E18" w14:textId="01C3293A" w:rsidR="00866E9F" w:rsidRPr="003C413E" w:rsidRDefault="00866E9F" w:rsidP="00866E9F">
            <w:pPr>
              <w:jc w:val="center"/>
              <w:rPr>
                <w:rFonts w:ascii="Times New Roman" w:hAnsi="Times New Roman" w:cs="Times New Roman"/>
              </w:rPr>
            </w:pPr>
            <w:r w:rsidRPr="003C413E">
              <w:rPr>
                <w:rFonts w:ascii="Times New Roman" w:hAnsi="Times New Roman" w:cs="Times New Roman"/>
              </w:rPr>
              <w:t>(22.</w:t>
            </w:r>
            <w:r w:rsidR="00866AAD" w:rsidRPr="003C413E">
              <w:rPr>
                <w:rFonts w:ascii="Times New Roman" w:hAnsi="Times New Roman" w:cs="Times New Roman"/>
              </w:rPr>
              <w:t>6</w:t>
            </w:r>
            <w:r w:rsidRPr="003C413E">
              <w:rPr>
                <w:rFonts w:ascii="Times New Roman" w:hAnsi="Times New Roman" w:cs="Times New Roman"/>
              </w:rPr>
              <w:t xml:space="preserve"> – 32)</w:t>
            </w:r>
          </w:p>
        </w:tc>
        <w:tc>
          <w:tcPr>
            <w:tcW w:w="2338" w:type="dxa"/>
            <w:tcBorders>
              <w:top w:val="nil"/>
              <w:left w:val="nil"/>
              <w:bottom w:val="nil"/>
              <w:right w:val="nil"/>
            </w:tcBorders>
            <w:shd w:val="clear" w:color="auto" w:fill="FFFFFF" w:themeFill="background1"/>
          </w:tcPr>
          <w:p w14:paraId="65B97208" w14:textId="38C39B3D" w:rsidR="00866E9F" w:rsidRPr="003C413E" w:rsidRDefault="00866E9F" w:rsidP="00866E9F">
            <w:pPr>
              <w:jc w:val="center"/>
              <w:rPr>
                <w:rFonts w:ascii="Times New Roman" w:hAnsi="Times New Roman" w:cs="Times New Roman"/>
              </w:rPr>
            </w:pPr>
            <w:r w:rsidRPr="003C413E">
              <w:rPr>
                <w:rFonts w:ascii="Times New Roman" w:hAnsi="Times New Roman" w:cs="Times New Roman"/>
              </w:rPr>
              <w:t>(11.</w:t>
            </w:r>
            <w:r w:rsidR="00147F2E" w:rsidRPr="003C413E">
              <w:rPr>
                <w:rFonts w:ascii="Times New Roman" w:hAnsi="Times New Roman" w:cs="Times New Roman"/>
              </w:rPr>
              <w:t xml:space="preserve">4 </w:t>
            </w:r>
            <w:r w:rsidRPr="003C413E">
              <w:rPr>
                <w:rFonts w:ascii="Times New Roman" w:hAnsi="Times New Roman" w:cs="Times New Roman"/>
              </w:rPr>
              <w:t>– 16.</w:t>
            </w:r>
            <w:r w:rsidR="002F6482" w:rsidRPr="003C413E">
              <w:rPr>
                <w:rFonts w:ascii="Times New Roman" w:hAnsi="Times New Roman" w:cs="Times New Roman"/>
              </w:rPr>
              <w:t>2</w:t>
            </w:r>
            <w:r w:rsidRPr="003C413E">
              <w:rPr>
                <w:rFonts w:ascii="Times New Roman" w:hAnsi="Times New Roman" w:cs="Times New Roman"/>
              </w:rPr>
              <w:t>)</w:t>
            </w:r>
          </w:p>
        </w:tc>
      </w:tr>
      <w:tr w:rsidR="00866E9F" w:rsidRPr="003C413E" w14:paraId="20BB12BA" w14:textId="77777777" w:rsidTr="00866E9F">
        <w:trPr>
          <w:trHeight w:val="80"/>
          <w:jc w:val="center"/>
        </w:trPr>
        <w:tc>
          <w:tcPr>
            <w:tcW w:w="2337" w:type="dxa"/>
            <w:tcBorders>
              <w:top w:val="nil"/>
              <w:left w:val="nil"/>
              <w:bottom w:val="nil"/>
              <w:right w:val="nil"/>
            </w:tcBorders>
            <w:shd w:val="clear" w:color="auto" w:fill="FFFFFF" w:themeFill="background1"/>
          </w:tcPr>
          <w:p w14:paraId="5DF24AFA" w14:textId="77777777" w:rsidR="00866E9F" w:rsidRPr="003C413E" w:rsidRDefault="00866E9F" w:rsidP="00866E9F">
            <w:pPr>
              <w:rPr>
                <w:rFonts w:ascii="Times New Roman" w:hAnsi="Times New Roman" w:cs="Times New Roman"/>
              </w:rPr>
            </w:pPr>
          </w:p>
        </w:tc>
        <w:tc>
          <w:tcPr>
            <w:tcW w:w="2337" w:type="dxa"/>
            <w:tcBorders>
              <w:top w:val="nil"/>
              <w:left w:val="nil"/>
              <w:bottom w:val="nil"/>
              <w:right w:val="nil"/>
            </w:tcBorders>
            <w:shd w:val="clear" w:color="auto" w:fill="FFFFFF" w:themeFill="background1"/>
          </w:tcPr>
          <w:p w14:paraId="33333356" w14:textId="518B6869" w:rsidR="00866E9F" w:rsidRPr="003C413E" w:rsidRDefault="00866E9F" w:rsidP="00866E9F">
            <w:pPr>
              <w:rPr>
                <w:rFonts w:ascii="Times New Roman" w:hAnsi="Times New Roman" w:cs="Times New Roman"/>
              </w:rPr>
            </w:pPr>
            <w:r w:rsidRPr="003C413E">
              <w:rPr>
                <w:rFonts w:ascii="Times New Roman" w:hAnsi="Times New Roman" w:cs="Times New Roman"/>
              </w:rPr>
              <w:t xml:space="preserve">Women </w:t>
            </w:r>
          </w:p>
        </w:tc>
        <w:tc>
          <w:tcPr>
            <w:tcW w:w="2338" w:type="dxa"/>
            <w:tcBorders>
              <w:top w:val="nil"/>
              <w:left w:val="nil"/>
              <w:bottom w:val="nil"/>
              <w:right w:val="nil"/>
            </w:tcBorders>
            <w:shd w:val="clear" w:color="auto" w:fill="FFFFFF" w:themeFill="background1"/>
          </w:tcPr>
          <w:p w14:paraId="4E452DE7" w14:textId="763BE078" w:rsidR="00866E9F" w:rsidRPr="003C413E" w:rsidRDefault="00866E9F" w:rsidP="00866E9F">
            <w:pPr>
              <w:jc w:val="center"/>
              <w:rPr>
                <w:rFonts w:ascii="Times New Roman" w:hAnsi="Times New Roman" w:cs="Times New Roman"/>
              </w:rPr>
            </w:pPr>
            <w:r w:rsidRPr="003C413E">
              <w:rPr>
                <w:rFonts w:ascii="Times New Roman" w:hAnsi="Times New Roman" w:cs="Times New Roman"/>
              </w:rPr>
              <w:t>13.</w:t>
            </w:r>
            <w:r w:rsidR="00DB469C" w:rsidRPr="003C413E">
              <w:rPr>
                <w:rFonts w:ascii="Times New Roman" w:hAnsi="Times New Roman" w:cs="Times New Roman"/>
              </w:rPr>
              <w:t>4</w:t>
            </w:r>
          </w:p>
        </w:tc>
        <w:tc>
          <w:tcPr>
            <w:tcW w:w="2338" w:type="dxa"/>
            <w:tcBorders>
              <w:top w:val="nil"/>
              <w:left w:val="nil"/>
              <w:bottom w:val="nil"/>
              <w:right w:val="nil"/>
            </w:tcBorders>
            <w:shd w:val="clear" w:color="auto" w:fill="FFFFFF" w:themeFill="background1"/>
          </w:tcPr>
          <w:p w14:paraId="4EFED195" w14:textId="303FAF20" w:rsidR="00866E9F" w:rsidRPr="003C413E" w:rsidRDefault="00866E9F" w:rsidP="00866E9F">
            <w:pPr>
              <w:jc w:val="center"/>
              <w:rPr>
                <w:rFonts w:ascii="Times New Roman" w:hAnsi="Times New Roman" w:cs="Times New Roman"/>
              </w:rPr>
            </w:pPr>
            <w:r w:rsidRPr="003C413E">
              <w:rPr>
                <w:rFonts w:ascii="Times New Roman" w:hAnsi="Times New Roman" w:cs="Times New Roman"/>
              </w:rPr>
              <w:t>27.</w:t>
            </w:r>
            <w:r w:rsidR="00A75485" w:rsidRPr="003C413E">
              <w:rPr>
                <w:rFonts w:ascii="Times New Roman" w:hAnsi="Times New Roman" w:cs="Times New Roman"/>
              </w:rPr>
              <w:t>3</w:t>
            </w:r>
          </w:p>
        </w:tc>
      </w:tr>
      <w:tr w:rsidR="00866E9F" w:rsidRPr="003C413E" w14:paraId="43014CE4" w14:textId="77777777" w:rsidTr="00866E9F">
        <w:trPr>
          <w:trHeight w:val="80"/>
          <w:jc w:val="center"/>
        </w:trPr>
        <w:tc>
          <w:tcPr>
            <w:tcW w:w="2337" w:type="dxa"/>
            <w:tcBorders>
              <w:top w:val="nil"/>
              <w:left w:val="nil"/>
              <w:bottom w:val="nil"/>
              <w:right w:val="nil"/>
            </w:tcBorders>
            <w:shd w:val="clear" w:color="auto" w:fill="FFFFFF" w:themeFill="background1"/>
          </w:tcPr>
          <w:p w14:paraId="43CA3BFE" w14:textId="77777777" w:rsidR="00866E9F" w:rsidRPr="003C413E" w:rsidRDefault="00866E9F" w:rsidP="00866E9F">
            <w:pPr>
              <w:rPr>
                <w:rFonts w:ascii="Times New Roman" w:hAnsi="Times New Roman" w:cs="Times New Roman"/>
              </w:rPr>
            </w:pPr>
          </w:p>
        </w:tc>
        <w:tc>
          <w:tcPr>
            <w:tcW w:w="2337" w:type="dxa"/>
            <w:tcBorders>
              <w:top w:val="nil"/>
              <w:left w:val="nil"/>
              <w:bottom w:val="nil"/>
              <w:right w:val="nil"/>
            </w:tcBorders>
            <w:shd w:val="clear" w:color="auto" w:fill="FFFFFF" w:themeFill="background1"/>
          </w:tcPr>
          <w:p w14:paraId="406C519F" w14:textId="77777777" w:rsidR="00866E9F" w:rsidRPr="003C413E" w:rsidRDefault="00866E9F" w:rsidP="00866E9F">
            <w:pPr>
              <w:rPr>
                <w:rFonts w:ascii="Times New Roman" w:hAnsi="Times New Roman" w:cs="Times New Roman"/>
              </w:rPr>
            </w:pPr>
          </w:p>
        </w:tc>
        <w:tc>
          <w:tcPr>
            <w:tcW w:w="2338" w:type="dxa"/>
            <w:tcBorders>
              <w:top w:val="nil"/>
              <w:left w:val="nil"/>
              <w:bottom w:val="nil"/>
              <w:right w:val="nil"/>
            </w:tcBorders>
            <w:shd w:val="clear" w:color="auto" w:fill="FFFFFF" w:themeFill="background1"/>
          </w:tcPr>
          <w:p w14:paraId="16840C24" w14:textId="4C193A30" w:rsidR="00866E9F" w:rsidRPr="003C413E" w:rsidRDefault="00866E9F" w:rsidP="00866E9F">
            <w:pPr>
              <w:jc w:val="center"/>
              <w:rPr>
                <w:rFonts w:ascii="Times New Roman" w:hAnsi="Times New Roman" w:cs="Times New Roman"/>
              </w:rPr>
            </w:pPr>
            <w:r w:rsidRPr="003C413E">
              <w:rPr>
                <w:rFonts w:ascii="Times New Roman" w:hAnsi="Times New Roman" w:cs="Times New Roman"/>
              </w:rPr>
              <w:t>(11.6 – 15.</w:t>
            </w:r>
            <w:r w:rsidR="00CA2B94" w:rsidRPr="003C413E">
              <w:rPr>
                <w:rFonts w:ascii="Times New Roman" w:hAnsi="Times New Roman" w:cs="Times New Roman"/>
              </w:rPr>
              <w:t>8</w:t>
            </w:r>
            <w:r w:rsidRPr="003C413E">
              <w:rPr>
                <w:rFonts w:ascii="Times New Roman" w:hAnsi="Times New Roman" w:cs="Times New Roman"/>
              </w:rPr>
              <w:t>)</w:t>
            </w:r>
          </w:p>
        </w:tc>
        <w:tc>
          <w:tcPr>
            <w:tcW w:w="2338" w:type="dxa"/>
            <w:tcBorders>
              <w:top w:val="nil"/>
              <w:left w:val="nil"/>
              <w:bottom w:val="nil"/>
              <w:right w:val="nil"/>
            </w:tcBorders>
            <w:shd w:val="clear" w:color="auto" w:fill="FFFFFF" w:themeFill="background1"/>
          </w:tcPr>
          <w:p w14:paraId="62D29093" w14:textId="03536046" w:rsidR="00866E9F" w:rsidRPr="003C413E" w:rsidRDefault="00866E9F" w:rsidP="00866E9F">
            <w:pPr>
              <w:jc w:val="center"/>
              <w:rPr>
                <w:rFonts w:ascii="Times New Roman" w:hAnsi="Times New Roman" w:cs="Times New Roman"/>
              </w:rPr>
            </w:pPr>
            <w:r w:rsidRPr="003C413E">
              <w:rPr>
                <w:rFonts w:ascii="Times New Roman" w:hAnsi="Times New Roman" w:cs="Times New Roman"/>
              </w:rPr>
              <w:t>(23.</w:t>
            </w:r>
            <w:r w:rsidR="00A75485" w:rsidRPr="003C413E">
              <w:rPr>
                <w:rFonts w:ascii="Times New Roman" w:hAnsi="Times New Roman" w:cs="Times New Roman"/>
              </w:rPr>
              <w:t>1</w:t>
            </w:r>
            <w:r w:rsidRPr="003C413E">
              <w:rPr>
                <w:rFonts w:ascii="Times New Roman" w:hAnsi="Times New Roman" w:cs="Times New Roman"/>
              </w:rPr>
              <w:t xml:space="preserve"> – 31.5)</w:t>
            </w:r>
          </w:p>
        </w:tc>
      </w:tr>
      <w:tr w:rsidR="008A6A62" w:rsidRPr="003C413E" w14:paraId="2638492C" w14:textId="77777777" w:rsidTr="00A75485">
        <w:trPr>
          <w:trHeight w:val="80"/>
          <w:jc w:val="center"/>
        </w:trPr>
        <w:tc>
          <w:tcPr>
            <w:tcW w:w="2337" w:type="dxa"/>
            <w:tcBorders>
              <w:top w:val="nil"/>
              <w:left w:val="nil"/>
              <w:bottom w:val="nil"/>
              <w:right w:val="nil"/>
            </w:tcBorders>
            <w:shd w:val="clear" w:color="auto" w:fill="E7E6E6" w:themeFill="background2"/>
          </w:tcPr>
          <w:p w14:paraId="449011C6" w14:textId="77777777" w:rsidR="008A6A62" w:rsidRPr="003C413E" w:rsidRDefault="008A6A62" w:rsidP="008A6A62">
            <w:pPr>
              <w:rPr>
                <w:rFonts w:ascii="Times New Roman" w:hAnsi="Times New Roman" w:cs="Times New Roman"/>
              </w:rPr>
            </w:pPr>
          </w:p>
        </w:tc>
        <w:tc>
          <w:tcPr>
            <w:tcW w:w="2337" w:type="dxa"/>
            <w:tcBorders>
              <w:top w:val="nil"/>
              <w:left w:val="nil"/>
              <w:bottom w:val="nil"/>
              <w:right w:val="nil"/>
            </w:tcBorders>
            <w:shd w:val="clear" w:color="auto" w:fill="E7E6E6" w:themeFill="background2"/>
          </w:tcPr>
          <w:p w14:paraId="6606BB89" w14:textId="1D427895" w:rsidR="008A6A62" w:rsidRPr="003C413E" w:rsidRDefault="008A6A62" w:rsidP="008A6A62">
            <w:pPr>
              <w:rPr>
                <w:rFonts w:ascii="Times New Roman" w:hAnsi="Times New Roman" w:cs="Times New Roman"/>
              </w:rPr>
            </w:pPr>
            <w:r w:rsidRPr="003C413E">
              <w:rPr>
                <w:rFonts w:ascii="Times New Roman" w:hAnsi="Times New Roman" w:cs="Times New Roman"/>
              </w:rPr>
              <w:t>Men</w:t>
            </w:r>
          </w:p>
        </w:tc>
        <w:tc>
          <w:tcPr>
            <w:tcW w:w="2338" w:type="dxa"/>
            <w:tcBorders>
              <w:top w:val="nil"/>
              <w:left w:val="nil"/>
              <w:bottom w:val="nil"/>
              <w:right w:val="nil"/>
            </w:tcBorders>
            <w:shd w:val="clear" w:color="auto" w:fill="E7E6E6" w:themeFill="background2"/>
          </w:tcPr>
          <w:p w14:paraId="2B55521C" w14:textId="47255217" w:rsidR="008A6A62" w:rsidRPr="003C413E" w:rsidRDefault="008A6A62" w:rsidP="008A6A62">
            <w:pPr>
              <w:jc w:val="center"/>
              <w:rPr>
                <w:rFonts w:ascii="Times New Roman" w:hAnsi="Times New Roman" w:cs="Times New Roman"/>
              </w:rPr>
            </w:pPr>
            <w:r w:rsidRPr="003C413E">
              <w:rPr>
                <w:rFonts w:ascii="Times New Roman" w:hAnsi="Times New Roman" w:cs="Times New Roman"/>
              </w:rPr>
              <w:t>2</w:t>
            </w:r>
            <w:r w:rsidR="00F902A3" w:rsidRPr="003C413E">
              <w:rPr>
                <w:rFonts w:ascii="Times New Roman" w:hAnsi="Times New Roman" w:cs="Times New Roman"/>
              </w:rPr>
              <w:t>7.9</w:t>
            </w:r>
          </w:p>
        </w:tc>
        <w:tc>
          <w:tcPr>
            <w:tcW w:w="2338" w:type="dxa"/>
            <w:tcBorders>
              <w:top w:val="nil"/>
              <w:left w:val="nil"/>
              <w:bottom w:val="nil"/>
              <w:right w:val="nil"/>
            </w:tcBorders>
            <w:shd w:val="clear" w:color="auto" w:fill="E7E6E6" w:themeFill="background2"/>
          </w:tcPr>
          <w:p w14:paraId="033BBFC3" w14:textId="56B88D0F" w:rsidR="008A6A62" w:rsidRPr="003C413E" w:rsidRDefault="008A6A62" w:rsidP="008A6A62">
            <w:pPr>
              <w:jc w:val="center"/>
              <w:rPr>
                <w:rFonts w:ascii="Times New Roman" w:hAnsi="Times New Roman" w:cs="Times New Roman"/>
              </w:rPr>
            </w:pPr>
            <w:r w:rsidRPr="003C413E">
              <w:rPr>
                <w:rFonts w:ascii="Times New Roman" w:hAnsi="Times New Roman" w:cs="Times New Roman"/>
              </w:rPr>
              <w:t>13.</w:t>
            </w:r>
            <w:r w:rsidR="000975AE" w:rsidRPr="003C413E">
              <w:rPr>
                <w:rFonts w:ascii="Times New Roman" w:hAnsi="Times New Roman" w:cs="Times New Roman"/>
              </w:rPr>
              <w:t>1</w:t>
            </w:r>
          </w:p>
        </w:tc>
      </w:tr>
      <w:tr w:rsidR="008A6A62" w:rsidRPr="003C413E" w14:paraId="578D9EEA" w14:textId="77777777" w:rsidTr="00A75485">
        <w:trPr>
          <w:trHeight w:val="80"/>
          <w:jc w:val="center"/>
        </w:trPr>
        <w:tc>
          <w:tcPr>
            <w:tcW w:w="2337" w:type="dxa"/>
            <w:tcBorders>
              <w:top w:val="nil"/>
              <w:left w:val="nil"/>
              <w:bottom w:val="nil"/>
              <w:right w:val="nil"/>
            </w:tcBorders>
            <w:shd w:val="clear" w:color="auto" w:fill="E7E6E6" w:themeFill="background2"/>
          </w:tcPr>
          <w:p w14:paraId="585BF2B4" w14:textId="10D2480D" w:rsidR="008A6A62" w:rsidRPr="003C413E" w:rsidRDefault="008A6A62" w:rsidP="008A6A62">
            <w:pPr>
              <w:rPr>
                <w:rFonts w:ascii="Times New Roman" w:hAnsi="Times New Roman" w:cs="Times New Roman"/>
              </w:rPr>
            </w:pPr>
            <w:r w:rsidRPr="003C413E">
              <w:rPr>
                <w:rFonts w:ascii="Times New Roman" w:hAnsi="Times New Roman" w:cs="Times New Roman"/>
              </w:rPr>
              <w:t>2015-2016</w:t>
            </w:r>
          </w:p>
        </w:tc>
        <w:tc>
          <w:tcPr>
            <w:tcW w:w="2337" w:type="dxa"/>
            <w:tcBorders>
              <w:top w:val="nil"/>
              <w:left w:val="nil"/>
              <w:bottom w:val="nil"/>
              <w:right w:val="nil"/>
            </w:tcBorders>
            <w:shd w:val="clear" w:color="auto" w:fill="E7E6E6" w:themeFill="background2"/>
          </w:tcPr>
          <w:p w14:paraId="5A7ACC70" w14:textId="77777777" w:rsidR="008A6A62" w:rsidRPr="003C413E" w:rsidRDefault="008A6A62" w:rsidP="008A6A62">
            <w:pPr>
              <w:rPr>
                <w:rFonts w:ascii="Times New Roman" w:hAnsi="Times New Roman" w:cs="Times New Roman"/>
              </w:rPr>
            </w:pPr>
          </w:p>
        </w:tc>
        <w:tc>
          <w:tcPr>
            <w:tcW w:w="2338" w:type="dxa"/>
            <w:tcBorders>
              <w:top w:val="nil"/>
              <w:left w:val="nil"/>
              <w:bottom w:val="nil"/>
              <w:right w:val="nil"/>
            </w:tcBorders>
            <w:shd w:val="clear" w:color="auto" w:fill="E7E6E6" w:themeFill="background2"/>
          </w:tcPr>
          <w:p w14:paraId="3401D7DA" w14:textId="51D3E721" w:rsidR="008A6A62" w:rsidRPr="003C413E" w:rsidRDefault="008A6A62" w:rsidP="008A6A62">
            <w:pPr>
              <w:jc w:val="center"/>
              <w:rPr>
                <w:rFonts w:ascii="Times New Roman" w:hAnsi="Times New Roman" w:cs="Times New Roman"/>
              </w:rPr>
            </w:pPr>
            <w:r w:rsidRPr="003C413E">
              <w:rPr>
                <w:rFonts w:ascii="Times New Roman" w:hAnsi="Times New Roman" w:cs="Times New Roman"/>
              </w:rPr>
              <w:t>(2</w:t>
            </w:r>
            <w:r w:rsidR="00F902A3" w:rsidRPr="003C413E">
              <w:rPr>
                <w:rFonts w:ascii="Times New Roman" w:hAnsi="Times New Roman" w:cs="Times New Roman"/>
              </w:rPr>
              <w:t>3.7</w:t>
            </w:r>
            <w:r w:rsidRPr="003C413E">
              <w:rPr>
                <w:rFonts w:ascii="Times New Roman" w:hAnsi="Times New Roman" w:cs="Times New Roman"/>
              </w:rPr>
              <w:t xml:space="preserve"> – 3</w:t>
            </w:r>
            <w:r w:rsidR="00A34951" w:rsidRPr="003C413E">
              <w:rPr>
                <w:rFonts w:ascii="Times New Roman" w:hAnsi="Times New Roman" w:cs="Times New Roman"/>
              </w:rPr>
              <w:t>3.5</w:t>
            </w:r>
            <w:r w:rsidRPr="003C413E">
              <w:rPr>
                <w:rFonts w:ascii="Times New Roman" w:hAnsi="Times New Roman" w:cs="Times New Roman"/>
              </w:rPr>
              <w:t>)</w:t>
            </w:r>
          </w:p>
        </w:tc>
        <w:tc>
          <w:tcPr>
            <w:tcW w:w="2338" w:type="dxa"/>
            <w:tcBorders>
              <w:top w:val="nil"/>
              <w:left w:val="nil"/>
              <w:bottom w:val="nil"/>
              <w:right w:val="nil"/>
            </w:tcBorders>
            <w:shd w:val="clear" w:color="auto" w:fill="E7E6E6" w:themeFill="background2"/>
          </w:tcPr>
          <w:p w14:paraId="45C2A701" w14:textId="16CFBA52" w:rsidR="008A6A62" w:rsidRPr="003C413E" w:rsidRDefault="008A6A62" w:rsidP="008A6A62">
            <w:pPr>
              <w:jc w:val="center"/>
              <w:rPr>
                <w:rFonts w:ascii="Times New Roman" w:hAnsi="Times New Roman" w:cs="Times New Roman"/>
              </w:rPr>
            </w:pPr>
            <w:r w:rsidRPr="003C413E">
              <w:rPr>
                <w:rFonts w:ascii="Times New Roman" w:hAnsi="Times New Roman" w:cs="Times New Roman"/>
              </w:rPr>
              <w:t>(1</w:t>
            </w:r>
            <w:r w:rsidR="000975AE" w:rsidRPr="003C413E">
              <w:rPr>
                <w:rFonts w:ascii="Times New Roman" w:hAnsi="Times New Roman" w:cs="Times New Roman"/>
              </w:rPr>
              <w:t>0.9</w:t>
            </w:r>
            <w:r w:rsidRPr="003C413E">
              <w:rPr>
                <w:rFonts w:ascii="Times New Roman" w:hAnsi="Times New Roman" w:cs="Times New Roman"/>
              </w:rPr>
              <w:t xml:space="preserve"> – </w:t>
            </w:r>
            <w:r w:rsidR="00DA7D35" w:rsidRPr="003C413E">
              <w:rPr>
                <w:rFonts w:ascii="Times New Roman" w:hAnsi="Times New Roman" w:cs="Times New Roman"/>
              </w:rPr>
              <w:t>15.4</w:t>
            </w:r>
            <w:r w:rsidRPr="003C413E">
              <w:rPr>
                <w:rFonts w:ascii="Times New Roman" w:hAnsi="Times New Roman" w:cs="Times New Roman"/>
              </w:rPr>
              <w:t>)</w:t>
            </w:r>
          </w:p>
        </w:tc>
      </w:tr>
      <w:tr w:rsidR="008A6A62" w:rsidRPr="003C413E" w14:paraId="13593162" w14:textId="77777777" w:rsidTr="00A75485">
        <w:trPr>
          <w:trHeight w:val="80"/>
          <w:jc w:val="center"/>
        </w:trPr>
        <w:tc>
          <w:tcPr>
            <w:tcW w:w="2337" w:type="dxa"/>
            <w:tcBorders>
              <w:top w:val="nil"/>
              <w:left w:val="nil"/>
              <w:bottom w:val="nil"/>
              <w:right w:val="nil"/>
            </w:tcBorders>
            <w:shd w:val="clear" w:color="auto" w:fill="E7E6E6" w:themeFill="background2"/>
          </w:tcPr>
          <w:p w14:paraId="6F1650C5" w14:textId="77777777" w:rsidR="008A6A62" w:rsidRPr="003C413E" w:rsidRDefault="008A6A62" w:rsidP="008A6A62">
            <w:pPr>
              <w:rPr>
                <w:rFonts w:ascii="Times New Roman" w:hAnsi="Times New Roman" w:cs="Times New Roman"/>
              </w:rPr>
            </w:pPr>
          </w:p>
        </w:tc>
        <w:tc>
          <w:tcPr>
            <w:tcW w:w="2337" w:type="dxa"/>
            <w:tcBorders>
              <w:top w:val="nil"/>
              <w:left w:val="nil"/>
              <w:bottom w:val="nil"/>
              <w:right w:val="nil"/>
            </w:tcBorders>
            <w:shd w:val="clear" w:color="auto" w:fill="E7E6E6" w:themeFill="background2"/>
          </w:tcPr>
          <w:p w14:paraId="462586A2" w14:textId="78637C53" w:rsidR="008A6A62" w:rsidRPr="003C413E" w:rsidRDefault="008A6A62" w:rsidP="008A6A62">
            <w:pPr>
              <w:rPr>
                <w:rFonts w:ascii="Times New Roman" w:hAnsi="Times New Roman" w:cs="Times New Roman"/>
              </w:rPr>
            </w:pPr>
            <w:r w:rsidRPr="003C413E">
              <w:rPr>
                <w:rFonts w:ascii="Times New Roman" w:hAnsi="Times New Roman" w:cs="Times New Roman"/>
              </w:rPr>
              <w:t xml:space="preserve">Women </w:t>
            </w:r>
          </w:p>
        </w:tc>
        <w:tc>
          <w:tcPr>
            <w:tcW w:w="2338" w:type="dxa"/>
            <w:tcBorders>
              <w:top w:val="nil"/>
              <w:left w:val="nil"/>
              <w:bottom w:val="nil"/>
              <w:right w:val="nil"/>
            </w:tcBorders>
            <w:shd w:val="clear" w:color="auto" w:fill="E7E6E6" w:themeFill="background2"/>
          </w:tcPr>
          <w:p w14:paraId="28AAD270" w14:textId="68D53F5F" w:rsidR="008A6A62" w:rsidRPr="003C413E" w:rsidRDefault="00DE2D61" w:rsidP="008A6A62">
            <w:pPr>
              <w:jc w:val="center"/>
              <w:rPr>
                <w:rFonts w:ascii="Times New Roman" w:hAnsi="Times New Roman" w:cs="Times New Roman"/>
              </w:rPr>
            </w:pPr>
            <w:r w:rsidRPr="003C413E">
              <w:rPr>
                <w:rFonts w:ascii="Times New Roman" w:hAnsi="Times New Roman" w:cs="Times New Roman"/>
              </w:rPr>
              <w:t>14</w:t>
            </w:r>
          </w:p>
        </w:tc>
        <w:tc>
          <w:tcPr>
            <w:tcW w:w="2338" w:type="dxa"/>
            <w:tcBorders>
              <w:top w:val="nil"/>
              <w:left w:val="nil"/>
              <w:bottom w:val="nil"/>
              <w:right w:val="nil"/>
            </w:tcBorders>
            <w:shd w:val="clear" w:color="auto" w:fill="E7E6E6" w:themeFill="background2"/>
          </w:tcPr>
          <w:p w14:paraId="3C57E782" w14:textId="73635E45" w:rsidR="008A6A62" w:rsidRPr="003C413E" w:rsidRDefault="008A6A62" w:rsidP="008A6A62">
            <w:pPr>
              <w:jc w:val="center"/>
              <w:rPr>
                <w:rFonts w:ascii="Times New Roman" w:hAnsi="Times New Roman" w:cs="Times New Roman"/>
              </w:rPr>
            </w:pPr>
            <w:r w:rsidRPr="003C413E">
              <w:rPr>
                <w:rFonts w:ascii="Times New Roman" w:hAnsi="Times New Roman" w:cs="Times New Roman"/>
              </w:rPr>
              <w:t>2</w:t>
            </w:r>
            <w:r w:rsidR="00EE4C41" w:rsidRPr="003C413E">
              <w:rPr>
                <w:rFonts w:ascii="Times New Roman" w:hAnsi="Times New Roman" w:cs="Times New Roman"/>
              </w:rPr>
              <w:t>6.1</w:t>
            </w:r>
          </w:p>
        </w:tc>
      </w:tr>
      <w:tr w:rsidR="008A6A62" w:rsidRPr="003C413E" w14:paraId="404B8715" w14:textId="77777777" w:rsidTr="00A75485">
        <w:trPr>
          <w:trHeight w:val="80"/>
          <w:jc w:val="center"/>
        </w:trPr>
        <w:tc>
          <w:tcPr>
            <w:tcW w:w="2337" w:type="dxa"/>
            <w:tcBorders>
              <w:top w:val="nil"/>
              <w:left w:val="nil"/>
              <w:bottom w:val="nil"/>
              <w:right w:val="nil"/>
            </w:tcBorders>
            <w:shd w:val="clear" w:color="auto" w:fill="E7E6E6" w:themeFill="background2"/>
          </w:tcPr>
          <w:p w14:paraId="5FC83732" w14:textId="77777777" w:rsidR="008A6A62" w:rsidRPr="003C413E" w:rsidRDefault="008A6A62" w:rsidP="008A6A62">
            <w:pPr>
              <w:rPr>
                <w:rFonts w:ascii="Times New Roman" w:hAnsi="Times New Roman" w:cs="Times New Roman"/>
              </w:rPr>
            </w:pPr>
          </w:p>
        </w:tc>
        <w:tc>
          <w:tcPr>
            <w:tcW w:w="2337" w:type="dxa"/>
            <w:tcBorders>
              <w:top w:val="nil"/>
              <w:left w:val="nil"/>
              <w:bottom w:val="nil"/>
              <w:right w:val="nil"/>
            </w:tcBorders>
            <w:shd w:val="clear" w:color="auto" w:fill="E7E6E6" w:themeFill="background2"/>
          </w:tcPr>
          <w:p w14:paraId="1EFA54A7" w14:textId="77777777" w:rsidR="008A6A62" w:rsidRPr="003C413E" w:rsidRDefault="008A6A62" w:rsidP="008A6A62">
            <w:pPr>
              <w:rPr>
                <w:rFonts w:ascii="Times New Roman" w:hAnsi="Times New Roman" w:cs="Times New Roman"/>
              </w:rPr>
            </w:pPr>
          </w:p>
        </w:tc>
        <w:tc>
          <w:tcPr>
            <w:tcW w:w="2338" w:type="dxa"/>
            <w:tcBorders>
              <w:top w:val="nil"/>
              <w:left w:val="nil"/>
              <w:bottom w:val="nil"/>
              <w:right w:val="nil"/>
            </w:tcBorders>
            <w:shd w:val="clear" w:color="auto" w:fill="E7E6E6" w:themeFill="background2"/>
          </w:tcPr>
          <w:p w14:paraId="048E5C32" w14:textId="2A176BD0" w:rsidR="008A6A62" w:rsidRPr="003C413E" w:rsidRDefault="008A6A62" w:rsidP="008A6A62">
            <w:pPr>
              <w:jc w:val="center"/>
              <w:rPr>
                <w:rFonts w:ascii="Times New Roman" w:hAnsi="Times New Roman" w:cs="Times New Roman"/>
              </w:rPr>
            </w:pPr>
            <w:r w:rsidRPr="003C413E">
              <w:rPr>
                <w:rFonts w:ascii="Times New Roman" w:hAnsi="Times New Roman" w:cs="Times New Roman"/>
              </w:rPr>
              <w:t>(</w:t>
            </w:r>
            <w:r w:rsidR="00C9694D" w:rsidRPr="003C413E">
              <w:rPr>
                <w:rFonts w:ascii="Times New Roman" w:hAnsi="Times New Roman" w:cs="Times New Roman"/>
              </w:rPr>
              <w:t>12.1</w:t>
            </w:r>
            <w:r w:rsidRPr="003C413E">
              <w:rPr>
                <w:rFonts w:ascii="Times New Roman" w:hAnsi="Times New Roman" w:cs="Times New Roman"/>
              </w:rPr>
              <w:t xml:space="preserve"> – </w:t>
            </w:r>
            <w:r w:rsidR="00624F35" w:rsidRPr="003C413E">
              <w:rPr>
                <w:rFonts w:ascii="Times New Roman" w:hAnsi="Times New Roman" w:cs="Times New Roman"/>
              </w:rPr>
              <w:t>16.6</w:t>
            </w:r>
            <w:r w:rsidRPr="003C413E">
              <w:rPr>
                <w:rFonts w:ascii="Times New Roman" w:hAnsi="Times New Roman" w:cs="Times New Roman"/>
              </w:rPr>
              <w:t>)</w:t>
            </w:r>
          </w:p>
        </w:tc>
        <w:tc>
          <w:tcPr>
            <w:tcW w:w="2338" w:type="dxa"/>
            <w:tcBorders>
              <w:top w:val="nil"/>
              <w:left w:val="nil"/>
              <w:bottom w:val="nil"/>
              <w:right w:val="nil"/>
            </w:tcBorders>
            <w:shd w:val="clear" w:color="auto" w:fill="E7E6E6" w:themeFill="background2"/>
          </w:tcPr>
          <w:p w14:paraId="64738F40" w14:textId="77587B69" w:rsidR="008A6A62" w:rsidRPr="003C413E" w:rsidRDefault="008A6A62" w:rsidP="008A6A62">
            <w:pPr>
              <w:jc w:val="center"/>
              <w:rPr>
                <w:rFonts w:ascii="Times New Roman" w:hAnsi="Times New Roman" w:cs="Times New Roman"/>
              </w:rPr>
            </w:pPr>
            <w:r w:rsidRPr="003C413E">
              <w:rPr>
                <w:rFonts w:ascii="Times New Roman" w:hAnsi="Times New Roman" w:cs="Times New Roman"/>
              </w:rPr>
              <w:t>(2</w:t>
            </w:r>
            <w:r w:rsidR="00EE4C41" w:rsidRPr="003C413E">
              <w:rPr>
                <w:rFonts w:ascii="Times New Roman" w:hAnsi="Times New Roman" w:cs="Times New Roman"/>
              </w:rPr>
              <w:t>2</w:t>
            </w:r>
            <w:r w:rsidRPr="003C413E">
              <w:rPr>
                <w:rFonts w:ascii="Times New Roman" w:hAnsi="Times New Roman" w:cs="Times New Roman"/>
              </w:rPr>
              <w:t xml:space="preserve"> – </w:t>
            </w:r>
            <w:r w:rsidR="002A2220" w:rsidRPr="003C413E">
              <w:rPr>
                <w:rFonts w:ascii="Times New Roman" w:hAnsi="Times New Roman" w:cs="Times New Roman"/>
              </w:rPr>
              <w:t>30.2</w:t>
            </w:r>
            <w:r w:rsidRPr="003C413E">
              <w:rPr>
                <w:rFonts w:ascii="Times New Roman" w:hAnsi="Times New Roman" w:cs="Times New Roman"/>
              </w:rPr>
              <w:t>)</w:t>
            </w:r>
          </w:p>
        </w:tc>
      </w:tr>
      <w:tr w:rsidR="002A2220" w:rsidRPr="003C413E" w14:paraId="69C2ED98" w14:textId="77777777" w:rsidTr="006517D0">
        <w:trPr>
          <w:trHeight w:val="80"/>
          <w:jc w:val="center"/>
        </w:trPr>
        <w:tc>
          <w:tcPr>
            <w:tcW w:w="2337" w:type="dxa"/>
            <w:tcBorders>
              <w:top w:val="nil"/>
              <w:left w:val="nil"/>
              <w:bottom w:val="nil"/>
              <w:right w:val="nil"/>
            </w:tcBorders>
            <w:shd w:val="clear" w:color="auto" w:fill="FFFFFF" w:themeFill="background1"/>
          </w:tcPr>
          <w:p w14:paraId="64A4AE5D" w14:textId="77777777" w:rsidR="002A2220" w:rsidRPr="003C413E" w:rsidRDefault="002A2220" w:rsidP="002A2220">
            <w:pPr>
              <w:rPr>
                <w:rFonts w:ascii="Times New Roman" w:hAnsi="Times New Roman" w:cs="Times New Roman"/>
              </w:rPr>
            </w:pPr>
          </w:p>
        </w:tc>
        <w:tc>
          <w:tcPr>
            <w:tcW w:w="2337" w:type="dxa"/>
            <w:tcBorders>
              <w:top w:val="nil"/>
              <w:left w:val="nil"/>
              <w:bottom w:val="nil"/>
              <w:right w:val="nil"/>
            </w:tcBorders>
            <w:shd w:val="clear" w:color="auto" w:fill="FFFFFF" w:themeFill="background1"/>
          </w:tcPr>
          <w:p w14:paraId="1CC206F8" w14:textId="6101B1E8" w:rsidR="002A2220" w:rsidRPr="003C413E" w:rsidRDefault="002A2220" w:rsidP="002A2220">
            <w:pPr>
              <w:rPr>
                <w:rFonts w:ascii="Times New Roman" w:hAnsi="Times New Roman" w:cs="Times New Roman"/>
              </w:rPr>
            </w:pPr>
            <w:r w:rsidRPr="003C413E">
              <w:rPr>
                <w:rFonts w:ascii="Times New Roman" w:hAnsi="Times New Roman" w:cs="Times New Roman"/>
              </w:rPr>
              <w:t>Men</w:t>
            </w:r>
          </w:p>
        </w:tc>
        <w:tc>
          <w:tcPr>
            <w:tcW w:w="2338" w:type="dxa"/>
            <w:tcBorders>
              <w:top w:val="nil"/>
              <w:left w:val="nil"/>
              <w:bottom w:val="nil"/>
              <w:right w:val="nil"/>
            </w:tcBorders>
            <w:shd w:val="clear" w:color="auto" w:fill="FFFFFF" w:themeFill="background1"/>
          </w:tcPr>
          <w:p w14:paraId="5A92221F" w14:textId="5EF5E043" w:rsidR="002A2220" w:rsidRPr="003C413E" w:rsidRDefault="002A2220" w:rsidP="002A2220">
            <w:pPr>
              <w:jc w:val="center"/>
              <w:rPr>
                <w:rFonts w:ascii="Times New Roman" w:hAnsi="Times New Roman" w:cs="Times New Roman"/>
              </w:rPr>
            </w:pPr>
            <w:r w:rsidRPr="003C413E">
              <w:rPr>
                <w:rFonts w:ascii="Times New Roman" w:hAnsi="Times New Roman" w:cs="Times New Roman"/>
              </w:rPr>
              <w:t>27.</w:t>
            </w:r>
            <w:r w:rsidR="0074052E" w:rsidRPr="003C413E">
              <w:rPr>
                <w:rFonts w:ascii="Times New Roman" w:hAnsi="Times New Roman" w:cs="Times New Roman"/>
              </w:rPr>
              <w:t>4</w:t>
            </w:r>
          </w:p>
        </w:tc>
        <w:tc>
          <w:tcPr>
            <w:tcW w:w="2338" w:type="dxa"/>
            <w:tcBorders>
              <w:top w:val="nil"/>
              <w:left w:val="nil"/>
              <w:bottom w:val="nil"/>
              <w:right w:val="nil"/>
            </w:tcBorders>
            <w:shd w:val="clear" w:color="auto" w:fill="FFFFFF" w:themeFill="background1"/>
          </w:tcPr>
          <w:p w14:paraId="3333EAC9" w14:textId="261E5B78" w:rsidR="002A2220" w:rsidRPr="003C413E" w:rsidRDefault="002A2220" w:rsidP="002A2220">
            <w:pPr>
              <w:jc w:val="center"/>
              <w:rPr>
                <w:rFonts w:ascii="Times New Roman" w:hAnsi="Times New Roman" w:cs="Times New Roman"/>
              </w:rPr>
            </w:pPr>
            <w:r w:rsidRPr="003C413E">
              <w:rPr>
                <w:rFonts w:ascii="Times New Roman" w:hAnsi="Times New Roman" w:cs="Times New Roman"/>
              </w:rPr>
              <w:t>13.</w:t>
            </w:r>
            <w:r w:rsidR="00D62AE3" w:rsidRPr="003C413E">
              <w:rPr>
                <w:rFonts w:ascii="Times New Roman" w:hAnsi="Times New Roman" w:cs="Times New Roman"/>
              </w:rPr>
              <w:t>3</w:t>
            </w:r>
          </w:p>
        </w:tc>
      </w:tr>
      <w:tr w:rsidR="002A2220" w:rsidRPr="003C413E" w14:paraId="45EB803D" w14:textId="77777777" w:rsidTr="006517D0">
        <w:trPr>
          <w:trHeight w:val="80"/>
          <w:jc w:val="center"/>
        </w:trPr>
        <w:tc>
          <w:tcPr>
            <w:tcW w:w="2337" w:type="dxa"/>
            <w:tcBorders>
              <w:top w:val="nil"/>
              <w:left w:val="nil"/>
              <w:bottom w:val="nil"/>
              <w:right w:val="nil"/>
            </w:tcBorders>
            <w:shd w:val="clear" w:color="auto" w:fill="FFFFFF" w:themeFill="background1"/>
          </w:tcPr>
          <w:p w14:paraId="7621D27B" w14:textId="6848A15F" w:rsidR="002A2220" w:rsidRPr="003C413E" w:rsidRDefault="002A2220" w:rsidP="002A2220">
            <w:pPr>
              <w:rPr>
                <w:rFonts w:ascii="Times New Roman" w:hAnsi="Times New Roman" w:cs="Times New Roman"/>
              </w:rPr>
            </w:pPr>
            <w:r w:rsidRPr="003C413E">
              <w:rPr>
                <w:rFonts w:ascii="Times New Roman" w:hAnsi="Times New Roman" w:cs="Times New Roman"/>
              </w:rPr>
              <w:t>201</w:t>
            </w:r>
            <w:r w:rsidR="00827471" w:rsidRPr="003C413E">
              <w:rPr>
                <w:rFonts w:ascii="Times New Roman" w:hAnsi="Times New Roman" w:cs="Times New Roman"/>
              </w:rPr>
              <w:t>7-2019</w:t>
            </w:r>
          </w:p>
        </w:tc>
        <w:tc>
          <w:tcPr>
            <w:tcW w:w="2337" w:type="dxa"/>
            <w:tcBorders>
              <w:top w:val="nil"/>
              <w:left w:val="nil"/>
              <w:bottom w:val="nil"/>
              <w:right w:val="nil"/>
            </w:tcBorders>
            <w:shd w:val="clear" w:color="auto" w:fill="FFFFFF" w:themeFill="background1"/>
          </w:tcPr>
          <w:p w14:paraId="0A94B8F7" w14:textId="77777777" w:rsidR="002A2220" w:rsidRPr="003C413E" w:rsidRDefault="002A2220" w:rsidP="002A2220">
            <w:pPr>
              <w:rPr>
                <w:rFonts w:ascii="Times New Roman" w:hAnsi="Times New Roman" w:cs="Times New Roman"/>
              </w:rPr>
            </w:pPr>
          </w:p>
        </w:tc>
        <w:tc>
          <w:tcPr>
            <w:tcW w:w="2338" w:type="dxa"/>
            <w:tcBorders>
              <w:top w:val="nil"/>
              <w:left w:val="nil"/>
              <w:bottom w:val="nil"/>
              <w:right w:val="nil"/>
            </w:tcBorders>
            <w:shd w:val="clear" w:color="auto" w:fill="FFFFFF" w:themeFill="background1"/>
          </w:tcPr>
          <w:p w14:paraId="06888E03" w14:textId="26886CB4" w:rsidR="002A2220" w:rsidRPr="003C413E" w:rsidRDefault="002A2220" w:rsidP="002A2220">
            <w:pPr>
              <w:jc w:val="center"/>
              <w:rPr>
                <w:rFonts w:ascii="Times New Roman" w:hAnsi="Times New Roman" w:cs="Times New Roman"/>
              </w:rPr>
            </w:pPr>
            <w:r w:rsidRPr="003C413E">
              <w:rPr>
                <w:rFonts w:ascii="Times New Roman" w:hAnsi="Times New Roman" w:cs="Times New Roman"/>
              </w:rPr>
              <w:t>(23.</w:t>
            </w:r>
            <w:r w:rsidR="00B01516" w:rsidRPr="003C413E">
              <w:rPr>
                <w:rFonts w:ascii="Times New Roman" w:hAnsi="Times New Roman" w:cs="Times New Roman"/>
              </w:rPr>
              <w:t>4</w:t>
            </w:r>
            <w:r w:rsidRPr="003C413E">
              <w:rPr>
                <w:rFonts w:ascii="Times New Roman" w:hAnsi="Times New Roman" w:cs="Times New Roman"/>
              </w:rPr>
              <w:t xml:space="preserve"> – 33.</w:t>
            </w:r>
            <w:r w:rsidR="000576FF" w:rsidRPr="003C413E">
              <w:rPr>
                <w:rFonts w:ascii="Times New Roman" w:hAnsi="Times New Roman" w:cs="Times New Roman"/>
              </w:rPr>
              <w:t>1</w:t>
            </w:r>
            <w:r w:rsidRPr="003C413E">
              <w:rPr>
                <w:rFonts w:ascii="Times New Roman" w:hAnsi="Times New Roman" w:cs="Times New Roman"/>
              </w:rPr>
              <w:t>)</w:t>
            </w:r>
          </w:p>
        </w:tc>
        <w:tc>
          <w:tcPr>
            <w:tcW w:w="2338" w:type="dxa"/>
            <w:tcBorders>
              <w:top w:val="nil"/>
              <w:left w:val="nil"/>
              <w:bottom w:val="nil"/>
              <w:right w:val="nil"/>
            </w:tcBorders>
            <w:shd w:val="clear" w:color="auto" w:fill="FFFFFF" w:themeFill="background1"/>
          </w:tcPr>
          <w:p w14:paraId="3FBCB7FF" w14:textId="27F730E3" w:rsidR="002A2220" w:rsidRPr="003C413E" w:rsidRDefault="002A2220" w:rsidP="002A2220">
            <w:pPr>
              <w:jc w:val="center"/>
              <w:rPr>
                <w:rFonts w:ascii="Times New Roman" w:hAnsi="Times New Roman" w:cs="Times New Roman"/>
              </w:rPr>
            </w:pPr>
            <w:r w:rsidRPr="003C413E">
              <w:rPr>
                <w:rFonts w:ascii="Times New Roman" w:hAnsi="Times New Roman" w:cs="Times New Roman"/>
              </w:rPr>
              <w:t>(</w:t>
            </w:r>
            <w:r w:rsidR="00D9287A" w:rsidRPr="003C413E">
              <w:rPr>
                <w:rFonts w:ascii="Times New Roman" w:hAnsi="Times New Roman" w:cs="Times New Roman"/>
              </w:rPr>
              <w:t>11</w:t>
            </w:r>
            <w:r w:rsidRPr="003C413E">
              <w:rPr>
                <w:rFonts w:ascii="Times New Roman" w:hAnsi="Times New Roman" w:cs="Times New Roman"/>
              </w:rPr>
              <w:t xml:space="preserve"> – 15.</w:t>
            </w:r>
            <w:r w:rsidR="00EE4D10" w:rsidRPr="003C413E">
              <w:rPr>
                <w:rFonts w:ascii="Times New Roman" w:hAnsi="Times New Roman" w:cs="Times New Roman"/>
              </w:rPr>
              <w:t>6</w:t>
            </w:r>
            <w:r w:rsidRPr="003C413E">
              <w:rPr>
                <w:rFonts w:ascii="Times New Roman" w:hAnsi="Times New Roman" w:cs="Times New Roman"/>
              </w:rPr>
              <w:t>)</w:t>
            </w:r>
          </w:p>
        </w:tc>
      </w:tr>
      <w:tr w:rsidR="002A2220" w:rsidRPr="003C413E" w14:paraId="5C23C2D2" w14:textId="77777777" w:rsidTr="00367F57">
        <w:trPr>
          <w:trHeight w:val="80"/>
          <w:jc w:val="center"/>
        </w:trPr>
        <w:tc>
          <w:tcPr>
            <w:tcW w:w="2337" w:type="dxa"/>
            <w:tcBorders>
              <w:top w:val="nil"/>
              <w:left w:val="nil"/>
              <w:bottom w:val="nil"/>
              <w:right w:val="nil"/>
            </w:tcBorders>
            <w:shd w:val="clear" w:color="auto" w:fill="FFFFFF" w:themeFill="background1"/>
          </w:tcPr>
          <w:p w14:paraId="76A36C63" w14:textId="77777777" w:rsidR="002A2220" w:rsidRPr="003C413E" w:rsidRDefault="002A2220" w:rsidP="002A2220">
            <w:pPr>
              <w:rPr>
                <w:rFonts w:ascii="Times New Roman" w:hAnsi="Times New Roman" w:cs="Times New Roman"/>
              </w:rPr>
            </w:pPr>
          </w:p>
        </w:tc>
        <w:tc>
          <w:tcPr>
            <w:tcW w:w="2337" w:type="dxa"/>
            <w:tcBorders>
              <w:top w:val="nil"/>
              <w:left w:val="nil"/>
              <w:bottom w:val="nil"/>
              <w:right w:val="nil"/>
            </w:tcBorders>
            <w:shd w:val="clear" w:color="auto" w:fill="FFFFFF" w:themeFill="background1"/>
          </w:tcPr>
          <w:p w14:paraId="7682160F" w14:textId="527169B3" w:rsidR="002A2220" w:rsidRPr="003C413E" w:rsidRDefault="002A2220" w:rsidP="002A2220">
            <w:pPr>
              <w:rPr>
                <w:rFonts w:ascii="Times New Roman" w:hAnsi="Times New Roman" w:cs="Times New Roman"/>
              </w:rPr>
            </w:pPr>
            <w:r w:rsidRPr="003C413E">
              <w:rPr>
                <w:rFonts w:ascii="Times New Roman" w:hAnsi="Times New Roman" w:cs="Times New Roman"/>
              </w:rPr>
              <w:t xml:space="preserve">Women </w:t>
            </w:r>
          </w:p>
        </w:tc>
        <w:tc>
          <w:tcPr>
            <w:tcW w:w="2338" w:type="dxa"/>
            <w:tcBorders>
              <w:top w:val="nil"/>
              <w:left w:val="nil"/>
              <w:bottom w:val="nil"/>
              <w:right w:val="nil"/>
            </w:tcBorders>
            <w:shd w:val="clear" w:color="auto" w:fill="FFFFFF" w:themeFill="background1"/>
          </w:tcPr>
          <w:p w14:paraId="779546A4" w14:textId="3883C19C" w:rsidR="002A2220" w:rsidRPr="003C413E" w:rsidRDefault="002A2220" w:rsidP="002A2220">
            <w:pPr>
              <w:jc w:val="center"/>
              <w:rPr>
                <w:rFonts w:ascii="Times New Roman" w:hAnsi="Times New Roman" w:cs="Times New Roman"/>
              </w:rPr>
            </w:pPr>
            <w:r w:rsidRPr="003C413E">
              <w:rPr>
                <w:rFonts w:ascii="Times New Roman" w:hAnsi="Times New Roman" w:cs="Times New Roman"/>
              </w:rPr>
              <w:t>1</w:t>
            </w:r>
            <w:r w:rsidR="002334D9" w:rsidRPr="003C413E">
              <w:rPr>
                <w:rFonts w:ascii="Times New Roman" w:hAnsi="Times New Roman" w:cs="Times New Roman"/>
              </w:rPr>
              <w:t>3.</w:t>
            </w:r>
            <w:r w:rsidR="00E82F8C" w:rsidRPr="003C413E">
              <w:rPr>
                <w:rFonts w:ascii="Times New Roman" w:hAnsi="Times New Roman" w:cs="Times New Roman"/>
              </w:rPr>
              <w:t>8</w:t>
            </w:r>
          </w:p>
        </w:tc>
        <w:tc>
          <w:tcPr>
            <w:tcW w:w="2338" w:type="dxa"/>
            <w:tcBorders>
              <w:top w:val="nil"/>
              <w:left w:val="nil"/>
              <w:bottom w:val="nil"/>
              <w:right w:val="nil"/>
            </w:tcBorders>
            <w:shd w:val="clear" w:color="auto" w:fill="FFFFFF" w:themeFill="background1"/>
          </w:tcPr>
          <w:p w14:paraId="34C3F1E6" w14:textId="25506110" w:rsidR="002A2220" w:rsidRPr="003C413E" w:rsidRDefault="002A2220" w:rsidP="002A2220">
            <w:pPr>
              <w:jc w:val="center"/>
              <w:rPr>
                <w:rFonts w:ascii="Times New Roman" w:hAnsi="Times New Roman" w:cs="Times New Roman"/>
              </w:rPr>
            </w:pPr>
            <w:r w:rsidRPr="003C413E">
              <w:rPr>
                <w:rFonts w:ascii="Times New Roman" w:hAnsi="Times New Roman" w:cs="Times New Roman"/>
              </w:rPr>
              <w:t>26.</w:t>
            </w:r>
            <w:r w:rsidR="00166511" w:rsidRPr="003C413E">
              <w:rPr>
                <w:rFonts w:ascii="Times New Roman" w:hAnsi="Times New Roman" w:cs="Times New Roman"/>
              </w:rPr>
              <w:t>5</w:t>
            </w:r>
          </w:p>
        </w:tc>
      </w:tr>
      <w:tr w:rsidR="002A2220" w:rsidRPr="003C413E" w14:paraId="3C88D704" w14:textId="77777777" w:rsidTr="00367F57">
        <w:trPr>
          <w:trHeight w:val="80"/>
          <w:jc w:val="center"/>
        </w:trPr>
        <w:tc>
          <w:tcPr>
            <w:tcW w:w="2337" w:type="dxa"/>
            <w:tcBorders>
              <w:top w:val="nil"/>
              <w:left w:val="nil"/>
              <w:bottom w:val="single" w:sz="4" w:space="0" w:color="auto"/>
              <w:right w:val="nil"/>
            </w:tcBorders>
            <w:shd w:val="clear" w:color="auto" w:fill="FFFFFF" w:themeFill="background1"/>
          </w:tcPr>
          <w:p w14:paraId="62F5C9F4" w14:textId="77777777" w:rsidR="002A2220" w:rsidRPr="003C413E" w:rsidRDefault="002A2220" w:rsidP="002A2220">
            <w:pPr>
              <w:rPr>
                <w:rFonts w:ascii="Times New Roman" w:hAnsi="Times New Roman" w:cs="Times New Roman"/>
              </w:rPr>
            </w:pPr>
          </w:p>
        </w:tc>
        <w:tc>
          <w:tcPr>
            <w:tcW w:w="2337" w:type="dxa"/>
            <w:tcBorders>
              <w:top w:val="nil"/>
              <w:left w:val="nil"/>
              <w:bottom w:val="single" w:sz="4" w:space="0" w:color="auto"/>
              <w:right w:val="nil"/>
            </w:tcBorders>
            <w:shd w:val="clear" w:color="auto" w:fill="FFFFFF" w:themeFill="background1"/>
          </w:tcPr>
          <w:p w14:paraId="0A51836A" w14:textId="77777777" w:rsidR="002A2220" w:rsidRPr="003C413E" w:rsidRDefault="002A2220" w:rsidP="002A2220">
            <w:pPr>
              <w:rPr>
                <w:rFonts w:ascii="Times New Roman" w:hAnsi="Times New Roman" w:cs="Times New Roman"/>
              </w:rPr>
            </w:pPr>
          </w:p>
        </w:tc>
        <w:tc>
          <w:tcPr>
            <w:tcW w:w="2338" w:type="dxa"/>
            <w:tcBorders>
              <w:top w:val="nil"/>
              <w:left w:val="nil"/>
              <w:bottom w:val="single" w:sz="4" w:space="0" w:color="auto"/>
              <w:right w:val="nil"/>
            </w:tcBorders>
            <w:shd w:val="clear" w:color="auto" w:fill="FFFFFF" w:themeFill="background1"/>
          </w:tcPr>
          <w:p w14:paraId="742B30F4" w14:textId="09A8C452" w:rsidR="002A2220" w:rsidRPr="003C413E" w:rsidRDefault="002A2220" w:rsidP="002A2220">
            <w:pPr>
              <w:jc w:val="center"/>
              <w:rPr>
                <w:rFonts w:ascii="Times New Roman" w:hAnsi="Times New Roman" w:cs="Times New Roman"/>
              </w:rPr>
            </w:pPr>
            <w:r w:rsidRPr="003C413E">
              <w:rPr>
                <w:rFonts w:ascii="Times New Roman" w:hAnsi="Times New Roman" w:cs="Times New Roman"/>
              </w:rPr>
              <w:t>(</w:t>
            </w:r>
            <w:r w:rsidR="00E82F8C" w:rsidRPr="003C413E">
              <w:rPr>
                <w:rFonts w:ascii="Times New Roman" w:hAnsi="Times New Roman" w:cs="Times New Roman"/>
              </w:rPr>
              <w:t>11.9</w:t>
            </w:r>
            <w:r w:rsidRPr="003C413E">
              <w:rPr>
                <w:rFonts w:ascii="Times New Roman" w:hAnsi="Times New Roman" w:cs="Times New Roman"/>
              </w:rPr>
              <w:t xml:space="preserve"> – </w:t>
            </w:r>
            <w:r w:rsidR="00D62634" w:rsidRPr="003C413E">
              <w:rPr>
                <w:rFonts w:ascii="Times New Roman" w:hAnsi="Times New Roman" w:cs="Times New Roman"/>
              </w:rPr>
              <w:t>16.3</w:t>
            </w:r>
            <w:r w:rsidRPr="003C413E">
              <w:rPr>
                <w:rFonts w:ascii="Times New Roman" w:hAnsi="Times New Roman" w:cs="Times New Roman"/>
              </w:rPr>
              <w:t>)</w:t>
            </w:r>
          </w:p>
        </w:tc>
        <w:tc>
          <w:tcPr>
            <w:tcW w:w="2338" w:type="dxa"/>
            <w:tcBorders>
              <w:top w:val="nil"/>
              <w:left w:val="nil"/>
              <w:bottom w:val="single" w:sz="4" w:space="0" w:color="auto"/>
              <w:right w:val="nil"/>
            </w:tcBorders>
            <w:shd w:val="clear" w:color="auto" w:fill="FFFFFF" w:themeFill="background1"/>
          </w:tcPr>
          <w:p w14:paraId="3801EA5E" w14:textId="09836C6B" w:rsidR="002A2220" w:rsidRPr="003C413E" w:rsidRDefault="002A2220" w:rsidP="002A2220">
            <w:pPr>
              <w:jc w:val="center"/>
              <w:rPr>
                <w:rFonts w:ascii="Times New Roman" w:hAnsi="Times New Roman" w:cs="Times New Roman"/>
              </w:rPr>
            </w:pPr>
            <w:r w:rsidRPr="003C413E">
              <w:rPr>
                <w:rFonts w:ascii="Times New Roman" w:hAnsi="Times New Roman" w:cs="Times New Roman"/>
              </w:rPr>
              <w:t>(22</w:t>
            </w:r>
            <w:r w:rsidR="008F634D" w:rsidRPr="003C413E">
              <w:rPr>
                <w:rFonts w:ascii="Times New Roman" w:hAnsi="Times New Roman" w:cs="Times New Roman"/>
              </w:rPr>
              <w:t>.4</w:t>
            </w:r>
            <w:r w:rsidRPr="003C413E">
              <w:rPr>
                <w:rFonts w:ascii="Times New Roman" w:hAnsi="Times New Roman" w:cs="Times New Roman"/>
              </w:rPr>
              <w:t xml:space="preserve"> – 30.</w:t>
            </w:r>
            <w:r w:rsidR="008F634D" w:rsidRPr="003C413E">
              <w:rPr>
                <w:rFonts w:ascii="Times New Roman" w:hAnsi="Times New Roman" w:cs="Times New Roman"/>
              </w:rPr>
              <w:t>6</w:t>
            </w:r>
            <w:r w:rsidRPr="003C413E">
              <w:rPr>
                <w:rFonts w:ascii="Times New Roman" w:hAnsi="Times New Roman" w:cs="Times New Roman"/>
              </w:rPr>
              <w:t>)</w:t>
            </w:r>
          </w:p>
        </w:tc>
      </w:tr>
    </w:tbl>
    <w:p w14:paraId="1B6076AD" w14:textId="77777777" w:rsidR="0093226C" w:rsidRPr="003C413E" w:rsidRDefault="0093226C" w:rsidP="001718E7">
      <w:pPr>
        <w:rPr>
          <w:rFonts w:ascii="Times New Roman" w:hAnsi="Times New Roman" w:cs="Times New Roman"/>
        </w:rPr>
      </w:pPr>
    </w:p>
    <w:p w14:paraId="5573FA19" w14:textId="77777777" w:rsidR="00446CA9" w:rsidRPr="003C413E" w:rsidRDefault="00446CA9" w:rsidP="001718E7">
      <w:pPr>
        <w:rPr>
          <w:rFonts w:ascii="Times New Roman" w:hAnsi="Times New Roman" w:cs="Times New Roman"/>
        </w:rPr>
      </w:pPr>
    </w:p>
    <w:p w14:paraId="264E7B8D" w14:textId="77777777" w:rsidR="00446CA9" w:rsidRPr="003C413E" w:rsidRDefault="00446CA9" w:rsidP="001718E7">
      <w:pPr>
        <w:rPr>
          <w:rFonts w:ascii="Times New Roman" w:hAnsi="Times New Roman" w:cs="Times New Roman"/>
        </w:rPr>
      </w:pPr>
    </w:p>
    <w:p w14:paraId="00346336" w14:textId="77777777" w:rsidR="00446CA9" w:rsidRPr="003C413E" w:rsidRDefault="00446CA9" w:rsidP="001718E7">
      <w:pPr>
        <w:rPr>
          <w:rFonts w:ascii="Times New Roman" w:hAnsi="Times New Roman" w:cs="Times New Roman"/>
        </w:rPr>
      </w:pPr>
    </w:p>
    <w:p w14:paraId="5E06063C" w14:textId="795986E9" w:rsidR="00810FCA" w:rsidRPr="003C413E" w:rsidRDefault="002B1E3C" w:rsidP="002B1E3C">
      <w:pPr>
        <w:pStyle w:val="Heading1"/>
        <w:rPr>
          <w:rFonts w:ascii="Times New Roman" w:hAnsi="Times New Roman" w:cs="Times New Roman"/>
        </w:rPr>
      </w:pPr>
      <w:bookmarkStart w:id="34" w:name="_Toc113956991"/>
      <w:r w:rsidRPr="003C413E">
        <w:rPr>
          <w:rFonts w:ascii="Times New Roman" w:hAnsi="Times New Roman" w:cs="Times New Roman"/>
        </w:rPr>
        <w:lastRenderedPageBreak/>
        <w:t>References</w:t>
      </w:r>
      <w:bookmarkEnd w:id="34"/>
      <w:r w:rsidRPr="003C413E">
        <w:rPr>
          <w:rFonts w:ascii="Times New Roman" w:hAnsi="Times New Roman" w:cs="Times New Roman"/>
        </w:rPr>
        <w:t xml:space="preserve"> </w:t>
      </w:r>
    </w:p>
    <w:p w14:paraId="7B67EF29" w14:textId="77777777" w:rsidR="00043B02" w:rsidRPr="003C413E" w:rsidRDefault="00043B02" w:rsidP="00043B02">
      <w:pPr>
        <w:rPr>
          <w:rFonts w:ascii="Times New Roman" w:hAnsi="Times New Roman" w:cs="Times New Roman"/>
        </w:rPr>
      </w:pPr>
    </w:p>
    <w:p w14:paraId="612CFE26" w14:textId="44504539" w:rsidR="00303E7E" w:rsidRPr="003C413E" w:rsidRDefault="00DF67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rPr>
        <w:fldChar w:fldCharType="begin" w:fldLock="1"/>
      </w:r>
      <w:r w:rsidRPr="003C413E">
        <w:rPr>
          <w:rFonts w:ascii="Times New Roman" w:hAnsi="Times New Roman" w:cs="Times New Roman"/>
        </w:rPr>
        <w:instrText xml:space="preserve">ADDIN Mendeley Bibliography CSL_BIBLIOGRAPHY </w:instrText>
      </w:r>
      <w:r w:rsidRPr="003C413E">
        <w:rPr>
          <w:rFonts w:ascii="Times New Roman" w:hAnsi="Times New Roman" w:cs="Times New Roman"/>
        </w:rPr>
        <w:fldChar w:fldCharType="separate"/>
      </w:r>
      <w:r w:rsidR="00303E7E" w:rsidRPr="003C413E">
        <w:rPr>
          <w:rFonts w:ascii="Times New Roman" w:hAnsi="Times New Roman" w:cs="Times New Roman"/>
          <w:noProof/>
          <w:szCs w:val="24"/>
        </w:rPr>
        <w:t>[1]</w:t>
      </w:r>
      <w:r w:rsidR="00303E7E" w:rsidRPr="003C413E">
        <w:rPr>
          <w:rFonts w:ascii="Times New Roman" w:hAnsi="Times New Roman" w:cs="Times New Roman"/>
          <w:noProof/>
          <w:szCs w:val="24"/>
        </w:rPr>
        <w:tab/>
        <w:t>United States Census Bureau, “American Community Survey, 2019 American Community Survey 1-Year Estimates, Table B01001.” 2021, [Online]. Available: https://data.census.gov/cedsci/.</w:t>
      </w:r>
    </w:p>
    <w:p w14:paraId="161EE2A8"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[2]</w:t>
      </w:r>
      <w:r w:rsidRPr="003C413E">
        <w:rPr>
          <w:rFonts w:ascii="Times New Roman" w:hAnsi="Times New Roman" w:cs="Times New Roman"/>
          <w:noProof/>
          <w:szCs w:val="24"/>
        </w:rPr>
        <w:tab/>
        <w:t>United States Census Bureau, “American Community Survey, 2018 American Community Survey 1-Year Estimates, Table B01001.” 2019.</w:t>
      </w:r>
    </w:p>
    <w:p w14:paraId="39E9FB42"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[3]</w:t>
      </w:r>
      <w:r w:rsidRPr="003C413E">
        <w:rPr>
          <w:rFonts w:ascii="Times New Roman" w:hAnsi="Times New Roman" w:cs="Times New Roman"/>
          <w:noProof/>
          <w:szCs w:val="24"/>
        </w:rPr>
        <w:tab/>
        <w:t>United States Census Bureau, “American Community Survey, 2009 American Community Survey 1-Year Estimates, Table B01001.” 2010.</w:t>
      </w:r>
    </w:p>
    <w:p w14:paraId="6058DD9A"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[4]</w:t>
      </w:r>
      <w:r w:rsidRPr="003C413E">
        <w:rPr>
          <w:rFonts w:ascii="Times New Roman" w:hAnsi="Times New Roman" w:cs="Times New Roman"/>
          <w:noProof/>
          <w:szCs w:val="24"/>
        </w:rPr>
        <w:tab/>
        <w:t>United States Census Bureau, “American Community Survey, 2008 American Community Survey 1-Year Estimates, Table B01001.” 2009.</w:t>
      </w:r>
    </w:p>
    <w:p w14:paraId="4C3A59DA"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[5]</w:t>
      </w:r>
      <w:r w:rsidRPr="003C413E">
        <w:rPr>
          <w:rFonts w:ascii="Times New Roman" w:hAnsi="Times New Roman" w:cs="Times New Roman"/>
          <w:noProof/>
          <w:szCs w:val="24"/>
        </w:rPr>
        <w:tab/>
        <w:t>United States Census Bureau, “American Community Survey, 2007 American Community Survey 1-Year Estimates, Table B01001.” 2008.</w:t>
      </w:r>
    </w:p>
    <w:p w14:paraId="7595D22A"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[6]</w:t>
      </w:r>
      <w:r w:rsidRPr="003C413E">
        <w:rPr>
          <w:rFonts w:ascii="Times New Roman" w:hAnsi="Times New Roman" w:cs="Times New Roman"/>
          <w:noProof/>
          <w:szCs w:val="24"/>
        </w:rPr>
        <w:tab/>
        <w:t>United States Census Bureau, “American Community Survey, 2017 American Community Survey 1-Year Estimates, Table B01001.” 2018.</w:t>
      </w:r>
    </w:p>
    <w:p w14:paraId="0FAC8A86"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[7]</w:t>
      </w:r>
      <w:r w:rsidRPr="003C413E">
        <w:rPr>
          <w:rFonts w:ascii="Times New Roman" w:hAnsi="Times New Roman" w:cs="Times New Roman"/>
          <w:noProof/>
          <w:szCs w:val="24"/>
        </w:rPr>
        <w:tab/>
        <w:t>United States Census Bureau, “American Community Survey, 2016 American Community Survey 1-Year Estimates, Table B01001.” 2017.</w:t>
      </w:r>
    </w:p>
    <w:p w14:paraId="694AF47E"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[8]</w:t>
      </w:r>
      <w:r w:rsidRPr="003C413E">
        <w:rPr>
          <w:rFonts w:ascii="Times New Roman" w:hAnsi="Times New Roman" w:cs="Times New Roman"/>
          <w:noProof/>
          <w:szCs w:val="24"/>
        </w:rPr>
        <w:tab/>
        <w:t>United States Census Bureau, “American Community Survey, 2015 American Community Survey 1-Year Estimates, Table B01001.” 2016.</w:t>
      </w:r>
    </w:p>
    <w:p w14:paraId="7B92805A"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[9]</w:t>
      </w:r>
      <w:r w:rsidRPr="003C413E">
        <w:rPr>
          <w:rFonts w:ascii="Times New Roman" w:hAnsi="Times New Roman" w:cs="Times New Roman"/>
          <w:noProof/>
          <w:szCs w:val="24"/>
        </w:rPr>
        <w:tab/>
        <w:t>United States Census Bureau, “American Community Survey, 2014 American Community Survey 1-Year Estimates, Table B01001.” 2015.</w:t>
      </w:r>
    </w:p>
    <w:p w14:paraId="3E530331"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[10]</w:t>
      </w:r>
      <w:r w:rsidRPr="003C413E">
        <w:rPr>
          <w:rFonts w:ascii="Times New Roman" w:hAnsi="Times New Roman" w:cs="Times New Roman"/>
          <w:noProof/>
          <w:szCs w:val="24"/>
        </w:rPr>
        <w:tab/>
        <w:t>United States Census Bureau, “American Community Survey, 2013 American Community Survey 1-Year Estimates, Table B01001.” 2014.</w:t>
      </w:r>
    </w:p>
    <w:p w14:paraId="11AE4A71"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[11]</w:t>
      </w:r>
      <w:r w:rsidRPr="003C413E">
        <w:rPr>
          <w:rFonts w:ascii="Times New Roman" w:hAnsi="Times New Roman" w:cs="Times New Roman"/>
          <w:noProof/>
          <w:szCs w:val="24"/>
        </w:rPr>
        <w:tab/>
        <w:t>United States Census Bureau, “American Community Survey, 2012 American Community Survey 1-Year Estimates, Table B01001.” 2013.</w:t>
      </w:r>
    </w:p>
    <w:p w14:paraId="666A8A25"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[12]</w:t>
      </w:r>
      <w:r w:rsidRPr="003C413E">
        <w:rPr>
          <w:rFonts w:ascii="Times New Roman" w:hAnsi="Times New Roman" w:cs="Times New Roman"/>
          <w:noProof/>
          <w:szCs w:val="24"/>
        </w:rPr>
        <w:tab/>
        <w:t>United States Census Bureau, “American Community Survey, 2011 American Community Survey 1-Year Estimates, Table B01001.” 2012.</w:t>
      </w:r>
    </w:p>
    <w:p w14:paraId="20429705"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[13]</w:t>
      </w:r>
      <w:r w:rsidRPr="003C413E">
        <w:rPr>
          <w:rFonts w:ascii="Times New Roman" w:hAnsi="Times New Roman" w:cs="Times New Roman"/>
          <w:noProof/>
          <w:szCs w:val="24"/>
        </w:rPr>
        <w:tab/>
        <w:t>United States Census Bureau, “American Community Survey, 2010 American Community Survey 1-Year Estimates, Table B01001.” 2011.</w:t>
      </w:r>
    </w:p>
    <w:p w14:paraId="35A84BAC"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[14]</w:t>
      </w:r>
      <w:r w:rsidRPr="003C413E">
        <w:rPr>
          <w:rFonts w:ascii="Times New Roman" w:hAnsi="Times New Roman" w:cs="Times New Roman"/>
          <w:noProof/>
          <w:szCs w:val="24"/>
        </w:rPr>
        <w:tab/>
        <w:t>Centers for Disease Control and Prevention, “Sexually Transmitted Disease Surveillance 2019: Table 21,” Atlanta, 2021.</w:t>
      </w:r>
    </w:p>
    <w:p w14:paraId="146BC973"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[15]</w:t>
      </w:r>
      <w:r w:rsidRPr="003C413E">
        <w:rPr>
          <w:rFonts w:ascii="Times New Roman" w:hAnsi="Times New Roman" w:cs="Times New Roman"/>
          <w:noProof/>
          <w:szCs w:val="24"/>
        </w:rPr>
        <w:tab/>
        <w:t>Centers for Disease Control and Prevention, “Sexually Transmitted Disease Surveillance 2014: Table 21,” Atlanta, 2015.</w:t>
      </w:r>
    </w:p>
    <w:p w14:paraId="061BEA97"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[16]</w:t>
      </w:r>
      <w:r w:rsidRPr="003C413E">
        <w:rPr>
          <w:rFonts w:ascii="Times New Roman" w:hAnsi="Times New Roman" w:cs="Times New Roman"/>
          <w:noProof/>
          <w:szCs w:val="24"/>
        </w:rPr>
        <w:tab/>
        <w:t>Centers for Disease Control and Prevention, “Sexually Transmitted Disease Surveillance 2009: Table 21,” Atlanta, 2010.</w:t>
      </w:r>
    </w:p>
    <w:p w14:paraId="780363F7"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[17]</w:t>
      </w:r>
      <w:r w:rsidRPr="003C413E">
        <w:rPr>
          <w:rFonts w:ascii="Times New Roman" w:hAnsi="Times New Roman" w:cs="Times New Roman"/>
          <w:noProof/>
          <w:szCs w:val="24"/>
        </w:rPr>
        <w:tab/>
        <w:t xml:space="preserve">E. R. Learner, K. A. Powers, E. A. Torrone, B. W. Pence, J. P. Fine, and W. C. Miller, “The Influence of Screening, Misclassification, and Reporting Biases on Reported Chlamydia Case Rates Among Young Women in the United States, 2000 Through 2017,” </w:t>
      </w:r>
      <w:r w:rsidRPr="003C413E">
        <w:rPr>
          <w:rFonts w:ascii="Times New Roman" w:hAnsi="Times New Roman" w:cs="Times New Roman"/>
          <w:i/>
          <w:iCs/>
          <w:noProof/>
          <w:szCs w:val="24"/>
        </w:rPr>
        <w:t>Sex. Transm. Dis.</w:t>
      </w:r>
      <w:r w:rsidRPr="003C413E">
        <w:rPr>
          <w:rFonts w:ascii="Times New Roman" w:hAnsi="Times New Roman" w:cs="Times New Roman"/>
          <w:noProof/>
          <w:szCs w:val="24"/>
        </w:rPr>
        <w:t>, vol. 47, no. 6, pp. 369–375, Jun. 2020, doi: 10.1097/OLQ.0000000000001157.</w:t>
      </w:r>
    </w:p>
    <w:p w14:paraId="351EF504"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[18]</w:t>
      </w:r>
      <w:r w:rsidRPr="003C413E">
        <w:rPr>
          <w:rFonts w:ascii="Times New Roman" w:hAnsi="Times New Roman" w:cs="Times New Roman"/>
          <w:noProof/>
          <w:szCs w:val="24"/>
        </w:rPr>
        <w:tab/>
        <w:t>National Center for Health Statistics, “Public Use Data, National Survey of Family Growth: 2006–</w:t>
      </w:r>
      <w:r w:rsidRPr="003C413E">
        <w:rPr>
          <w:rFonts w:ascii="Times New Roman" w:hAnsi="Times New Roman" w:cs="Times New Roman"/>
          <w:noProof/>
          <w:szCs w:val="24"/>
        </w:rPr>
        <w:lastRenderedPageBreak/>
        <w:t>2010.” U.S. Department of Health and Human Services, Centers for Disease Control and Prevention, Hyattsville, MD, 2011.</w:t>
      </w:r>
    </w:p>
    <w:p w14:paraId="7FAA5EB6"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[19]</w:t>
      </w:r>
      <w:r w:rsidRPr="003C413E">
        <w:rPr>
          <w:rFonts w:ascii="Times New Roman" w:hAnsi="Times New Roman" w:cs="Times New Roman"/>
          <w:noProof/>
          <w:szCs w:val="24"/>
        </w:rPr>
        <w:tab/>
        <w:t>National Center for Health Statistics, “Public Use Data, National Survey of Family Growth: 2011-2013.” U.S. Department of Health and Human Services, Centers for Disease Control and Prevention, Hyattsville, MD, 2014.</w:t>
      </w:r>
    </w:p>
    <w:p w14:paraId="4600582A"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[20]</w:t>
      </w:r>
      <w:r w:rsidRPr="003C413E">
        <w:rPr>
          <w:rFonts w:ascii="Times New Roman" w:hAnsi="Times New Roman" w:cs="Times New Roman"/>
          <w:noProof/>
          <w:szCs w:val="24"/>
        </w:rPr>
        <w:tab/>
        <w:t>National Center for Health Statistics, “Public Use Data, National Survey of Family Growth: 2013-2015.” U.S. Department of Health and Human Services, Centers for Disease Control and Prevention, Hyattsville, MD, 2016.</w:t>
      </w:r>
    </w:p>
    <w:p w14:paraId="16431A67"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[21]</w:t>
      </w:r>
      <w:r w:rsidRPr="003C413E">
        <w:rPr>
          <w:rFonts w:ascii="Times New Roman" w:hAnsi="Times New Roman" w:cs="Times New Roman"/>
          <w:noProof/>
          <w:szCs w:val="24"/>
        </w:rPr>
        <w:tab/>
        <w:t>National Center for Health Statistics, “Public Use Data, National Survey of Family Growth: 2015-2017.” U.S. Department of Health and Human Services, Centers for Disease Control and Prevention, Hyattsville, MD, 2018.</w:t>
      </w:r>
    </w:p>
    <w:p w14:paraId="27589E69"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[22]</w:t>
      </w:r>
      <w:r w:rsidRPr="003C413E">
        <w:rPr>
          <w:rFonts w:ascii="Times New Roman" w:hAnsi="Times New Roman" w:cs="Times New Roman"/>
          <w:noProof/>
          <w:szCs w:val="24"/>
        </w:rPr>
        <w:tab/>
        <w:t>National Center for Health Statistics, “Public Use Data, National Survey of Family Growth: 2017-2019.” U.S. Department of Health and Human Services, Centers for Disease Control and Prevention, Hyattsville, MD, 2020.</w:t>
      </w:r>
    </w:p>
    <w:p w14:paraId="0DC1F671"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[23]</w:t>
      </w:r>
      <w:r w:rsidRPr="003C413E">
        <w:rPr>
          <w:rFonts w:ascii="Times New Roman" w:hAnsi="Times New Roman" w:cs="Times New Roman"/>
          <w:noProof/>
          <w:szCs w:val="24"/>
        </w:rPr>
        <w:tab/>
        <w:t xml:space="preserve">T. A. Farley, D. A. Cohen, and W. Elkins, “Asymptomatic sexually transmitted diseases: The case for screening,” </w:t>
      </w:r>
      <w:r w:rsidRPr="003C413E">
        <w:rPr>
          <w:rFonts w:ascii="Times New Roman" w:hAnsi="Times New Roman" w:cs="Times New Roman"/>
          <w:i/>
          <w:iCs/>
          <w:noProof/>
          <w:szCs w:val="24"/>
        </w:rPr>
        <w:t>Prev. Med. (Baltim).</w:t>
      </w:r>
      <w:r w:rsidRPr="003C413E">
        <w:rPr>
          <w:rFonts w:ascii="Times New Roman" w:hAnsi="Times New Roman" w:cs="Times New Roman"/>
          <w:noProof/>
          <w:szCs w:val="24"/>
        </w:rPr>
        <w:t>, vol. 36, no. 4, pp. 502–509, Apr. 2003, doi: 10.1016/S0091-7435(02)00058-0.</w:t>
      </w:r>
    </w:p>
    <w:p w14:paraId="65180DC9"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[24]</w:t>
      </w:r>
      <w:r w:rsidRPr="003C413E">
        <w:rPr>
          <w:rFonts w:ascii="Times New Roman" w:hAnsi="Times New Roman" w:cs="Times New Roman"/>
          <w:noProof/>
          <w:szCs w:val="24"/>
        </w:rPr>
        <w:tab/>
        <w:t>United States Census Bureau, “American Community Survey, 2006 American Community Survey 1-Year Estimates, Table B01001.” 2007.</w:t>
      </w:r>
    </w:p>
    <w:p w14:paraId="66D5D5D2"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[25]</w:t>
      </w:r>
      <w:r w:rsidRPr="003C413E">
        <w:rPr>
          <w:rFonts w:ascii="Times New Roman" w:hAnsi="Times New Roman" w:cs="Times New Roman"/>
          <w:noProof/>
          <w:szCs w:val="24"/>
        </w:rPr>
        <w:tab/>
        <w:t xml:space="preserve">E. R. Learner, E. A. Torrone, J. P. Fine, B. W. Pence, K. A. Powers, and W. C. Miller, “Chlamydia Prevalence Trends among Women and Men Entering the National Job Training Program from 1990 Through 2012,” </w:t>
      </w:r>
      <w:r w:rsidRPr="003C413E">
        <w:rPr>
          <w:rFonts w:ascii="Times New Roman" w:hAnsi="Times New Roman" w:cs="Times New Roman"/>
          <w:i/>
          <w:iCs/>
          <w:noProof/>
          <w:szCs w:val="24"/>
        </w:rPr>
        <w:t>Sex. Transm. Dis.</w:t>
      </w:r>
      <w:r w:rsidRPr="003C413E">
        <w:rPr>
          <w:rFonts w:ascii="Times New Roman" w:hAnsi="Times New Roman" w:cs="Times New Roman"/>
          <w:noProof/>
          <w:szCs w:val="24"/>
        </w:rPr>
        <w:t>, vol. 45, no. 8, pp. 554–559, Aug. 2018, doi: 10.1097/OLQ.0000000000000798.</w:t>
      </w:r>
    </w:p>
    <w:p w14:paraId="3478D885"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[26]</w:t>
      </w:r>
      <w:r w:rsidRPr="003C413E">
        <w:rPr>
          <w:rFonts w:ascii="Times New Roman" w:hAnsi="Times New Roman" w:cs="Times New Roman"/>
          <w:noProof/>
          <w:szCs w:val="24"/>
        </w:rPr>
        <w:tab/>
        <w:t xml:space="preserve">N. W. Stupiansky, B. Van Der Pol, J. A. Williams, B. Weaver, S. E. Taylor, and J. D. Fortenberry, “The natural history of incident gonococcal infection in adolescent women,” </w:t>
      </w:r>
      <w:r w:rsidRPr="003C413E">
        <w:rPr>
          <w:rFonts w:ascii="Times New Roman" w:hAnsi="Times New Roman" w:cs="Times New Roman"/>
          <w:i/>
          <w:iCs/>
          <w:noProof/>
          <w:szCs w:val="24"/>
        </w:rPr>
        <w:t>Sex. Transm. Dis.</w:t>
      </w:r>
      <w:r w:rsidRPr="003C413E">
        <w:rPr>
          <w:rFonts w:ascii="Times New Roman" w:hAnsi="Times New Roman" w:cs="Times New Roman"/>
          <w:noProof/>
          <w:szCs w:val="24"/>
        </w:rPr>
        <w:t>, vol. 38, no. 8, pp. 750–754, Aug. 2011, doi: 10.1097/OLQ.0B013E31820FF9A4.</w:t>
      </w:r>
    </w:p>
    <w:p w14:paraId="1B172A21"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[27]</w:t>
      </w:r>
      <w:r w:rsidRPr="003C413E">
        <w:rPr>
          <w:rFonts w:ascii="Times New Roman" w:hAnsi="Times New Roman" w:cs="Times New Roman"/>
          <w:noProof/>
          <w:szCs w:val="24"/>
        </w:rPr>
        <w:tab/>
        <w:t xml:space="preserve">H. H. Handsfield, T. O. Lipman, J. P. Harnisch, E. Tronca, and K. K. Holmes, “Asymptomatic Gonorrhea in Men,” </w:t>
      </w:r>
      <w:r w:rsidRPr="003C413E">
        <w:rPr>
          <w:rFonts w:ascii="Times New Roman" w:hAnsi="Times New Roman" w:cs="Times New Roman"/>
          <w:i/>
          <w:iCs/>
          <w:noProof/>
          <w:szCs w:val="24"/>
        </w:rPr>
        <w:t>http://dx.doi.org/10.1056/NEJM197401172900301</w:t>
      </w:r>
      <w:r w:rsidRPr="003C413E">
        <w:rPr>
          <w:rFonts w:ascii="Times New Roman" w:hAnsi="Times New Roman" w:cs="Times New Roman"/>
          <w:noProof/>
          <w:szCs w:val="24"/>
        </w:rPr>
        <w:t>, vol. 16, no. 2, pp. 103–107, Jan. 2010, doi: 10.1056/NEJM197401172900301.</w:t>
      </w:r>
    </w:p>
    <w:p w14:paraId="62B7F639"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szCs w:val="24"/>
        </w:rPr>
      </w:pPr>
      <w:r w:rsidRPr="003C413E">
        <w:rPr>
          <w:rFonts w:ascii="Times New Roman" w:hAnsi="Times New Roman" w:cs="Times New Roman"/>
          <w:noProof/>
          <w:szCs w:val="24"/>
        </w:rPr>
        <w:t>[28]</w:t>
      </w:r>
      <w:r w:rsidRPr="003C413E">
        <w:rPr>
          <w:rFonts w:ascii="Times New Roman" w:hAnsi="Times New Roman" w:cs="Times New Roman"/>
          <w:noProof/>
          <w:szCs w:val="24"/>
        </w:rPr>
        <w:tab/>
        <w:t xml:space="preserve">J. Portnoy, J. Q. Mendelson, and L. Heisler, “Asymptomatic gonorrhea in the male,” </w:t>
      </w:r>
      <w:r w:rsidRPr="003C413E">
        <w:rPr>
          <w:rFonts w:ascii="Times New Roman" w:hAnsi="Times New Roman" w:cs="Times New Roman"/>
          <w:i/>
          <w:iCs/>
          <w:noProof/>
          <w:szCs w:val="24"/>
        </w:rPr>
        <w:t>Can Med Assoc J</w:t>
      </w:r>
      <w:r w:rsidRPr="003C413E">
        <w:rPr>
          <w:rFonts w:ascii="Times New Roman" w:hAnsi="Times New Roman" w:cs="Times New Roman"/>
          <w:noProof/>
          <w:szCs w:val="24"/>
        </w:rPr>
        <w:t>, vol. 110, no. 2, pp. 169–171, 1974.</w:t>
      </w:r>
    </w:p>
    <w:p w14:paraId="466DD86D" w14:textId="77777777" w:rsidR="00303E7E" w:rsidRPr="003C413E" w:rsidRDefault="00303E7E" w:rsidP="00303E7E">
      <w:pPr>
        <w:widowControl w:val="0"/>
        <w:autoSpaceDE w:val="0"/>
        <w:autoSpaceDN w:val="0"/>
        <w:adjustRightInd w:val="0"/>
        <w:spacing w:line="240" w:lineRule="auto"/>
        <w:ind w:left="640" w:hanging="640"/>
        <w:rPr>
          <w:rFonts w:ascii="Times New Roman" w:hAnsi="Times New Roman" w:cs="Times New Roman"/>
          <w:noProof/>
        </w:rPr>
      </w:pPr>
      <w:r w:rsidRPr="003C413E">
        <w:rPr>
          <w:rFonts w:ascii="Times New Roman" w:hAnsi="Times New Roman" w:cs="Times New Roman"/>
          <w:noProof/>
          <w:szCs w:val="24"/>
        </w:rPr>
        <w:t>[29]</w:t>
      </w:r>
      <w:r w:rsidRPr="003C413E">
        <w:rPr>
          <w:rFonts w:ascii="Times New Roman" w:hAnsi="Times New Roman" w:cs="Times New Roman"/>
          <w:noProof/>
          <w:szCs w:val="24"/>
        </w:rPr>
        <w:tab/>
        <w:t xml:space="preserve">E. L. Korenromp </w:t>
      </w:r>
      <w:r w:rsidRPr="003C413E">
        <w:rPr>
          <w:rFonts w:ascii="Times New Roman" w:hAnsi="Times New Roman" w:cs="Times New Roman"/>
          <w:i/>
          <w:iCs/>
          <w:noProof/>
          <w:szCs w:val="24"/>
        </w:rPr>
        <w:t>et al.</w:t>
      </w:r>
      <w:r w:rsidRPr="003C413E">
        <w:rPr>
          <w:rFonts w:ascii="Times New Roman" w:hAnsi="Times New Roman" w:cs="Times New Roman"/>
          <w:noProof/>
          <w:szCs w:val="24"/>
        </w:rPr>
        <w:t xml:space="preserve">, “What proportion of episodes of gonorrhoea and chlamydia becomes symptomatic?,” </w:t>
      </w:r>
      <w:r w:rsidRPr="003C413E">
        <w:rPr>
          <w:rFonts w:ascii="Times New Roman" w:hAnsi="Times New Roman" w:cs="Times New Roman"/>
          <w:i/>
          <w:iCs/>
          <w:noProof/>
          <w:szCs w:val="24"/>
        </w:rPr>
        <w:t>Int. J. STD AIDS</w:t>
      </w:r>
      <w:r w:rsidRPr="003C413E">
        <w:rPr>
          <w:rFonts w:ascii="Times New Roman" w:hAnsi="Times New Roman" w:cs="Times New Roman"/>
          <w:noProof/>
          <w:szCs w:val="24"/>
        </w:rPr>
        <w:t>, vol. 13, no. 2, pp. 91–101, Jun. 2002, doi: 10.1258/0956462021924712.</w:t>
      </w:r>
    </w:p>
    <w:p w14:paraId="17F125DD" w14:textId="53E5FF59" w:rsidR="00DF677E" w:rsidRPr="003C413E" w:rsidRDefault="00DF677E" w:rsidP="001718E7">
      <w:pPr>
        <w:rPr>
          <w:rFonts w:ascii="Times New Roman" w:hAnsi="Times New Roman" w:cs="Times New Roman"/>
        </w:rPr>
      </w:pPr>
      <w:r w:rsidRPr="003C413E">
        <w:rPr>
          <w:rFonts w:ascii="Times New Roman" w:hAnsi="Times New Roman" w:cs="Times New Roman"/>
        </w:rPr>
        <w:fldChar w:fldCharType="end"/>
      </w:r>
    </w:p>
    <w:sectPr w:rsidR="00DF677E" w:rsidRPr="003C413E" w:rsidSect="002964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2D87" w14:textId="77777777" w:rsidR="0070407E" w:rsidRDefault="0070407E" w:rsidP="001718E7">
      <w:pPr>
        <w:spacing w:after="0" w:line="240" w:lineRule="auto"/>
      </w:pPr>
      <w:r>
        <w:separator/>
      </w:r>
    </w:p>
  </w:endnote>
  <w:endnote w:type="continuationSeparator" w:id="0">
    <w:p w14:paraId="411E8F2F" w14:textId="77777777" w:rsidR="0070407E" w:rsidRDefault="0070407E" w:rsidP="001718E7">
      <w:pPr>
        <w:spacing w:after="0" w:line="240" w:lineRule="auto"/>
      </w:pPr>
      <w:r>
        <w:continuationSeparator/>
      </w:r>
    </w:p>
  </w:endnote>
  <w:endnote w:type="continuationNotice" w:id="1">
    <w:p w14:paraId="4634E4CB" w14:textId="77777777" w:rsidR="0070407E" w:rsidRDefault="00704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5A1B" w14:textId="77777777" w:rsidR="004535F4" w:rsidRDefault="00453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7646" w14:textId="77777777" w:rsidR="004535F4" w:rsidRDefault="00453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CF1C" w14:textId="77777777" w:rsidR="004535F4" w:rsidRDefault="00453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F6A9" w14:textId="77777777" w:rsidR="0070407E" w:rsidRDefault="0070407E" w:rsidP="001718E7">
      <w:pPr>
        <w:spacing w:after="0" w:line="240" w:lineRule="auto"/>
      </w:pPr>
      <w:r>
        <w:separator/>
      </w:r>
    </w:p>
  </w:footnote>
  <w:footnote w:type="continuationSeparator" w:id="0">
    <w:p w14:paraId="1B9F00D2" w14:textId="77777777" w:rsidR="0070407E" w:rsidRDefault="0070407E" w:rsidP="001718E7">
      <w:pPr>
        <w:spacing w:after="0" w:line="240" w:lineRule="auto"/>
      </w:pPr>
      <w:r>
        <w:continuationSeparator/>
      </w:r>
    </w:p>
  </w:footnote>
  <w:footnote w:type="continuationNotice" w:id="1">
    <w:p w14:paraId="1BD36B5A" w14:textId="77777777" w:rsidR="0070407E" w:rsidRDefault="007040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752" w14:textId="77777777" w:rsidR="004535F4" w:rsidRDefault="00453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C9D7" w14:textId="77777777" w:rsidR="004535F4" w:rsidRDefault="00453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679D" w14:textId="77777777" w:rsidR="004535F4" w:rsidRDefault="00453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08C6"/>
    <w:multiLevelType w:val="hybridMultilevel"/>
    <w:tmpl w:val="061817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449DA"/>
    <w:multiLevelType w:val="hybridMultilevel"/>
    <w:tmpl w:val="B5D2B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2233A"/>
    <w:multiLevelType w:val="hybridMultilevel"/>
    <w:tmpl w:val="DD966C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E7"/>
    <w:rsid w:val="00001B5B"/>
    <w:rsid w:val="00003D12"/>
    <w:rsid w:val="000210E0"/>
    <w:rsid w:val="00030B6D"/>
    <w:rsid w:val="00040B46"/>
    <w:rsid w:val="00041336"/>
    <w:rsid w:val="00043538"/>
    <w:rsid w:val="00043B02"/>
    <w:rsid w:val="00045FE6"/>
    <w:rsid w:val="00054336"/>
    <w:rsid w:val="00054798"/>
    <w:rsid w:val="000576FF"/>
    <w:rsid w:val="000660BC"/>
    <w:rsid w:val="00066428"/>
    <w:rsid w:val="00067D89"/>
    <w:rsid w:val="00070A80"/>
    <w:rsid w:val="00081122"/>
    <w:rsid w:val="00091EC1"/>
    <w:rsid w:val="00092046"/>
    <w:rsid w:val="000975AE"/>
    <w:rsid w:val="000B4513"/>
    <w:rsid w:val="000B7B66"/>
    <w:rsid w:val="000C487E"/>
    <w:rsid w:val="000D0A7B"/>
    <w:rsid w:val="000D219A"/>
    <w:rsid w:val="000E4702"/>
    <w:rsid w:val="000E545D"/>
    <w:rsid w:val="000F29B6"/>
    <w:rsid w:val="0010443B"/>
    <w:rsid w:val="00107DFF"/>
    <w:rsid w:val="0011027D"/>
    <w:rsid w:val="00111C3A"/>
    <w:rsid w:val="00121B52"/>
    <w:rsid w:val="00122CB3"/>
    <w:rsid w:val="00126A7A"/>
    <w:rsid w:val="001345AA"/>
    <w:rsid w:val="00135E18"/>
    <w:rsid w:val="00146E45"/>
    <w:rsid w:val="00147F2E"/>
    <w:rsid w:val="00150820"/>
    <w:rsid w:val="0015200E"/>
    <w:rsid w:val="001569A5"/>
    <w:rsid w:val="00162285"/>
    <w:rsid w:val="00166511"/>
    <w:rsid w:val="00170890"/>
    <w:rsid w:val="001718E7"/>
    <w:rsid w:val="00171FF9"/>
    <w:rsid w:val="0018145A"/>
    <w:rsid w:val="001846B6"/>
    <w:rsid w:val="001849D1"/>
    <w:rsid w:val="00185327"/>
    <w:rsid w:val="001A51F4"/>
    <w:rsid w:val="001C6D9F"/>
    <w:rsid w:val="001D3E34"/>
    <w:rsid w:val="001E064C"/>
    <w:rsid w:val="001E58C2"/>
    <w:rsid w:val="001E67F9"/>
    <w:rsid w:val="002000A4"/>
    <w:rsid w:val="0020197C"/>
    <w:rsid w:val="00204772"/>
    <w:rsid w:val="00205982"/>
    <w:rsid w:val="002116BA"/>
    <w:rsid w:val="00211AFB"/>
    <w:rsid w:val="002141BD"/>
    <w:rsid w:val="00220CE3"/>
    <w:rsid w:val="002222A0"/>
    <w:rsid w:val="0022480D"/>
    <w:rsid w:val="0023168C"/>
    <w:rsid w:val="002334D9"/>
    <w:rsid w:val="00247E1A"/>
    <w:rsid w:val="00261C23"/>
    <w:rsid w:val="00265D0E"/>
    <w:rsid w:val="00267F4E"/>
    <w:rsid w:val="00281C70"/>
    <w:rsid w:val="0029647C"/>
    <w:rsid w:val="002A08D3"/>
    <w:rsid w:val="002A2220"/>
    <w:rsid w:val="002B1E3C"/>
    <w:rsid w:val="002B3687"/>
    <w:rsid w:val="002B5477"/>
    <w:rsid w:val="002B73CD"/>
    <w:rsid w:val="002C217F"/>
    <w:rsid w:val="002D7088"/>
    <w:rsid w:val="002E2B07"/>
    <w:rsid w:val="002E6DE4"/>
    <w:rsid w:val="002E700D"/>
    <w:rsid w:val="002F544E"/>
    <w:rsid w:val="002F6482"/>
    <w:rsid w:val="0030242A"/>
    <w:rsid w:val="0030376A"/>
    <w:rsid w:val="00303E7E"/>
    <w:rsid w:val="00307AC1"/>
    <w:rsid w:val="003256E3"/>
    <w:rsid w:val="00326756"/>
    <w:rsid w:val="003324C2"/>
    <w:rsid w:val="003661DC"/>
    <w:rsid w:val="00367F57"/>
    <w:rsid w:val="003739B6"/>
    <w:rsid w:val="0039033D"/>
    <w:rsid w:val="0039577D"/>
    <w:rsid w:val="003A1D30"/>
    <w:rsid w:val="003C413E"/>
    <w:rsid w:val="003E172B"/>
    <w:rsid w:val="004012BC"/>
    <w:rsid w:val="0040468A"/>
    <w:rsid w:val="004064DA"/>
    <w:rsid w:val="0041263A"/>
    <w:rsid w:val="004208BF"/>
    <w:rsid w:val="00444A0F"/>
    <w:rsid w:val="00446CA9"/>
    <w:rsid w:val="00450452"/>
    <w:rsid w:val="004535F4"/>
    <w:rsid w:val="004548A7"/>
    <w:rsid w:val="00476613"/>
    <w:rsid w:val="00481EAF"/>
    <w:rsid w:val="0048212D"/>
    <w:rsid w:val="00482468"/>
    <w:rsid w:val="00483469"/>
    <w:rsid w:val="00483B28"/>
    <w:rsid w:val="00491701"/>
    <w:rsid w:val="004A607D"/>
    <w:rsid w:val="004A6D2B"/>
    <w:rsid w:val="004E098B"/>
    <w:rsid w:val="004F1DC1"/>
    <w:rsid w:val="004F629C"/>
    <w:rsid w:val="004F7DAF"/>
    <w:rsid w:val="00507F3E"/>
    <w:rsid w:val="0052465D"/>
    <w:rsid w:val="0052482A"/>
    <w:rsid w:val="00525FD7"/>
    <w:rsid w:val="00536DE1"/>
    <w:rsid w:val="00542BEB"/>
    <w:rsid w:val="005530E3"/>
    <w:rsid w:val="00572750"/>
    <w:rsid w:val="005737B2"/>
    <w:rsid w:val="00580E55"/>
    <w:rsid w:val="00582779"/>
    <w:rsid w:val="005854AA"/>
    <w:rsid w:val="0059613F"/>
    <w:rsid w:val="00596CF7"/>
    <w:rsid w:val="005B0A1E"/>
    <w:rsid w:val="005B2AB1"/>
    <w:rsid w:val="005C5003"/>
    <w:rsid w:val="005C5CE8"/>
    <w:rsid w:val="005D56D9"/>
    <w:rsid w:val="005D5DC1"/>
    <w:rsid w:val="005E08D8"/>
    <w:rsid w:val="005E1233"/>
    <w:rsid w:val="0060041C"/>
    <w:rsid w:val="00613DB0"/>
    <w:rsid w:val="006167B7"/>
    <w:rsid w:val="006175AA"/>
    <w:rsid w:val="006176F5"/>
    <w:rsid w:val="00622F35"/>
    <w:rsid w:val="00624F35"/>
    <w:rsid w:val="006448C4"/>
    <w:rsid w:val="00650835"/>
    <w:rsid w:val="006517D0"/>
    <w:rsid w:val="00653871"/>
    <w:rsid w:val="00656EA0"/>
    <w:rsid w:val="00660B8D"/>
    <w:rsid w:val="0066367C"/>
    <w:rsid w:val="0066750D"/>
    <w:rsid w:val="006B6290"/>
    <w:rsid w:val="006D3605"/>
    <w:rsid w:val="00701BC0"/>
    <w:rsid w:val="0070407E"/>
    <w:rsid w:val="00717A61"/>
    <w:rsid w:val="0072154E"/>
    <w:rsid w:val="00725528"/>
    <w:rsid w:val="00733342"/>
    <w:rsid w:val="00733586"/>
    <w:rsid w:val="00736538"/>
    <w:rsid w:val="0074052E"/>
    <w:rsid w:val="00750196"/>
    <w:rsid w:val="00750771"/>
    <w:rsid w:val="00751145"/>
    <w:rsid w:val="00754D67"/>
    <w:rsid w:val="00791C54"/>
    <w:rsid w:val="00795227"/>
    <w:rsid w:val="007A3249"/>
    <w:rsid w:val="007A66E7"/>
    <w:rsid w:val="007B0CF1"/>
    <w:rsid w:val="007B69EC"/>
    <w:rsid w:val="007C2393"/>
    <w:rsid w:val="007C338B"/>
    <w:rsid w:val="007D08F2"/>
    <w:rsid w:val="007D287A"/>
    <w:rsid w:val="007D5402"/>
    <w:rsid w:val="007E2A36"/>
    <w:rsid w:val="007F6854"/>
    <w:rsid w:val="00804A40"/>
    <w:rsid w:val="008076D2"/>
    <w:rsid w:val="00810FCA"/>
    <w:rsid w:val="0081178F"/>
    <w:rsid w:val="0081725F"/>
    <w:rsid w:val="00824763"/>
    <w:rsid w:val="00827471"/>
    <w:rsid w:val="00835E28"/>
    <w:rsid w:val="00851EA8"/>
    <w:rsid w:val="00866AAD"/>
    <w:rsid w:val="00866E9F"/>
    <w:rsid w:val="00870C2A"/>
    <w:rsid w:val="00873E40"/>
    <w:rsid w:val="0088008A"/>
    <w:rsid w:val="00894EBF"/>
    <w:rsid w:val="008A0372"/>
    <w:rsid w:val="008A65AB"/>
    <w:rsid w:val="008A6A62"/>
    <w:rsid w:val="008B0F79"/>
    <w:rsid w:val="008B7D6D"/>
    <w:rsid w:val="008C20A1"/>
    <w:rsid w:val="008C23BD"/>
    <w:rsid w:val="008C30D2"/>
    <w:rsid w:val="008C3527"/>
    <w:rsid w:val="008D2973"/>
    <w:rsid w:val="008D2996"/>
    <w:rsid w:val="008E02BB"/>
    <w:rsid w:val="008F3665"/>
    <w:rsid w:val="008F634D"/>
    <w:rsid w:val="008F75F5"/>
    <w:rsid w:val="00900130"/>
    <w:rsid w:val="00902157"/>
    <w:rsid w:val="00926CCD"/>
    <w:rsid w:val="0093226C"/>
    <w:rsid w:val="00945894"/>
    <w:rsid w:val="009544B3"/>
    <w:rsid w:val="00957396"/>
    <w:rsid w:val="00963DFF"/>
    <w:rsid w:val="00964CB6"/>
    <w:rsid w:val="009652FF"/>
    <w:rsid w:val="00971F31"/>
    <w:rsid w:val="009A4EF6"/>
    <w:rsid w:val="009B0270"/>
    <w:rsid w:val="009B15F6"/>
    <w:rsid w:val="009B339E"/>
    <w:rsid w:val="009B6BF5"/>
    <w:rsid w:val="009C35CC"/>
    <w:rsid w:val="00A03C75"/>
    <w:rsid w:val="00A1269F"/>
    <w:rsid w:val="00A127EB"/>
    <w:rsid w:val="00A127F6"/>
    <w:rsid w:val="00A129AF"/>
    <w:rsid w:val="00A16E16"/>
    <w:rsid w:val="00A3332C"/>
    <w:rsid w:val="00A34951"/>
    <w:rsid w:val="00A4051C"/>
    <w:rsid w:val="00A4250D"/>
    <w:rsid w:val="00A46340"/>
    <w:rsid w:val="00A732C6"/>
    <w:rsid w:val="00A75485"/>
    <w:rsid w:val="00A83BC4"/>
    <w:rsid w:val="00A86665"/>
    <w:rsid w:val="00AA09DA"/>
    <w:rsid w:val="00AA3FCC"/>
    <w:rsid w:val="00AA5352"/>
    <w:rsid w:val="00AA67F6"/>
    <w:rsid w:val="00AC1322"/>
    <w:rsid w:val="00AC3116"/>
    <w:rsid w:val="00AC41DF"/>
    <w:rsid w:val="00AC4808"/>
    <w:rsid w:val="00AD5C09"/>
    <w:rsid w:val="00AE6844"/>
    <w:rsid w:val="00AF5984"/>
    <w:rsid w:val="00AF6B2B"/>
    <w:rsid w:val="00B01516"/>
    <w:rsid w:val="00B01CD3"/>
    <w:rsid w:val="00B05471"/>
    <w:rsid w:val="00B060A2"/>
    <w:rsid w:val="00B110FB"/>
    <w:rsid w:val="00B20F51"/>
    <w:rsid w:val="00B22E7C"/>
    <w:rsid w:val="00B27C4B"/>
    <w:rsid w:val="00B344A8"/>
    <w:rsid w:val="00B3605C"/>
    <w:rsid w:val="00B40B3B"/>
    <w:rsid w:val="00B42956"/>
    <w:rsid w:val="00B63D78"/>
    <w:rsid w:val="00B650EB"/>
    <w:rsid w:val="00B85D12"/>
    <w:rsid w:val="00B908F9"/>
    <w:rsid w:val="00B95FE8"/>
    <w:rsid w:val="00BC1664"/>
    <w:rsid w:val="00BC1D02"/>
    <w:rsid w:val="00BC25CD"/>
    <w:rsid w:val="00BD29A5"/>
    <w:rsid w:val="00BD5621"/>
    <w:rsid w:val="00BE54F3"/>
    <w:rsid w:val="00BF139B"/>
    <w:rsid w:val="00BF6B10"/>
    <w:rsid w:val="00C028C8"/>
    <w:rsid w:val="00C06042"/>
    <w:rsid w:val="00C21673"/>
    <w:rsid w:val="00C27500"/>
    <w:rsid w:val="00C318ED"/>
    <w:rsid w:val="00C361C7"/>
    <w:rsid w:val="00C37547"/>
    <w:rsid w:val="00C50F41"/>
    <w:rsid w:val="00C54023"/>
    <w:rsid w:val="00C54A43"/>
    <w:rsid w:val="00C54FDB"/>
    <w:rsid w:val="00C64124"/>
    <w:rsid w:val="00C750E4"/>
    <w:rsid w:val="00C76865"/>
    <w:rsid w:val="00C86367"/>
    <w:rsid w:val="00C866C8"/>
    <w:rsid w:val="00C9694D"/>
    <w:rsid w:val="00CA2B94"/>
    <w:rsid w:val="00CA3AE8"/>
    <w:rsid w:val="00CA3B0D"/>
    <w:rsid w:val="00CA79A1"/>
    <w:rsid w:val="00CB1831"/>
    <w:rsid w:val="00CB202A"/>
    <w:rsid w:val="00CB5350"/>
    <w:rsid w:val="00CC35B4"/>
    <w:rsid w:val="00CC7591"/>
    <w:rsid w:val="00CE2592"/>
    <w:rsid w:val="00CF0128"/>
    <w:rsid w:val="00CF33CA"/>
    <w:rsid w:val="00CF402D"/>
    <w:rsid w:val="00D11F5F"/>
    <w:rsid w:val="00D22646"/>
    <w:rsid w:val="00D30585"/>
    <w:rsid w:val="00D375FC"/>
    <w:rsid w:val="00D4499D"/>
    <w:rsid w:val="00D50978"/>
    <w:rsid w:val="00D513FA"/>
    <w:rsid w:val="00D518DC"/>
    <w:rsid w:val="00D52B95"/>
    <w:rsid w:val="00D62634"/>
    <w:rsid w:val="00D62AE3"/>
    <w:rsid w:val="00D776A8"/>
    <w:rsid w:val="00D82453"/>
    <w:rsid w:val="00D83E09"/>
    <w:rsid w:val="00D8567D"/>
    <w:rsid w:val="00D9287A"/>
    <w:rsid w:val="00D93EF5"/>
    <w:rsid w:val="00DA7D35"/>
    <w:rsid w:val="00DB469C"/>
    <w:rsid w:val="00DB6175"/>
    <w:rsid w:val="00DC393D"/>
    <w:rsid w:val="00DD609C"/>
    <w:rsid w:val="00DE2D61"/>
    <w:rsid w:val="00DF0DDD"/>
    <w:rsid w:val="00DF58DC"/>
    <w:rsid w:val="00DF677E"/>
    <w:rsid w:val="00E005BF"/>
    <w:rsid w:val="00E10292"/>
    <w:rsid w:val="00E25C48"/>
    <w:rsid w:val="00E42905"/>
    <w:rsid w:val="00E44DC6"/>
    <w:rsid w:val="00E530E5"/>
    <w:rsid w:val="00E56113"/>
    <w:rsid w:val="00E63DC2"/>
    <w:rsid w:val="00E77AB8"/>
    <w:rsid w:val="00E81789"/>
    <w:rsid w:val="00E82F8C"/>
    <w:rsid w:val="00E961C5"/>
    <w:rsid w:val="00E9667D"/>
    <w:rsid w:val="00EA06D5"/>
    <w:rsid w:val="00EA2B8B"/>
    <w:rsid w:val="00EA5E9C"/>
    <w:rsid w:val="00EB4A23"/>
    <w:rsid w:val="00EC65BB"/>
    <w:rsid w:val="00ED3516"/>
    <w:rsid w:val="00ED54BC"/>
    <w:rsid w:val="00ED761A"/>
    <w:rsid w:val="00EE13F1"/>
    <w:rsid w:val="00EE4C41"/>
    <w:rsid w:val="00EE4D10"/>
    <w:rsid w:val="00EF34F7"/>
    <w:rsid w:val="00F078A7"/>
    <w:rsid w:val="00F129FF"/>
    <w:rsid w:val="00F15ADA"/>
    <w:rsid w:val="00F1653E"/>
    <w:rsid w:val="00F22956"/>
    <w:rsid w:val="00F3102E"/>
    <w:rsid w:val="00F354EC"/>
    <w:rsid w:val="00F35BB1"/>
    <w:rsid w:val="00F40E94"/>
    <w:rsid w:val="00F505E3"/>
    <w:rsid w:val="00F533E1"/>
    <w:rsid w:val="00F552D2"/>
    <w:rsid w:val="00F7080C"/>
    <w:rsid w:val="00F70A5D"/>
    <w:rsid w:val="00F84B46"/>
    <w:rsid w:val="00F902A3"/>
    <w:rsid w:val="00F91606"/>
    <w:rsid w:val="00F934F7"/>
    <w:rsid w:val="00FA15DB"/>
    <w:rsid w:val="00FA3FA0"/>
    <w:rsid w:val="00FA60AA"/>
    <w:rsid w:val="00FB5426"/>
    <w:rsid w:val="00FB7D32"/>
    <w:rsid w:val="00FC58F9"/>
    <w:rsid w:val="00FD6D15"/>
    <w:rsid w:val="00FE2CE9"/>
    <w:rsid w:val="00FF5446"/>
    <w:rsid w:val="022B8E41"/>
    <w:rsid w:val="0660A4E9"/>
    <w:rsid w:val="07E34CED"/>
    <w:rsid w:val="13651C7E"/>
    <w:rsid w:val="15CEBB45"/>
    <w:rsid w:val="1C45E954"/>
    <w:rsid w:val="1F7623A5"/>
    <w:rsid w:val="21A84083"/>
    <w:rsid w:val="23FC12AB"/>
    <w:rsid w:val="24505D46"/>
    <w:rsid w:val="269B0026"/>
    <w:rsid w:val="27C5738E"/>
    <w:rsid w:val="2C485CD9"/>
    <w:rsid w:val="2D89CC94"/>
    <w:rsid w:val="3897625D"/>
    <w:rsid w:val="39084067"/>
    <w:rsid w:val="3CDE3BA4"/>
    <w:rsid w:val="3E93B351"/>
    <w:rsid w:val="3FF6B941"/>
    <w:rsid w:val="4A122724"/>
    <w:rsid w:val="4F111C7A"/>
    <w:rsid w:val="4F64CF9D"/>
    <w:rsid w:val="55D3AC7A"/>
    <w:rsid w:val="55F1237F"/>
    <w:rsid w:val="57E3CE31"/>
    <w:rsid w:val="5A2E7111"/>
    <w:rsid w:val="5B02E584"/>
    <w:rsid w:val="604A906F"/>
    <w:rsid w:val="606EB65A"/>
    <w:rsid w:val="6074B122"/>
    <w:rsid w:val="69FC7043"/>
    <w:rsid w:val="6BB7E2B8"/>
    <w:rsid w:val="6BC90442"/>
    <w:rsid w:val="70834D08"/>
    <w:rsid w:val="709C7565"/>
    <w:rsid w:val="7AE2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679E4"/>
  <w15:chartTrackingRefBased/>
  <w15:docId w15:val="{D39A5576-AD67-40E4-B8C9-6C71E1E3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3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1E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1E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 Caption"/>
    <w:basedOn w:val="Caption"/>
    <w:rsid w:val="00122CB3"/>
    <w:pPr>
      <w:keepNext/>
      <w:spacing w:after="120"/>
    </w:pPr>
    <w:rPr>
      <w:iCs w:val="0"/>
      <w:color w:val="auto"/>
      <w:sz w:val="24"/>
      <w:szCs w:val="24"/>
    </w:rPr>
  </w:style>
  <w:style w:type="table" w:customStyle="1" w:styleId="Table">
    <w:name w:val="Table"/>
    <w:semiHidden/>
    <w:qFormat/>
    <w:rsid w:val="00122CB3"/>
    <w:pPr>
      <w:spacing w:after="200" w:line="240" w:lineRule="auto"/>
    </w:pPr>
    <w:rPr>
      <w:sz w:val="24"/>
      <w:szCs w:val="24"/>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paragraph" w:styleId="Caption">
    <w:name w:val="caption"/>
    <w:basedOn w:val="Normal"/>
    <w:next w:val="Normal"/>
    <w:uiPriority w:val="35"/>
    <w:unhideWhenUsed/>
    <w:qFormat/>
    <w:rsid w:val="00122CB3"/>
    <w:pPr>
      <w:spacing w:after="200" w:line="240" w:lineRule="auto"/>
    </w:pPr>
    <w:rPr>
      <w:i/>
      <w:iCs/>
      <w:color w:val="44546A" w:themeColor="text2"/>
      <w:sz w:val="18"/>
      <w:szCs w:val="18"/>
    </w:rPr>
  </w:style>
  <w:style w:type="table" w:styleId="TableGrid">
    <w:name w:val="Table Grid"/>
    <w:basedOn w:val="TableNormal"/>
    <w:uiPriority w:val="39"/>
    <w:rsid w:val="00721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rsid w:val="0040468A"/>
    <w:pPr>
      <w:keepNext/>
      <w:keepLines/>
      <w:spacing w:before="60" w:after="200" w:line="240" w:lineRule="auto"/>
      <w:jc w:val="center"/>
    </w:pPr>
    <w:rPr>
      <w:sz w:val="24"/>
      <w:szCs w:val="24"/>
    </w:rPr>
  </w:style>
  <w:style w:type="paragraph" w:customStyle="1" w:styleId="FigureCaption">
    <w:name w:val="Figure Caption"/>
    <w:basedOn w:val="BodyText"/>
    <w:qFormat/>
    <w:rsid w:val="0040468A"/>
    <w:pPr>
      <w:spacing w:before="180" w:after="180" w:line="240" w:lineRule="auto"/>
    </w:pPr>
    <w:rPr>
      <w:rFonts w:ascii="Times New Roman" w:hAnsi="Times New Roman" w:cs="Times New Roman"/>
    </w:rPr>
  </w:style>
  <w:style w:type="paragraph" w:styleId="BodyText">
    <w:name w:val="Body Text"/>
    <w:basedOn w:val="Normal"/>
    <w:link w:val="BodyTextChar"/>
    <w:uiPriority w:val="99"/>
    <w:semiHidden/>
    <w:unhideWhenUsed/>
    <w:rsid w:val="0040468A"/>
    <w:pPr>
      <w:spacing w:after="120"/>
    </w:pPr>
  </w:style>
  <w:style w:type="character" w:customStyle="1" w:styleId="BodyTextChar">
    <w:name w:val="Body Text Char"/>
    <w:basedOn w:val="DefaultParagraphFont"/>
    <w:link w:val="BodyText"/>
    <w:uiPriority w:val="99"/>
    <w:semiHidden/>
    <w:rsid w:val="0040468A"/>
  </w:style>
  <w:style w:type="paragraph" w:customStyle="1" w:styleId="Compact">
    <w:name w:val="Compact"/>
    <w:basedOn w:val="BodyText"/>
    <w:qFormat/>
    <w:rsid w:val="000F29B6"/>
    <w:pPr>
      <w:keepNext/>
      <w:spacing w:before="36" w:after="36" w:line="240" w:lineRule="auto"/>
    </w:pPr>
    <w:rPr>
      <w:rFonts w:ascii="Times New Roman" w:hAnsi="Times New Roman" w:cs="Times New Roman"/>
      <w:b/>
      <w:sz w:val="18"/>
      <w:szCs w:val="18"/>
    </w:rPr>
  </w:style>
  <w:style w:type="character" w:styleId="CommentReference">
    <w:name w:val="annotation reference"/>
    <w:basedOn w:val="DefaultParagraphFont"/>
    <w:uiPriority w:val="99"/>
    <w:semiHidden/>
    <w:unhideWhenUsed/>
    <w:rsid w:val="00B01CD3"/>
    <w:rPr>
      <w:sz w:val="16"/>
      <w:szCs w:val="16"/>
    </w:rPr>
  </w:style>
  <w:style w:type="paragraph" w:styleId="CommentText">
    <w:name w:val="annotation text"/>
    <w:basedOn w:val="Normal"/>
    <w:link w:val="CommentTextChar"/>
    <w:uiPriority w:val="99"/>
    <w:semiHidden/>
    <w:unhideWhenUsed/>
    <w:rsid w:val="00B01CD3"/>
    <w:pPr>
      <w:spacing w:line="240" w:lineRule="auto"/>
    </w:pPr>
    <w:rPr>
      <w:sz w:val="20"/>
      <w:szCs w:val="20"/>
    </w:rPr>
  </w:style>
  <w:style w:type="character" w:customStyle="1" w:styleId="CommentTextChar">
    <w:name w:val="Comment Text Char"/>
    <w:basedOn w:val="DefaultParagraphFont"/>
    <w:link w:val="CommentText"/>
    <w:uiPriority w:val="99"/>
    <w:semiHidden/>
    <w:rsid w:val="00B01CD3"/>
    <w:rPr>
      <w:sz w:val="20"/>
      <w:szCs w:val="20"/>
    </w:rPr>
  </w:style>
  <w:style w:type="paragraph" w:styleId="CommentSubject">
    <w:name w:val="annotation subject"/>
    <w:basedOn w:val="CommentText"/>
    <w:next w:val="CommentText"/>
    <w:link w:val="CommentSubjectChar"/>
    <w:uiPriority w:val="99"/>
    <w:semiHidden/>
    <w:unhideWhenUsed/>
    <w:rsid w:val="00B01CD3"/>
    <w:rPr>
      <w:b/>
      <w:bCs/>
    </w:rPr>
  </w:style>
  <w:style w:type="character" w:customStyle="1" w:styleId="CommentSubjectChar">
    <w:name w:val="Comment Subject Char"/>
    <w:basedOn w:val="CommentTextChar"/>
    <w:link w:val="CommentSubject"/>
    <w:uiPriority w:val="99"/>
    <w:semiHidden/>
    <w:rsid w:val="00B01CD3"/>
    <w:rPr>
      <w:b/>
      <w:bCs/>
      <w:sz w:val="20"/>
      <w:szCs w:val="20"/>
    </w:rPr>
  </w:style>
  <w:style w:type="paragraph" w:styleId="Header">
    <w:name w:val="header"/>
    <w:basedOn w:val="Normal"/>
    <w:link w:val="HeaderChar"/>
    <w:uiPriority w:val="99"/>
    <w:unhideWhenUsed/>
    <w:rsid w:val="00054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98"/>
  </w:style>
  <w:style w:type="paragraph" w:styleId="Footer">
    <w:name w:val="footer"/>
    <w:basedOn w:val="Normal"/>
    <w:link w:val="FooterChar"/>
    <w:uiPriority w:val="99"/>
    <w:unhideWhenUsed/>
    <w:rsid w:val="00054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98"/>
  </w:style>
  <w:style w:type="paragraph" w:styleId="ListParagraph">
    <w:name w:val="List Paragraph"/>
    <w:basedOn w:val="Normal"/>
    <w:uiPriority w:val="34"/>
    <w:qFormat/>
    <w:rsid w:val="00717A61"/>
    <w:pPr>
      <w:ind w:left="720"/>
      <w:contextualSpacing/>
    </w:pPr>
  </w:style>
  <w:style w:type="character" w:customStyle="1" w:styleId="Heading1Char">
    <w:name w:val="Heading 1 Char"/>
    <w:basedOn w:val="DefaultParagraphFont"/>
    <w:link w:val="Heading1"/>
    <w:uiPriority w:val="9"/>
    <w:rsid w:val="00BF139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F139B"/>
    <w:pPr>
      <w:outlineLvl w:val="9"/>
    </w:pPr>
  </w:style>
  <w:style w:type="paragraph" w:styleId="TOC1">
    <w:name w:val="toc 1"/>
    <w:basedOn w:val="Normal"/>
    <w:next w:val="Normal"/>
    <w:autoRedefine/>
    <w:uiPriority w:val="39"/>
    <w:unhideWhenUsed/>
    <w:rsid w:val="008076D2"/>
    <w:pPr>
      <w:spacing w:after="100"/>
    </w:pPr>
  </w:style>
  <w:style w:type="character" w:styleId="Hyperlink">
    <w:name w:val="Hyperlink"/>
    <w:basedOn w:val="DefaultParagraphFont"/>
    <w:uiPriority w:val="99"/>
    <w:unhideWhenUsed/>
    <w:rsid w:val="008076D2"/>
    <w:rPr>
      <w:color w:val="0563C1" w:themeColor="hyperlink"/>
      <w:u w:val="single"/>
    </w:rPr>
  </w:style>
  <w:style w:type="character" w:customStyle="1" w:styleId="Heading2Char">
    <w:name w:val="Heading 2 Char"/>
    <w:basedOn w:val="DefaultParagraphFont"/>
    <w:link w:val="Heading2"/>
    <w:uiPriority w:val="9"/>
    <w:rsid w:val="002B1E3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B1E3C"/>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2B1E3C"/>
    <w:pPr>
      <w:spacing w:after="100"/>
      <w:ind w:left="220"/>
    </w:pPr>
  </w:style>
  <w:style w:type="paragraph" w:styleId="TOC3">
    <w:name w:val="toc 3"/>
    <w:basedOn w:val="Normal"/>
    <w:next w:val="Normal"/>
    <w:autoRedefine/>
    <w:uiPriority w:val="39"/>
    <w:unhideWhenUsed/>
    <w:rsid w:val="00E42905"/>
    <w:pPr>
      <w:tabs>
        <w:tab w:val="right" w:leader="dot" w:pos="9350"/>
      </w:tabs>
      <w:spacing w:after="100"/>
      <w:ind w:left="440"/>
    </w:pPr>
    <w:rPr>
      <w:b/>
      <w:bCs/>
      <w:noProof/>
    </w:rPr>
  </w:style>
  <w:style w:type="character" w:styleId="UnresolvedMention">
    <w:name w:val="Unresolved Mention"/>
    <w:basedOn w:val="DefaultParagraphFont"/>
    <w:uiPriority w:val="99"/>
    <w:unhideWhenUsed/>
    <w:rsid w:val="0052482A"/>
    <w:rPr>
      <w:color w:val="605E5C"/>
      <w:shd w:val="clear" w:color="auto" w:fill="E1DFDD"/>
    </w:rPr>
  </w:style>
  <w:style w:type="character" w:styleId="Mention">
    <w:name w:val="Mention"/>
    <w:basedOn w:val="DefaultParagraphFont"/>
    <w:uiPriority w:val="99"/>
    <w:unhideWhenUsed/>
    <w:rsid w:val="005248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30539">
      <w:bodyDiv w:val="1"/>
      <w:marLeft w:val="0"/>
      <w:marRight w:val="0"/>
      <w:marTop w:val="0"/>
      <w:marBottom w:val="0"/>
      <w:divBdr>
        <w:top w:val="none" w:sz="0" w:space="0" w:color="auto"/>
        <w:left w:val="none" w:sz="0" w:space="0" w:color="auto"/>
        <w:bottom w:val="none" w:sz="0" w:space="0" w:color="auto"/>
        <w:right w:val="none" w:sz="0" w:space="0" w:color="auto"/>
      </w:divBdr>
    </w:div>
    <w:div w:id="1150247545">
      <w:bodyDiv w:val="1"/>
      <w:marLeft w:val="0"/>
      <w:marRight w:val="0"/>
      <w:marTop w:val="0"/>
      <w:marBottom w:val="0"/>
      <w:divBdr>
        <w:top w:val="none" w:sz="0" w:space="0" w:color="auto"/>
        <w:left w:val="none" w:sz="0" w:space="0" w:color="auto"/>
        <w:bottom w:val="none" w:sz="0" w:space="0" w:color="auto"/>
        <w:right w:val="none" w:sz="0" w:space="0" w:color="auto"/>
      </w:divBdr>
    </w:div>
    <w:div w:id="1507865061">
      <w:bodyDiv w:val="1"/>
      <w:marLeft w:val="0"/>
      <w:marRight w:val="0"/>
      <w:marTop w:val="0"/>
      <w:marBottom w:val="0"/>
      <w:divBdr>
        <w:top w:val="none" w:sz="0" w:space="0" w:color="auto"/>
        <w:left w:val="none" w:sz="0" w:space="0" w:color="auto"/>
        <w:bottom w:val="none" w:sz="0" w:space="0" w:color="auto"/>
        <w:right w:val="none" w:sz="0" w:space="0" w:color="auto"/>
      </w:divBdr>
    </w:div>
    <w:div w:id="1660765075">
      <w:bodyDiv w:val="1"/>
      <w:marLeft w:val="0"/>
      <w:marRight w:val="0"/>
      <w:marTop w:val="0"/>
      <w:marBottom w:val="0"/>
      <w:divBdr>
        <w:top w:val="none" w:sz="0" w:space="0" w:color="auto"/>
        <w:left w:val="none" w:sz="0" w:space="0" w:color="auto"/>
        <w:bottom w:val="none" w:sz="0" w:space="0" w:color="auto"/>
        <w:right w:val="none" w:sz="0" w:space="0" w:color="auto"/>
      </w:divBdr>
    </w:div>
    <w:div w:id="1698703310">
      <w:bodyDiv w:val="1"/>
      <w:marLeft w:val="0"/>
      <w:marRight w:val="0"/>
      <w:marTop w:val="0"/>
      <w:marBottom w:val="0"/>
      <w:divBdr>
        <w:top w:val="none" w:sz="0" w:space="0" w:color="auto"/>
        <w:left w:val="none" w:sz="0" w:space="0" w:color="auto"/>
        <w:bottom w:val="none" w:sz="0" w:space="0" w:color="auto"/>
        <w:right w:val="none" w:sz="0" w:space="0" w:color="auto"/>
      </w:divBdr>
    </w:div>
    <w:div w:id="17665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02E8-A26A-41AC-A778-1D06940D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11058</Words>
  <Characters>63031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73942</CharactersWithSpaces>
  <SharedDoc>false</SharedDoc>
  <HLinks>
    <vt:vector size="204" baseType="variant">
      <vt:variant>
        <vt:i4>1507378</vt:i4>
      </vt:variant>
      <vt:variant>
        <vt:i4>194</vt:i4>
      </vt:variant>
      <vt:variant>
        <vt:i4>0</vt:i4>
      </vt:variant>
      <vt:variant>
        <vt:i4>5</vt:i4>
      </vt:variant>
      <vt:variant>
        <vt:lpwstr/>
      </vt:variant>
      <vt:variant>
        <vt:lpwstr>_Toc103147463</vt:lpwstr>
      </vt:variant>
      <vt:variant>
        <vt:i4>1507378</vt:i4>
      </vt:variant>
      <vt:variant>
        <vt:i4>188</vt:i4>
      </vt:variant>
      <vt:variant>
        <vt:i4>0</vt:i4>
      </vt:variant>
      <vt:variant>
        <vt:i4>5</vt:i4>
      </vt:variant>
      <vt:variant>
        <vt:lpwstr/>
      </vt:variant>
      <vt:variant>
        <vt:lpwstr>_Toc103147462</vt:lpwstr>
      </vt:variant>
      <vt:variant>
        <vt:i4>1507378</vt:i4>
      </vt:variant>
      <vt:variant>
        <vt:i4>182</vt:i4>
      </vt:variant>
      <vt:variant>
        <vt:i4>0</vt:i4>
      </vt:variant>
      <vt:variant>
        <vt:i4>5</vt:i4>
      </vt:variant>
      <vt:variant>
        <vt:lpwstr/>
      </vt:variant>
      <vt:variant>
        <vt:lpwstr>_Toc103147461</vt:lpwstr>
      </vt:variant>
      <vt:variant>
        <vt:i4>1507378</vt:i4>
      </vt:variant>
      <vt:variant>
        <vt:i4>176</vt:i4>
      </vt:variant>
      <vt:variant>
        <vt:i4>0</vt:i4>
      </vt:variant>
      <vt:variant>
        <vt:i4>5</vt:i4>
      </vt:variant>
      <vt:variant>
        <vt:lpwstr/>
      </vt:variant>
      <vt:variant>
        <vt:lpwstr>_Toc103147460</vt:lpwstr>
      </vt:variant>
      <vt:variant>
        <vt:i4>1310770</vt:i4>
      </vt:variant>
      <vt:variant>
        <vt:i4>170</vt:i4>
      </vt:variant>
      <vt:variant>
        <vt:i4>0</vt:i4>
      </vt:variant>
      <vt:variant>
        <vt:i4>5</vt:i4>
      </vt:variant>
      <vt:variant>
        <vt:lpwstr/>
      </vt:variant>
      <vt:variant>
        <vt:lpwstr>_Toc103147459</vt:lpwstr>
      </vt:variant>
      <vt:variant>
        <vt:i4>1310770</vt:i4>
      </vt:variant>
      <vt:variant>
        <vt:i4>164</vt:i4>
      </vt:variant>
      <vt:variant>
        <vt:i4>0</vt:i4>
      </vt:variant>
      <vt:variant>
        <vt:i4>5</vt:i4>
      </vt:variant>
      <vt:variant>
        <vt:lpwstr/>
      </vt:variant>
      <vt:variant>
        <vt:lpwstr>_Toc103147458</vt:lpwstr>
      </vt:variant>
      <vt:variant>
        <vt:i4>1310770</vt:i4>
      </vt:variant>
      <vt:variant>
        <vt:i4>158</vt:i4>
      </vt:variant>
      <vt:variant>
        <vt:i4>0</vt:i4>
      </vt:variant>
      <vt:variant>
        <vt:i4>5</vt:i4>
      </vt:variant>
      <vt:variant>
        <vt:lpwstr/>
      </vt:variant>
      <vt:variant>
        <vt:lpwstr>_Toc103147457</vt:lpwstr>
      </vt:variant>
      <vt:variant>
        <vt:i4>1310770</vt:i4>
      </vt:variant>
      <vt:variant>
        <vt:i4>152</vt:i4>
      </vt:variant>
      <vt:variant>
        <vt:i4>0</vt:i4>
      </vt:variant>
      <vt:variant>
        <vt:i4>5</vt:i4>
      </vt:variant>
      <vt:variant>
        <vt:lpwstr/>
      </vt:variant>
      <vt:variant>
        <vt:lpwstr>_Toc103147456</vt:lpwstr>
      </vt:variant>
      <vt:variant>
        <vt:i4>1310770</vt:i4>
      </vt:variant>
      <vt:variant>
        <vt:i4>146</vt:i4>
      </vt:variant>
      <vt:variant>
        <vt:i4>0</vt:i4>
      </vt:variant>
      <vt:variant>
        <vt:i4>5</vt:i4>
      </vt:variant>
      <vt:variant>
        <vt:lpwstr/>
      </vt:variant>
      <vt:variant>
        <vt:lpwstr>_Toc103147455</vt:lpwstr>
      </vt:variant>
      <vt:variant>
        <vt:i4>1310770</vt:i4>
      </vt:variant>
      <vt:variant>
        <vt:i4>140</vt:i4>
      </vt:variant>
      <vt:variant>
        <vt:i4>0</vt:i4>
      </vt:variant>
      <vt:variant>
        <vt:i4>5</vt:i4>
      </vt:variant>
      <vt:variant>
        <vt:lpwstr/>
      </vt:variant>
      <vt:variant>
        <vt:lpwstr>_Toc103147454</vt:lpwstr>
      </vt:variant>
      <vt:variant>
        <vt:i4>1310770</vt:i4>
      </vt:variant>
      <vt:variant>
        <vt:i4>134</vt:i4>
      </vt:variant>
      <vt:variant>
        <vt:i4>0</vt:i4>
      </vt:variant>
      <vt:variant>
        <vt:i4>5</vt:i4>
      </vt:variant>
      <vt:variant>
        <vt:lpwstr/>
      </vt:variant>
      <vt:variant>
        <vt:lpwstr>_Toc103147453</vt:lpwstr>
      </vt:variant>
      <vt:variant>
        <vt:i4>1310770</vt:i4>
      </vt:variant>
      <vt:variant>
        <vt:i4>128</vt:i4>
      </vt:variant>
      <vt:variant>
        <vt:i4>0</vt:i4>
      </vt:variant>
      <vt:variant>
        <vt:i4>5</vt:i4>
      </vt:variant>
      <vt:variant>
        <vt:lpwstr/>
      </vt:variant>
      <vt:variant>
        <vt:lpwstr>_Toc103147452</vt:lpwstr>
      </vt:variant>
      <vt:variant>
        <vt:i4>1310770</vt:i4>
      </vt:variant>
      <vt:variant>
        <vt:i4>122</vt:i4>
      </vt:variant>
      <vt:variant>
        <vt:i4>0</vt:i4>
      </vt:variant>
      <vt:variant>
        <vt:i4>5</vt:i4>
      </vt:variant>
      <vt:variant>
        <vt:lpwstr/>
      </vt:variant>
      <vt:variant>
        <vt:lpwstr>_Toc103147451</vt:lpwstr>
      </vt:variant>
      <vt:variant>
        <vt:i4>1310770</vt:i4>
      </vt:variant>
      <vt:variant>
        <vt:i4>116</vt:i4>
      </vt:variant>
      <vt:variant>
        <vt:i4>0</vt:i4>
      </vt:variant>
      <vt:variant>
        <vt:i4>5</vt:i4>
      </vt:variant>
      <vt:variant>
        <vt:lpwstr/>
      </vt:variant>
      <vt:variant>
        <vt:lpwstr>_Toc103147450</vt:lpwstr>
      </vt:variant>
      <vt:variant>
        <vt:i4>1376306</vt:i4>
      </vt:variant>
      <vt:variant>
        <vt:i4>110</vt:i4>
      </vt:variant>
      <vt:variant>
        <vt:i4>0</vt:i4>
      </vt:variant>
      <vt:variant>
        <vt:i4>5</vt:i4>
      </vt:variant>
      <vt:variant>
        <vt:lpwstr/>
      </vt:variant>
      <vt:variant>
        <vt:lpwstr>_Toc103147449</vt:lpwstr>
      </vt:variant>
      <vt:variant>
        <vt:i4>1376306</vt:i4>
      </vt:variant>
      <vt:variant>
        <vt:i4>104</vt:i4>
      </vt:variant>
      <vt:variant>
        <vt:i4>0</vt:i4>
      </vt:variant>
      <vt:variant>
        <vt:i4>5</vt:i4>
      </vt:variant>
      <vt:variant>
        <vt:lpwstr/>
      </vt:variant>
      <vt:variant>
        <vt:lpwstr>_Toc103147448</vt:lpwstr>
      </vt:variant>
      <vt:variant>
        <vt:i4>1376306</vt:i4>
      </vt:variant>
      <vt:variant>
        <vt:i4>98</vt:i4>
      </vt:variant>
      <vt:variant>
        <vt:i4>0</vt:i4>
      </vt:variant>
      <vt:variant>
        <vt:i4>5</vt:i4>
      </vt:variant>
      <vt:variant>
        <vt:lpwstr/>
      </vt:variant>
      <vt:variant>
        <vt:lpwstr>_Toc103147447</vt:lpwstr>
      </vt:variant>
      <vt:variant>
        <vt:i4>1376306</vt:i4>
      </vt:variant>
      <vt:variant>
        <vt:i4>92</vt:i4>
      </vt:variant>
      <vt:variant>
        <vt:i4>0</vt:i4>
      </vt:variant>
      <vt:variant>
        <vt:i4>5</vt:i4>
      </vt:variant>
      <vt:variant>
        <vt:lpwstr/>
      </vt:variant>
      <vt:variant>
        <vt:lpwstr>_Toc103147446</vt:lpwstr>
      </vt:variant>
      <vt:variant>
        <vt:i4>1376306</vt:i4>
      </vt:variant>
      <vt:variant>
        <vt:i4>86</vt:i4>
      </vt:variant>
      <vt:variant>
        <vt:i4>0</vt:i4>
      </vt:variant>
      <vt:variant>
        <vt:i4>5</vt:i4>
      </vt:variant>
      <vt:variant>
        <vt:lpwstr/>
      </vt:variant>
      <vt:variant>
        <vt:lpwstr>_Toc103147445</vt:lpwstr>
      </vt:variant>
      <vt:variant>
        <vt:i4>1376306</vt:i4>
      </vt:variant>
      <vt:variant>
        <vt:i4>80</vt:i4>
      </vt:variant>
      <vt:variant>
        <vt:i4>0</vt:i4>
      </vt:variant>
      <vt:variant>
        <vt:i4>5</vt:i4>
      </vt:variant>
      <vt:variant>
        <vt:lpwstr/>
      </vt:variant>
      <vt:variant>
        <vt:lpwstr>_Toc103147444</vt:lpwstr>
      </vt:variant>
      <vt:variant>
        <vt:i4>1376306</vt:i4>
      </vt:variant>
      <vt:variant>
        <vt:i4>74</vt:i4>
      </vt:variant>
      <vt:variant>
        <vt:i4>0</vt:i4>
      </vt:variant>
      <vt:variant>
        <vt:i4>5</vt:i4>
      </vt:variant>
      <vt:variant>
        <vt:lpwstr/>
      </vt:variant>
      <vt:variant>
        <vt:lpwstr>_Toc103147443</vt:lpwstr>
      </vt:variant>
      <vt:variant>
        <vt:i4>1376306</vt:i4>
      </vt:variant>
      <vt:variant>
        <vt:i4>68</vt:i4>
      </vt:variant>
      <vt:variant>
        <vt:i4>0</vt:i4>
      </vt:variant>
      <vt:variant>
        <vt:i4>5</vt:i4>
      </vt:variant>
      <vt:variant>
        <vt:lpwstr/>
      </vt:variant>
      <vt:variant>
        <vt:lpwstr>_Toc103147442</vt:lpwstr>
      </vt:variant>
      <vt:variant>
        <vt:i4>1376306</vt:i4>
      </vt:variant>
      <vt:variant>
        <vt:i4>62</vt:i4>
      </vt:variant>
      <vt:variant>
        <vt:i4>0</vt:i4>
      </vt:variant>
      <vt:variant>
        <vt:i4>5</vt:i4>
      </vt:variant>
      <vt:variant>
        <vt:lpwstr/>
      </vt:variant>
      <vt:variant>
        <vt:lpwstr>_Toc103147441</vt:lpwstr>
      </vt:variant>
      <vt:variant>
        <vt:i4>1376306</vt:i4>
      </vt:variant>
      <vt:variant>
        <vt:i4>56</vt:i4>
      </vt:variant>
      <vt:variant>
        <vt:i4>0</vt:i4>
      </vt:variant>
      <vt:variant>
        <vt:i4>5</vt:i4>
      </vt:variant>
      <vt:variant>
        <vt:lpwstr/>
      </vt:variant>
      <vt:variant>
        <vt:lpwstr>_Toc103147440</vt:lpwstr>
      </vt:variant>
      <vt:variant>
        <vt:i4>1179698</vt:i4>
      </vt:variant>
      <vt:variant>
        <vt:i4>50</vt:i4>
      </vt:variant>
      <vt:variant>
        <vt:i4>0</vt:i4>
      </vt:variant>
      <vt:variant>
        <vt:i4>5</vt:i4>
      </vt:variant>
      <vt:variant>
        <vt:lpwstr/>
      </vt:variant>
      <vt:variant>
        <vt:lpwstr>_Toc103147439</vt:lpwstr>
      </vt:variant>
      <vt:variant>
        <vt:i4>1179698</vt:i4>
      </vt:variant>
      <vt:variant>
        <vt:i4>44</vt:i4>
      </vt:variant>
      <vt:variant>
        <vt:i4>0</vt:i4>
      </vt:variant>
      <vt:variant>
        <vt:i4>5</vt:i4>
      </vt:variant>
      <vt:variant>
        <vt:lpwstr/>
      </vt:variant>
      <vt:variant>
        <vt:lpwstr>_Toc103147438</vt:lpwstr>
      </vt:variant>
      <vt:variant>
        <vt:i4>1179698</vt:i4>
      </vt:variant>
      <vt:variant>
        <vt:i4>38</vt:i4>
      </vt:variant>
      <vt:variant>
        <vt:i4>0</vt:i4>
      </vt:variant>
      <vt:variant>
        <vt:i4>5</vt:i4>
      </vt:variant>
      <vt:variant>
        <vt:lpwstr/>
      </vt:variant>
      <vt:variant>
        <vt:lpwstr>_Toc103147437</vt:lpwstr>
      </vt:variant>
      <vt:variant>
        <vt:i4>1179698</vt:i4>
      </vt:variant>
      <vt:variant>
        <vt:i4>32</vt:i4>
      </vt:variant>
      <vt:variant>
        <vt:i4>0</vt:i4>
      </vt:variant>
      <vt:variant>
        <vt:i4>5</vt:i4>
      </vt:variant>
      <vt:variant>
        <vt:lpwstr/>
      </vt:variant>
      <vt:variant>
        <vt:lpwstr>_Toc103147436</vt:lpwstr>
      </vt:variant>
      <vt:variant>
        <vt:i4>1179698</vt:i4>
      </vt:variant>
      <vt:variant>
        <vt:i4>26</vt:i4>
      </vt:variant>
      <vt:variant>
        <vt:i4>0</vt:i4>
      </vt:variant>
      <vt:variant>
        <vt:i4>5</vt:i4>
      </vt:variant>
      <vt:variant>
        <vt:lpwstr/>
      </vt:variant>
      <vt:variant>
        <vt:lpwstr>_Toc103147435</vt:lpwstr>
      </vt:variant>
      <vt:variant>
        <vt:i4>1179698</vt:i4>
      </vt:variant>
      <vt:variant>
        <vt:i4>20</vt:i4>
      </vt:variant>
      <vt:variant>
        <vt:i4>0</vt:i4>
      </vt:variant>
      <vt:variant>
        <vt:i4>5</vt:i4>
      </vt:variant>
      <vt:variant>
        <vt:lpwstr/>
      </vt:variant>
      <vt:variant>
        <vt:lpwstr>_Toc103147434</vt:lpwstr>
      </vt:variant>
      <vt:variant>
        <vt:i4>1179698</vt:i4>
      </vt:variant>
      <vt:variant>
        <vt:i4>14</vt:i4>
      </vt:variant>
      <vt:variant>
        <vt:i4>0</vt:i4>
      </vt:variant>
      <vt:variant>
        <vt:i4>5</vt:i4>
      </vt:variant>
      <vt:variant>
        <vt:lpwstr/>
      </vt:variant>
      <vt:variant>
        <vt:lpwstr>_Toc103147433</vt:lpwstr>
      </vt:variant>
      <vt:variant>
        <vt:i4>1179698</vt:i4>
      </vt:variant>
      <vt:variant>
        <vt:i4>8</vt:i4>
      </vt:variant>
      <vt:variant>
        <vt:i4>0</vt:i4>
      </vt:variant>
      <vt:variant>
        <vt:i4>5</vt:i4>
      </vt:variant>
      <vt:variant>
        <vt:lpwstr/>
      </vt:variant>
      <vt:variant>
        <vt:lpwstr>_Toc103147432</vt:lpwstr>
      </vt:variant>
      <vt:variant>
        <vt:i4>1179698</vt:i4>
      </vt:variant>
      <vt:variant>
        <vt:i4>2</vt:i4>
      </vt:variant>
      <vt:variant>
        <vt:i4>0</vt:i4>
      </vt:variant>
      <vt:variant>
        <vt:i4>5</vt:i4>
      </vt:variant>
      <vt:variant>
        <vt:lpwstr/>
      </vt:variant>
      <vt:variant>
        <vt:lpwstr>_Toc103147431</vt:lpwstr>
      </vt:variant>
      <vt:variant>
        <vt:i4>1704040</vt:i4>
      </vt:variant>
      <vt:variant>
        <vt:i4>0</vt:i4>
      </vt:variant>
      <vt:variant>
        <vt:i4>0</vt:i4>
      </vt:variant>
      <vt:variant>
        <vt:i4>5</vt:i4>
      </vt:variant>
      <vt:variant>
        <vt:lpwstr>mailto:ltq1@cdc.gov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Pollock, Emily (CDC/DDID/NCHHSTP/DSTDP)</dc:creator>
  <cp:keywords/>
  <dc:description/>
  <cp:lastModifiedBy>Pollock, Emily (CDC/DDID/NCHHSTP/DSTDP)</cp:lastModifiedBy>
  <cp:revision>2</cp:revision>
  <dcterms:created xsi:type="dcterms:W3CDTF">2022-10-05T20:08:00Z</dcterms:created>
  <dcterms:modified xsi:type="dcterms:W3CDTF">2022-10-05T20:08:00Z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2022-02-09T16:00:01Z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f54259d6-9bed-47d4-9b74-48638271a5c1</vt:lpwstr>
  </property>
  <property fmtid="{D5CDD505-2E9C-101B-9397-08002B2CF9AE}" pid="8" name="MSIP_Label_7b94a7b8-f06c-4dfe-bdcc-9b548fd58c31_ContentBits">
    <vt:lpwstr>0</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10th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y fmtid="{D5CDD505-2E9C-101B-9397-08002B2CF9AE}" pid="29" name="Mendeley Document_1">
    <vt:lpwstr>True</vt:lpwstr>
  </property>
  <property fmtid="{D5CDD505-2E9C-101B-9397-08002B2CF9AE}" pid="30" name="Mendeley Unique User Id_1">
    <vt:lpwstr>bd85e1a9-08ab-32cf-afa6-e83be3bab2ad</vt:lpwstr>
  </property>
  <property fmtid="{D5CDD505-2E9C-101B-9397-08002B2CF9AE}" pid="31" name="Mendeley Citation Style_1">
    <vt:lpwstr>http://www.zotero.org/styles/ieee</vt:lpwstr>
  </property>
</Properties>
</file>