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9546" w14:textId="360130E5" w:rsidR="0020573D" w:rsidRDefault="0020573D" w:rsidP="0020573D">
      <w:pPr>
        <w:spacing w:after="0" w:line="240" w:lineRule="auto"/>
        <w:jc w:val="center"/>
        <w:rPr>
          <w:b/>
          <w:bCs/>
          <w:i/>
          <w:iCs/>
        </w:rPr>
      </w:pPr>
      <w:r>
        <w:rPr>
          <w:b/>
          <w:bCs/>
        </w:rPr>
        <w:t xml:space="preserve">Supplemental Materials for </w:t>
      </w:r>
      <w:bookmarkStart w:id="0" w:name="_Hlk87968160"/>
      <w:r w:rsidRPr="0020573D">
        <w:rPr>
          <w:b/>
          <w:bCs/>
          <w:i/>
          <w:iCs/>
        </w:rPr>
        <w:t>Age-based variability in the association between restraint use and injury type and severity in multi-occupant crashes</w:t>
      </w:r>
    </w:p>
    <w:p w14:paraId="66BD9423" w14:textId="0DB2B249" w:rsidR="0020573D" w:rsidRDefault="0020573D" w:rsidP="0020573D">
      <w:pPr>
        <w:spacing w:after="0" w:line="240" w:lineRule="auto"/>
        <w:jc w:val="center"/>
        <w:rPr>
          <w:b/>
          <w:bCs/>
          <w:i/>
          <w:iCs/>
        </w:rPr>
      </w:pPr>
    </w:p>
    <w:p w14:paraId="1B6E5019" w14:textId="47C04B6A" w:rsidR="0020573D" w:rsidRDefault="0066066D" w:rsidP="0020573D">
      <w:pPr>
        <w:spacing w:after="0" w:line="240" w:lineRule="auto"/>
        <w:rPr>
          <w:b/>
          <w:bCs/>
        </w:rPr>
      </w:pPr>
      <w:r>
        <w:rPr>
          <w:b/>
          <w:bCs/>
        </w:rPr>
        <w:t>SUMMARY</w:t>
      </w:r>
    </w:p>
    <w:p w14:paraId="558C45F2" w14:textId="49BA698E" w:rsidR="0020573D" w:rsidRDefault="0020573D" w:rsidP="0020573D">
      <w:pPr>
        <w:spacing w:after="0" w:line="240" w:lineRule="auto"/>
      </w:pPr>
    </w:p>
    <w:p w14:paraId="3521F1D6" w14:textId="03C31E86" w:rsidR="0020573D" w:rsidRPr="0020573D" w:rsidRDefault="0020573D" w:rsidP="0020573D">
      <w:pPr>
        <w:spacing w:after="0" w:line="240" w:lineRule="auto"/>
      </w:pPr>
      <w:r>
        <w:t xml:space="preserve">This document contains supplemental tables and </w:t>
      </w:r>
      <w:r w:rsidR="00120F9F">
        <w:t>analyses</w:t>
      </w:r>
      <w:r>
        <w:t xml:space="preserve"> for the manuscript </w:t>
      </w:r>
      <w:r w:rsidRPr="0020573D">
        <w:rPr>
          <w:i/>
          <w:iCs/>
        </w:rPr>
        <w:t>Age-based variability in the association between restraint use and injury type and severity in multi-occupant crashes</w:t>
      </w:r>
      <w:r>
        <w:t xml:space="preserve">.  First, we provide summary statistics about </w:t>
      </w:r>
      <w:r w:rsidR="0066066D">
        <w:t xml:space="preserve">linkage </w:t>
      </w:r>
      <w:r>
        <w:t>probabilities for each data set (</w:t>
      </w:r>
      <w:r>
        <w:rPr>
          <w:b/>
          <w:bCs/>
        </w:rPr>
        <w:t>Table S1</w:t>
      </w:r>
      <w:r w:rsidRPr="0020573D">
        <w:t>)</w:t>
      </w:r>
      <w:r>
        <w:t xml:space="preserve">.  Next, we assess the potential for unmeasured confounding to </w:t>
      </w:r>
      <w:r w:rsidR="0066066D">
        <w:t xml:space="preserve">impact </w:t>
      </w:r>
      <w:r>
        <w:t xml:space="preserve">our study conclusions using the E-value of </w:t>
      </w:r>
      <w:proofErr w:type="spellStart"/>
      <w:r>
        <w:t>Vanderweele</w:t>
      </w:r>
      <w:proofErr w:type="spellEnd"/>
      <w:r>
        <w:t xml:space="preserve"> and Ding</w:t>
      </w:r>
      <w:r w:rsidRPr="0020573D">
        <w:t xml:space="preserve"> </w:t>
      </w:r>
      <w:r>
        <w:fldChar w:fldCharType="begin"/>
      </w:r>
      <w:r w:rsidR="005F1103">
        <w:instrText xml:space="preserve"> ADDIN EN.CITE &lt;EndNote&gt;&lt;Cite&gt;&lt;Author&gt;VanderWeele&lt;/Author&gt;&lt;Year&gt;2017&lt;/Year&gt;&lt;RecNum&gt;94&lt;/RecNum&gt;&lt;DisplayText&gt;[1]&lt;/DisplayText&gt;&lt;record&gt;&lt;rec-number&gt;94&lt;/rec-number&gt;&lt;foreign-keys&gt;&lt;key app="EN" db-id="s05stxtxcrdsv3e2xvzvv5v0avrssdz0x0ew" timestamp="1663184769"&gt;94&lt;/key&gt;&lt;/foreign-keys&gt;&lt;ref-type name="Journal Article"&gt;17&lt;/ref-type&gt;&lt;contributors&gt;&lt;authors&gt;&lt;author&gt;Tyler J. VanderWeele&lt;/author&gt;&lt;author&gt;Peng Ding&lt;/author&gt;&lt;/authors&gt;&lt;/contributors&gt;&lt;titles&gt;&lt;title&gt;Sensitivity Analysis in Observational Research: Introducing the E-Value&lt;/title&gt;&lt;secondary-title&gt;Annals of Internal Medicine&lt;/secondary-title&gt;&lt;/titles&gt;&lt;periodical&gt;&lt;full-title&gt;Annals of Internal Medicine&lt;/full-title&gt;&lt;/periodical&gt;&lt;pages&gt;268-274&lt;/pages&gt;&lt;volume&gt;167&lt;/volume&gt;&lt;number&gt;4&lt;/number&gt;&lt;dates&gt;&lt;year&gt;2017&lt;/year&gt;&lt;/dates&gt;&lt;urls&gt;&lt;related-urls&gt;&lt;url&gt;https://www.acpjournals.org/doi/abs/10.7326/M16-2607&lt;/url&gt;&lt;/related-urls&gt;&lt;/urls&gt;&lt;electronic-resource-num&gt;10.7326/m16-2607 %m 28693043&lt;/electronic-resource-num&gt;&lt;/record&gt;&lt;/Cite&gt;&lt;/EndNote&gt;</w:instrText>
      </w:r>
      <w:r>
        <w:fldChar w:fldCharType="separate"/>
      </w:r>
      <w:r>
        <w:rPr>
          <w:noProof/>
        </w:rPr>
        <w:t>[1]</w:t>
      </w:r>
      <w:r>
        <w:fldChar w:fldCharType="end"/>
      </w:r>
      <w:r>
        <w:t xml:space="preserve"> (</w:t>
      </w:r>
      <w:r w:rsidRPr="0020573D">
        <w:rPr>
          <w:b/>
          <w:bCs/>
        </w:rPr>
        <w:t>Table S2</w:t>
      </w:r>
      <w:r>
        <w:t>).</w:t>
      </w:r>
    </w:p>
    <w:p w14:paraId="0F703FC2" w14:textId="72476732" w:rsidR="0020573D" w:rsidRPr="0020573D" w:rsidRDefault="0020573D" w:rsidP="0020573D">
      <w:pPr>
        <w:spacing w:after="0" w:line="240" w:lineRule="auto"/>
      </w:pPr>
    </w:p>
    <w:bookmarkEnd w:id="0"/>
    <w:p w14:paraId="68E4AEE5" w14:textId="7D55A415" w:rsidR="0020573D" w:rsidRDefault="0020573D" w:rsidP="0066066D">
      <w:pPr>
        <w:rPr>
          <w:b/>
          <w:bCs/>
        </w:rPr>
      </w:pPr>
    </w:p>
    <w:p w14:paraId="5984ACDE" w14:textId="427CE76F" w:rsidR="0066066D" w:rsidRDefault="0066066D" w:rsidP="0066066D">
      <w:pPr>
        <w:rPr>
          <w:b/>
          <w:bCs/>
        </w:rPr>
      </w:pPr>
      <w:r>
        <w:rPr>
          <w:b/>
          <w:bCs/>
        </w:rPr>
        <w:t>LINKAGE PROBABILITIES</w:t>
      </w:r>
    </w:p>
    <w:p w14:paraId="4AE256D5" w14:textId="72739591" w:rsidR="0066066D" w:rsidRPr="0066066D" w:rsidRDefault="0066066D" w:rsidP="0066066D">
      <w:r>
        <w:rPr>
          <w:b/>
          <w:bCs/>
        </w:rPr>
        <w:t xml:space="preserve">Table S1 </w:t>
      </w:r>
      <w:r>
        <w:t>contains summary statistics about the linkage probabilities in the site- and outcome-specific data sets.  Kentucky and Utah exhibited similar patterns, in that the great majority (&gt;75%) of observations had linkage probabilities at or very near 1.00.  On the other hand, a greater proportion of Ohio and Maryland data had probabilities that deviated somewhat from 1.00. Most of the data consisted of high-probability links.</w:t>
      </w:r>
    </w:p>
    <w:tbl>
      <w:tblPr>
        <w:tblStyle w:val="TableGrid"/>
        <w:tblW w:w="0" w:type="auto"/>
        <w:tblLook w:val="04A0" w:firstRow="1" w:lastRow="0" w:firstColumn="1" w:lastColumn="0" w:noHBand="0" w:noVBand="1"/>
      </w:tblPr>
      <w:tblGrid>
        <w:gridCol w:w="1481"/>
        <w:gridCol w:w="964"/>
        <w:gridCol w:w="1072"/>
        <w:gridCol w:w="973"/>
        <w:gridCol w:w="964"/>
        <w:gridCol w:w="1072"/>
        <w:gridCol w:w="973"/>
        <w:gridCol w:w="964"/>
        <w:gridCol w:w="1072"/>
        <w:gridCol w:w="973"/>
        <w:gridCol w:w="964"/>
        <w:gridCol w:w="1072"/>
        <w:gridCol w:w="973"/>
      </w:tblGrid>
      <w:tr w:rsidR="001541B9" w14:paraId="0511A9E9" w14:textId="1BF14706" w:rsidTr="001541B9">
        <w:tc>
          <w:tcPr>
            <w:tcW w:w="1481" w:type="dxa"/>
            <w:vMerge w:val="restart"/>
            <w:vAlign w:val="bottom"/>
          </w:tcPr>
          <w:p w14:paraId="59576B18" w14:textId="44B6E633" w:rsidR="001541B9" w:rsidRDefault="001541B9" w:rsidP="001541B9">
            <w:r>
              <w:t>Percentile</w:t>
            </w:r>
          </w:p>
        </w:tc>
        <w:tc>
          <w:tcPr>
            <w:tcW w:w="3009" w:type="dxa"/>
            <w:gridSpan w:val="3"/>
          </w:tcPr>
          <w:p w14:paraId="00569DA7" w14:textId="196F2E7F" w:rsidR="001541B9" w:rsidRDefault="001541B9" w:rsidP="001541B9">
            <w:pPr>
              <w:jc w:val="center"/>
            </w:pPr>
            <w:r>
              <w:t>Ohio</w:t>
            </w:r>
          </w:p>
        </w:tc>
        <w:tc>
          <w:tcPr>
            <w:tcW w:w="3009" w:type="dxa"/>
            <w:gridSpan w:val="3"/>
          </w:tcPr>
          <w:p w14:paraId="5BCAC4D4" w14:textId="3C2B31A9" w:rsidR="001541B9" w:rsidRDefault="001541B9" w:rsidP="001541B9">
            <w:pPr>
              <w:jc w:val="center"/>
            </w:pPr>
            <w:r>
              <w:t>Kentucky</w:t>
            </w:r>
          </w:p>
        </w:tc>
        <w:tc>
          <w:tcPr>
            <w:tcW w:w="3009" w:type="dxa"/>
            <w:gridSpan w:val="3"/>
          </w:tcPr>
          <w:p w14:paraId="623CFCF5" w14:textId="7C65A8D5" w:rsidR="001541B9" w:rsidRDefault="001541B9" w:rsidP="001541B9">
            <w:pPr>
              <w:jc w:val="center"/>
            </w:pPr>
            <w:r>
              <w:t>Utah</w:t>
            </w:r>
          </w:p>
        </w:tc>
        <w:tc>
          <w:tcPr>
            <w:tcW w:w="3009" w:type="dxa"/>
            <w:gridSpan w:val="3"/>
          </w:tcPr>
          <w:p w14:paraId="02402953" w14:textId="334CCDC8" w:rsidR="001541B9" w:rsidRDefault="001541B9" w:rsidP="001541B9">
            <w:pPr>
              <w:jc w:val="center"/>
            </w:pPr>
            <w:r>
              <w:t>Maryland</w:t>
            </w:r>
          </w:p>
        </w:tc>
      </w:tr>
      <w:tr w:rsidR="001541B9" w14:paraId="4CF3D60E" w14:textId="65E4B3C4" w:rsidTr="0058559D">
        <w:tc>
          <w:tcPr>
            <w:tcW w:w="1481" w:type="dxa"/>
            <w:vMerge/>
          </w:tcPr>
          <w:p w14:paraId="6592ADA7" w14:textId="574D1F4E" w:rsidR="001541B9" w:rsidRDefault="001541B9" w:rsidP="0058559D"/>
        </w:tc>
        <w:tc>
          <w:tcPr>
            <w:tcW w:w="964" w:type="dxa"/>
          </w:tcPr>
          <w:p w14:paraId="11AFFD0E" w14:textId="09B450F6" w:rsidR="001541B9" w:rsidRDefault="001541B9" w:rsidP="0058559D">
            <w:r>
              <w:t>Fatal</w:t>
            </w:r>
          </w:p>
        </w:tc>
        <w:tc>
          <w:tcPr>
            <w:tcW w:w="1072" w:type="dxa"/>
          </w:tcPr>
          <w:p w14:paraId="278BB869" w14:textId="46AFCB57" w:rsidR="001541B9" w:rsidRDefault="001541B9" w:rsidP="0058559D">
            <w:r>
              <w:t>MAIS3+</w:t>
            </w:r>
          </w:p>
        </w:tc>
        <w:tc>
          <w:tcPr>
            <w:tcW w:w="973" w:type="dxa"/>
          </w:tcPr>
          <w:p w14:paraId="362E6212" w14:textId="4BB79BA7" w:rsidR="001541B9" w:rsidRDefault="001541B9" w:rsidP="0058559D">
            <w:r>
              <w:t>Torso</w:t>
            </w:r>
          </w:p>
        </w:tc>
        <w:tc>
          <w:tcPr>
            <w:tcW w:w="964" w:type="dxa"/>
          </w:tcPr>
          <w:p w14:paraId="2C7522C8" w14:textId="5D07C1AD" w:rsidR="001541B9" w:rsidRDefault="001541B9" w:rsidP="0058559D">
            <w:r>
              <w:t>Fatal</w:t>
            </w:r>
          </w:p>
        </w:tc>
        <w:tc>
          <w:tcPr>
            <w:tcW w:w="1072" w:type="dxa"/>
          </w:tcPr>
          <w:p w14:paraId="24C42F1F" w14:textId="0D9DF85F" w:rsidR="001541B9" w:rsidRDefault="001541B9" w:rsidP="0058559D">
            <w:r>
              <w:t>MAIS3+</w:t>
            </w:r>
          </w:p>
        </w:tc>
        <w:tc>
          <w:tcPr>
            <w:tcW w:w="973" w:type="dxa"/>
          </w:tcPr>
          <w:p w14:paraId="15507149" w14:textId="004E04EB" w:rsidR="001541B9" w:rsidRDefault="001541B9" w:rsidP="0058559D">
            <w:r>
              <w:t>Torso</w:t>
            </w:r>
          </w:p>
        </w:tc>
        <w:tc>
          <w:tcPr>
            <w:tcW w:w="964" w:type="dxa"/>
          </w:tcPr>
          <w:p w14:paraId="4A16B9C3" w14:textId="3ADEB9F1" w:rsidR="001541B9" w:rsidRDefault="001541B9" w:rsidP="0058559D">
            <w:r>
              <w:t>Fatal</w:t>
            </w:r>
          </w:p>
        </w:tc>
        <w:tc>
          <w:tcPr>
            <w:tcW w:w="1072" w:type="dxa"/>
          </w:tcPr>
          <w:p w14:paraId="64E1492D" w14:textId="0D902A98" w:rsidR="001541B9" w:rsidRDefault="001541B9" w:rsidP="0058559D">
            <w:r>
              <w:t>MAIS3+</w:t>
            </w:r>
          </w:p>
        </w:tc>
        <w:tc>
          <w:tcPr>
            <w:tcW w:w="973" w:type="dxa"/>
          </w:tcPr>
          <w:p w14:paraId="31C12D4C" w14:textId="6EBECD1A" w:rsidR="001541B9" w:rsidRDefault="001541B9" w:rsidP="0058559D">
            <w:r>
              <w:t>Torso</w:t>
            </w:r>
          </w:p>
        </w:tc>
        <w:tc>
          <w:tcPr>
            <w:tcW w:w="964" w:type="dxa"/>
          </w:tcPr>
          <w:p w14:paraId="5AF3904E" w14:textId="5C46EA81" w:rsidR="001541B9" w:rsidRDefault="001541B9" w:rsidP="0058559D">
            <w:r>
              <w:t>Fatal</w:t>
            </w:r>
          </w:p>
        </w:tc>
        <w:tc>
          <w:tcPr>
            <w:tcW w:w="1072" w:type="dxa"/>
          </w:tcPr>
          <w:p w14:paraId="11D16104" w14:textId="279F4ED4" w:rsidR="001541B9" w:rsidRDefault="001541B9" w:rsidP="0058559D">
            <w:r>
              <w:t>MAIS3+</w:t>
            </w:r>
          </w:p>
        </w:tc>
        <w:tc>
          <w:tcPr>
            <w:tcW w:w="973" w:type="dxa"/>
          </w:tcPr>
          <w:p w14:paraId="28837EC4" w14:textId="259FD28A" w:rsidR="001541B9" w:rsidRDefault="001541B9" w:rsidP="0058559D">
            <w:r>
              <w:t>Torso</w:t>
            </w:r>
          </w:p>
        </w:tc>
      </w:tr>
      <w:tr w:rsidR="00CF34F7" w14:paraId="27F7AA68" w14:textId="2186ED09" w:rsidTr="0058559D">
        <w:tc>
          <w:tcPr>
            <w:tcW w:w="1481" w:type="dxa"/>
          </w:tcPr>
          <w:p w14:paraId="38E509C6" w14:textId="6BD190B4" w:rsidR="00CF34F7" w:rsidRDefault="00CF34F7" w:rsidP="00CF34F7">
            <w:r>
              <w:t>100</w:t>
            </w:r>
            <w:r w:rsidRPr="0058559D">
              <w:rPr>
                <w:vertAlign w:val="superscript"/>
              </w:rPr>
              <w:t>th</w:t>
            </w:r>
            <w:r>
              <w:t xml:space="preserve"> (Max)</w:t>
            </w:r>
          </w:p>
        </w:tc>
        <w:tc>
          <w:tcPr>
            <w:tcW w:w="964" w:type="dxa"/>
          </w:tcPr>
          <w:p w14:paraId="4167A922" w14:textId="1EAED9DA" w:rsidR="00CF34F7" w:rsidRDefault="00CF34F7" w:rsidP="00CF34F7">
            <w:r>
              <w:t>1.000</w:t>
            </w:r>
          </w:p>
        </w:tc>
        <w:tc>
          <w:tcPr>
            <w:tcW w:w="1072" w:type="dxa"/>
          </w:tcPr>
          <w:p w14:paraId="40D05338" w14:textId="57FF115F" w:rsidR="00CF34F7" w:rsidRDefault="00CF34F7" w:rsidP="00CF34F7">
            <w:r>
              <w:t>1.000</w:t>
            </w:r>
          </w:p>
        </w:tc>
        <w:tc>
          <w:tcPr>
            <w:tcW w:w="973" w:type="dxa"/>
          </w:tcPr>
          <w:p w14:paraId="13156B54" w14:textId="4539D271" w:rsidR="00CF34F7" w:rsidRDefault="00CF34F7" w:rsidP="00CF34F7">
            <w:r>
              <w:t>1.000</w:t>
            </w:r>
          </w:p>
        </w:tc>
        <w:tc>
          <w:tcPr>
            <w:tcW w:w="964" w:type="dxa"/>
          </w:tcPr>
          <w:p w14:paraId="37C34324" w14:textId="61788D1A" w:rsidR="00CF34F7" w:rsidRDefault="00CF34F7" w:rsidP="00CF34F7">
            <w:r>
              <w:t>1.000</w:t>
            </w:r>
          </w:p>
        </w:tc>
        <w:tc>
          <w:tcPr>
            <w:tcW w:w="1072" w:type="dxa"/>
          </w:tcPr>
          <w:p w14:paraId="58F39CCF" w14:textId="0AB11B9D" w:rsidR="00CF34F7" w:rsidRDefault="00CF34F7" w:rsidP="00CF34F7">
            <w:r>
              <w:t>1.000</w:t>
            </w:r>
          </w:p>
        </w:tc>
        <w:tc>
          <w:tcPr>
            <w:tcW w:w="973" w:type="dxa"/>
          </w:tcPr>
          <w:p w14:paraId="14D39E26" w14:textId="3D914378" w:rsidR="00CF34F7" w:rsidRDefault="00CF34F7" w:rsidP="00CF34F7">
            <w:r>
              <w:t>1.000</w:t>
            </w:r>
          </w:p>
        </w:tc>
        <w:tc>
          <w:tcPr>
            <w:tcW w:w="964" w:type="dxa"/>
          </w:tcPr>
          <w:p w14:paraId="1566CF54" w14:textId="0A0D9450" w:rsidR="00CF34F7" w:rsidRDefault="00CF34F7" w:rsidP="00CF34F7">
            <w:r>
              <w:t>1.000</w:t>
            </w:r>
          </w:p>
        </w:tc>
        <w:tc>
          <w:tcPr>
            <w:tcW w:w="1072" w:type="dxa"/>
          </w:tcPr>
          <w:p w14:paraId="242C93D9" w14:textId="686AF1BB" w:rsidR="00CF34F7" w:rsidRDefault="00CF34F7" w:rsidP="00CF34F7">
            <w:r>
              <w:t>1.000</w:t>
            </w:r>
          </w:p>
        </w:tc>
        <w:tc>
          <w:tcPr>
            <w:tcW w:w="973" w:type="dxa"/>
          </w:tcPr>
          <w:p w14:paraId="5D30A680" w14:textId="4EEA5628" w:rsidR="00CF34F7" w:rsidRDefault="00CF34F7" w:rsidP="00CF34F7">
            <w:r>
              <w:t>1.000</w:t>
            </w:r>
          </w:p>
        </w:tc>
        <w:tc>
          <w:tcPr>
            <w:tcW w:w="964" w:type="dxa"/>
          </w:tcPr>
          <w:p w14:paraId="2E705EF5" w14:textId="24C3C1D4" w:rsidR="00CF34F7" w:rsidRDefault="00CF34F7" w:rsidP="00CF34F7">
            <w:r>
              <w:t>1.000</w:t>
            </w:r>
          </w:p>
        </w:tc>
        <w:tc>
          <w:tcPr>
            <w:tcW w:w="1072" w:type="dxa"/>
          </w:tcPr>
          <w:p w14:paraId="50402F09" w14:textId="025CC8D8" w:rsidR="00CF34F7" w:rsidRDefault="00CF34F7" w:rsidP="00CF34F7">
            <w:r>
              <w:t>1.000</w:t>
            </w:r>
          </w:p>
        </w:tc>
        <w:tc>
          <w:tcPr>
            <w:tcW w:w="973" w:type="dxa"/>
          </w:tcPr>
          <w:p w14:paraId="49595206" w14:textId="34986594" w:rsidR="00CF34F7" w:rsidRDefault="00CF34F7" w:rsidP="00CF34F7">
            <w:r>
              <w:t>1.000</w:t>
            </w:r>
          </w:p>
        </w:tc>
      </w:tr>
      <w:tr w:rsidR="00CF34F7" w14:paraId="2E944525" w14:textId="2E4F097A" w:rsidTr="0058559D">
        <w:tc>
          <w:tcPr>
            <w:tcW w:w="1481" w:type="dxa"/>
          </w:tcPr>
          <w:p w14:paraId="40306324" w14:textId="00CDF4E0" w:rsidR="00CF34F7" w:rsidRDefault="00CF34F7" w:rsidP="00CF34F7">
            <w:r>
              <w:t>75</w:t>
            </w:r>
            <w:r w:rsidRPr="0058559D">
              <w:rPr>
                <w:vertAlign w:val="superscript"/>
              </w:rPr>
              <w:t>th</w:t>
            </w:r>
            <w:r>
              <w:t xml:space="preserve"> </w:t>
            </w:r>
          </w:p>
        </w:tc>
        <w:tc>
          <w:tcPr>
            <w:tcW w:w="964" w:type="dxa"/>
          </w:tcPr>
          <w:p w14:paraId="6351239B" w14:textId="0B1423D2" w:rsidR="00CF34F7" w:rsidRDefault="00CF34F7" w:rsidP="00CF34F7">
            <w:r>
              <w:t>0.999</w:t>
            </w:r>
          </w:p>
        </w:tc>
        <w:tc>
          <w:tcPr>
            <w:tcW w:w="1072" w:type="dxa"/>
          </w:tcPr>
          <w:p w14:paraId="3ACFEA9E" w14:textId="70A420F1" w:rsidR="00CF34F7" w:rsidRDefault="00CF34F7" w:rsidP="00CF34F7">
            <w:r>
              <w:t>0.999</w:t>
            </w:r>
          </w:p>
        </w:tc>
        <w:tc>
          <w:tcPr>
            <w:tcW w:w="973" w:type="dxa"/>
          </w:tcPr>
          <w:p w14:paraId="55688C29" w14:textId="081A2D8F" w:rsidR="00CF34F7" w:rsidRDefault="00CF34F7" w:rsidP="00CF34F7">
            <w:r>
              <w:t>0.999</w:t>
            </w:r>
          </w:p>
        </w:tc>
        <w:tc>
          <w:tcPr>
            <w:tcW w:w="964" w:type="dxa"/>
          </w:tcPr>
          <w:p w14:paraId="26D5D5CA" w14:textId="35DE5C7F" w:rsidR="00CF34F7" w:rsidRDefault="00CF34F7" w:rsidP="00CF34F7">
            <w:r>
              <w:t>1.000</w:t>
            </w:r>
          </w:p>
        </w:tc>
        <w:tc>
          <w:tcPr>
            <w:tcW w:w="1072" w:type="dxa"/>
          </w:tcPr>
          <w:p w14:paraId="74777880" w14:textId="477D1161" w:rsidR="00CF34F7" w:rsidRDefault="00CF34F7" w:rsidP="00CF34F7">
            <w:r>
              <w:t>1.000</w:t>
            </w:r>
          </w:p>
        </w:tc>
        <w:tc>
          <w:tcPr>
            <w:tcW w:w="973" w:type="dxa"/>
          </w:tcPr>
          <w:p w14:paraId="2656C9B4" w14:textId="08D6264B" w:rsidR="00CF34F7" w:rsidRDefault="00CF34F7" w:rsidP="00CF34F7">
            <w:r>
              <w:t>1.000</w:t>
            </w:r>
          </w:p>
        </w:tc>
        <w:tc>
          <w:tcPr>
            <w:tcW w:w="964" w:type="dxa"/>
          </w:tcPr>
          <w:p w14:paraId="6A84B3F6" w14:textId="3E871A8A" w:rsidR="00CF34F7" w:rsidRDefault="00CF34F7" w:rsidP="00CF34F7">
            <w:r>
              <w:t>1.000</w:t>
            </w:r>
          </w:p>
        </w:tc>
        <w:tc>
          <w:tcPr>
            <w:tcW w:w="1072" w:type="dxa"/>
          </w:tcPr>
          <w:p w14:paraId="7FF8DFB2" w14:textId="69C87011" w:rsidR="00CF34F7" w:rsidRDefault="00CF34F7" w:rsidP="00CF34F7">
            <w:r>
              <w:t>1.000</w:t>
            </w:r>
          </w:p>
        </w:tc>
        <w:tc>
          <w:tcPr>
            <w:tcW w:w="973" w:type="dxa"/>
          </w:tcPr>
          <w:p w14:paraId="09AAAF1F" w14:textId="0EF80C42" w:rsidR="00CF34F7" w:rsidRDefault="00CF34F7" w:rsidP="00CF34F7">
            <w:r>
              <w:t>1.000</w:t>
            </w:r>
          </w:p>
        </w:tc>
        <w:tc>
          <w:tcPr>
            <w:tcW w:w="964" w:type="dxa"/>
          </w:tcPr>
          <w:p w14:paraId="740CEAB0" w14:textId="5ADAC8C8" w:rsidR="00CF34F7" w:rsidRDefault="00CF34F7" w:rsidP="00CF34F7">
            <w:r>
              <w:t>1.000</w:t>
            </w:r>
          </w:p>
        </w:tc>
        <w:tc>
          <w:tcPr>
            <w:tcW w:w="1072" w:type="dxa"/>
          </w:tcPr>
          <w:p w14:paraId="292B4A64" w14:textId="3C91B347" w:rsidR="00CF34F7" w:rsidRDefault="00CF34F7" w:rsidP="00CF34F7">
            <w:r>
              <w:t>1.000</w:t>
            </w:r>
          </w:p>
        </w:tc>
        <w:tc>
          <w:tcPr>
            <w:tcW w:w="973" w:type="dxa"/>
          </w:tcPr>
          <w:p w14:paraId="7CD1AA3A" w14:textId="557DBE00" w:rsidR="00CF34F7" w:rsidRDefault="00CF34F7" w:rsidP="00CF34F7">
            <w:r>
              <w:t>1.000</w:t>
            </w:r>
          </w:p>
        </w:tc>
      </w:tr>
      <w:tr w:rsidR="00CF34F7" w14:paraId="2A28C0C6" w14:textId="4B61F5F9" w:rsidTr="0058559D">
        <w:tc>
          <w:tcPr>
            <w:tcW w:w="1481" w:type="dxa"/>
          </w:tcPr>
          <w:p w14:paraId="20E897C1" w14:textId="72D30A66" w:rsidR="00CF34F7" w:rsidRDefault="00CF34F7" w:rsidP="00CF34F7">
            <w:r>
              <w:t>50</w:t>
            </w:r>
            <w:r w:rsidRPr="0058559D">
              <w:rPr>
                <w:vertAlign w:val="superscript"/>
              </w:rPr>
              <w:t>th</w:t>
            </w:r>
            <w:r>
              <w:t xml:space="preserve"> </w:t>
            </w:r>
          </w:p>
        </w:tc>
        <w:tc>
          <w:tcPr>
            <w:tcW w:w="964" w:type="dxa"/>
          </w:tcPr>
          <w:p w14:paraId="092D62CE" w14:textId="717ABA97" w:rsidR="00CF34F7" w:rsidRDefault="00CF34F7" w:rsidP="00CF34F7">
            <w:r>
              <w:t>0.998</w:t>
            </w:r>
          </w:p>
        </w:tc>
        <w:tc>
          <w:tcPr>
            <w:tcW w:w="1072" w:type="dxa"/>
          </w:tcPr>
          <w:p w14:paraId="2D341B74" w14:textId="40E2BAF5" w:rsidR="00CF34F7" w:rsidRDefault="00CF34F7" w:rsidP="00CF34F7">
            <w:r>
              <w:t>0.998</w:t>
            </w:r>
          </w:p>
        </w:tc>
        <w:tc>
          <w:tcPr>
            <w:tcW w:w="973" w:type="dxa"/>
          </w:tcPr>
          <w:p w14:paraId="430E07D5" w14:textId="7B0ED830" w:rsidR="00CF34F7" w:rsidRDefault="00CF34F7" w:rsidP="00CF34F7">
            <w:r>
              <w:t>0.998</w:t>
            </w:r>
          </w:p>
        </w:tc>
        <w:tc>
          <w:tcPr>
            <w:tcW w:w="964" w:type="dxa"/>
          </w:tcPr>
          <w:p w14:paraId="0C4F564A" w14:textId="3A3AF77D" w:rsidR="00CF34F7" w:rsidRDefault="00CF34F7" w:rsidP="00CF34F7">
            <w:r>
              <w:t>1.000</w:t>
            </w:r>
          </w:p>
        </w:tc>
        <w:tc>
          <w:tcPr>
            <w:tcW w:w="1072" w:type="dxa"/>
          </w:tcPr>
          <w:p w14:paraId="5AAE1B8A" w14:textId="24108AAF" w:rsidR="00CF34F7" w:rsidRDefault="00CF34F7" w:rsidP="00CF34F7">
            <w:r>
              <w:t>1.000</w:t>
            </w:r>
          </w:p>
        </w:tc>
        <w:tc>
          <w:tcPr>
            <w:tcW w:w="973" w:type="dxa"/>
          </w:tcPr>
          <w:p w14:paraId="646361FC" w14:textId="530F4F14" w:rsidR="00CF34F7" w:rsidRDefault="00CF34F7" w:rsidP="00CF34F7">
            <w:r>
              <w:t>0.999</w:t>
            </w:r>
          </w:p>
        </w:tc>
        <w:tc>
          <w:tcPr>
            <w:tcW w:w="964" w:type="dxa"/>
          </w:tcPr>
          <w:p w14:paraId="53B2ED1E" w14:textId="05180766" w:rsidR="00CF34F7" w:rsidRDefault="00CF34F7" w:rsidP="00CF34F7">
            <w:r>
              <w:t>1.000</w:t>
            </w:r>
          </w:p>
        </w:tc>
        <w:tc>
          <w:tcPr>
            <w:tcW w:w="1072" w:type="dxa"/>
          </w:tcPr>
          <w:p w14:paraId="123F794F" w14:textId="498033E9" w:rsidR="00CF34F7" w:rsidRDefault="00CF34F7" w:rsidP="00CF34F7">
            <w:r>
              <w:t>1.000</w:t>
            </w:r>
          </w:p>
        </w:tc>
        <w:tc>
          <w:tcPr>
            <w:tcW w:w="973" w:type="dxa"/>
          </w:tcPr>
          <w:p w14:paraId="281D8446" w14:textId="5CFAFDA4" w:rsidR="00CF34F7" w:rsidRDefault="00CF34F7" w:rsidP="00CF34F7">
            <w:r>
              <w:t>1.000</w:t>
            </w:r>
          </w:p>
        </w:tc>
        <w:tc>
          <w:tcPr>
            <w:tcW w:w="964" w:type="dxa"/>
          </w:tcPr>
          <w:p w14:paraId="0F682A3B" w14:textId="32C4CA9A" w:rsidR="00CF34F7" w:rsidRDefault="00CF34F7" w:rsidP="00CF34F7">
            <w:r>
              <w:t>0.992</w:t>
            </w:r>
          </w:p>
        </w:tc>
        <w:tc>
          <w:tcPr>
            <w:tcW w:w="1072" w:type="dxa"/>
          </w:tcPr>
          <w:p w14:paraId="082626BB" w14:textId="56AB8394" w:rsidR="00CF34F7" w:rsidRDefault="00CF34F7" w:rsidP="00CF34F7">
            <w:r>
              <w:t>0.993</w:t>
            </w:r>
          </w:p>
        </w:tc>
        <w:tc>
          <w:tcPr>
            <w:tcW w:w="973" w:type="dxa"/>
          </w:tcPr>
          <w:p w14:paraId="3AA87C2C" w14:textId="13127D3B" w:rsidR="00CF34F7" w:rsidRDefault="00CF34F7" w:rsidP="00CF34F7">
            <w:r>
              <w:t>0.991</w:t>
            </w:r>
          </w:p>
        </w:tc>
      </w:tr>
      <w:tr w:rsidR="00CF34F7" w14:paraId="35F01C6E" w14:textId="473457B7" w:rsidTr="0058559D">
        <w:tc>
          <w:tcPr>
            <w:tcW w:w="1481" w:type="dxa"/>
          </w:tcPr>
          <w:p w14:paraId="601DABB2" w14:textId="35C5430B" w:rsidR="00CF34F7" w:rsidRDefault="00CF34F7" w:rsidP="00CF34F7">
            <w:r>
              <w:t>25</w:t>
            </w:r>
            <w:r w:rsidRPr="0058559D">
              <w:rPr>
                <w:vertAlign w:val="superscript"/>
              </w:rPr>
              <w:t>th</w:t>
            </w:r>
            <w:r>
              <w:t xml:space="preserve"> </w:t>
            </w:r>
          </w:p>
        </w:tc>
        <w:tc>
          <w:tcPr>
            <w:tcW w:w="964" w:type="dxa"/>
          </w:tcPr>
          <w:p w14:paraId="78782D44" w14:textId="01B899E8" w:rsidR="00CF34F7" w:rsidRDefault="00CF34F7" w:rsidP="00CF34F7">
            <w:r>
              <w:t>0.920</w:t>
            </w:r>
          </w:p>
        </w:tc>
        <w:tc>
          <w:tcPr>
            <w:tcW w:w="1072" w:type="dxa"/>
          </w:tcPr>
          <w:p w14:paraId="356D7287" w14:textId="47B95FBE" w:rsidR="00CF34F7" w:rsidRDefault="00CF34F7" w:rsidP="00CF34F7">
            <w:r>
              <w:t>0.923</w:t>
            </w:r>
          </w:p>
        </w:tc>
        <w:tc>
          <w:tcPr>
            <w:tcW w:w="973" w:type="dxa"/>
          </w:tcPr>
          <w:p w14:paraId="42CF8361" w14:textId="5ABABE42" w:rsidR="00CF34F7" w:rsidRDefault="00CF34F7" w:rsidP="00CF34F7">
            <w:r>
              <w:t>0.971</w:t>
            </w:r>
          </w:p>
        </w:tc>
        <w:tc>
          <w:tcPr>
            <w:tcW w:w="964" w:type="dxa"/>
          </w:tcPr>
          <w:p w14:paraId="2DEFEE04" w14:textId="511DC1C7" w:rsidR="00CF34F7" w:rsidRDefault="00CF34F7" w:rsidP="00CF34F7">
            <w:r>
              <w:t>0.997</w:t>
            </w:r>
          </w:p>
        </w:tc>
        <w:tc>
          <w:tcPr>
            <w:tcW w:w="1072" w:type="dxa"/>
          </w:tcPr>
          <w:p w14:paraId="688AD7C2" w14:textId="29A52A40" w:rsidR="00CF34F7" w:rsidRDefault="00CF34F7" w:rsidP="00CF34F7">
            <w:r>
              <w:t>0.997</w:t>
            </w:r>
          </w:p>
        </w:tc>
        <w:tc>
          <w:tcPr>
            <w:tcW w:w="973" w:type="dxa"/>
          </w:tcPr>
          <w:p w14:paraId="3184122E" w14:textId="6F270365" w:rsidR="00CF34F7" w:rsidRDefault="00CF34F7" w:rsidP="00CF34F7">
            <w:r>
              <w:t>0.994</w:t>
            </w:r>
          </w:p>
        </w:tc>
        <w:tc>
          <w:tcPr>
            <w:tcW w:w="964" w:type="dxa"/>
          </w:tcPr>
          <w:p w14:paraId="32BA4D59" w14:textId="04525EF7" w:rsidR="00CF34F7" w:rsidRDefault="00CF34F7" w:rsidP="00CF34F7">
            <w:r>
              <w:t>1.000</w:t>
            </w:r>
          </w:p>
        </w:tc>
        <w:tc>
          <w:tcPr>
            <w:tcW w:w="1072" w:type="dxa"/>
          </w:tcPr>
          <w:p w14:paraId="3036129E" w14:textId="56545586" w:rsidR="00CF34F7" w:rsidRDefault="00CF34F7" w:rsidP="00CF34F7">
            <w:r>
              <w:t>1.000</w:t>
            </w:r>
          </w:p>
        </w:tc>
        <w:tc>
          <w:tcPr>
            <w:tcW w:w="973" w:type="dxa"/>
          </w:tcPr>
          <w:p w14:paraId="25751596" w14:textId="23E1693A" w:rsidR="00CF34F7" w:rsidRDefault="00CF34F7" w:rsidP="00CF34F7">
            <w:r>
              <w:t>1.000</w:t>
            </w:r>
          </w:p>
        </w:tc>
        <w:tc>
          <w:tcPr>
            <w:tcW w:w="964" w:type="dxa"/>
          </w:tcPr>
          <w:p w14:paraId="17C9DB55" w14:textId="59F416F9" w:rsidR="00CF34F7" w:rsidRDefault="00CF34F7" w:rsidP="00CF34F7">
            <w:r>
              <w:t>0.857</w:t>
            </w:r>
          </w:p>
        </w:tc>
        <w:tc>
          <w:tcPr>
            <w:tcW w:w="1072" w:type="dxa"/>
          </w:tcPr>
          <w:p w14:paraId="3E15EA50" w14:textId="0F4D7109" w:rsidR="00CF34F7" w:rsidRDefault="00CF34F7" w:rsidP="00CF34F7">
            <w:r>
              <w:t>0.849</w:t>
            </w:r>
          </w:p>
        </w:tc>
        <w:tc>
          <w:tcPr>
            <w:tcW w:w="973" w:type="dxa"/>
          </w:tcPr>
          <w:p w14:paraId="69CAC8F1" w14:textId="32E82BDB" w:rsidR="00CF34F7" w:rsidRDefault="00CF34F7" w:rsidP="00CF34F7">
            <w:r>
              <w:t>0.824</w:t>
            </w:r>
          </w:p>
        </w:tc>
      </w:tr>
      <w:tr w:rsidR="00CF34F7" w14:paraId="30DFE2F9" w14:textId="3EFE4A89" w:rsidTr="0058559D">
        <w:tc>
          <w:tcPr>
            <w:tcW w:w="1481" w:type="dxa"/>
          </w:tcPr>
          <w:p w14:paraId="4C00BF7B" w14:textId="28ABE3F1" w:rsidR="00CF34F7" w:rsidRDefault="00CF34F7" w:rsidP="00CF34F7">
            <w:r>
              <w:t>0 (Min)</w:t>
            </w:r>
          </w:p>
        </w:tc>
        <w:tc>
          <w:tcPr>
            <w:tcW w:w="964" w:type="dxa"/>
          </w:tcPr>
          <w:p w14:paraId="577F658D" w14:textId="167D8E80" w:rsidR="00CF34F7" w:rsidRDefault="00CF34F7" w:rsidP="00CF34F7">
            <w:r>
              <w:t>0.003</w:t>
            </w:r>
          </w:p>
        </w:tc>
        <w:tc>
          <w:tcPr>
            <w:tcW w:w="1072" w:type="dxa"/>
          </w:tcPr>
          <w:p w14:paraId="4D67B7E6" w14:textId="6F189F43" w:rsidR="00CF34F7" w:rsidRDefault="00CF34F7" w:rsidP="00CF34F7">
            <w:r>
              <w:t>0.003</w:t>
            </w:r>
          </w:p>
        </w:tc>
        <w:tc>
          <w:tcPr>
            <w:tcW w:w="973" w:type="dxa"/>
          </w:tcPr>
          <w:p w14:paraId="1F06DF0E" w14:textId="2E5EFE74" w:rsidR="00CF34F7" w:rsidRDefault="00CF34F7" w:rsidP="00CF34F7">
            <w:r>
              <w:t>0.002</w:t>
            </w:r>
          </w:p>
        </w:tc>
        <w:tc>
          <w:tcPr>
            <w:tcW w:w="964" w:type="dxa"/>
          </w:tcPr>
          <w:p w14:paraId="65A7D029" w14:textId="47B22506" w:rsidR="00CF34F7" w:rsidRDefault="00CF34F7" w:rsidP="00CF34F7">
            <w:r>
              <w:t>0.029</w:t>
            </w:r>
          </w:p>
        </w:tc>
        <w:tc>
          <w:tcPr>
            <w:tcW w:w="1072" w:type="dxa"/>
          </w:tcPr>
          <w:p w14:paraId="71E997F2" w14:textId="716FCF32" w:rsidR="00CF34F7" w:rsidRDefault="00CF34F7" w:rsidP="00CF34F7">
            <w:r>
              <w:t>0.012</w:t>
            </w:r>
          </w:p>
        </w:tc>
        <w:tc>
          <w:tcPr>
            <w:tcW w:w="973" w:type="dxa"/>
          </w:tcPr>
          <w:p w14:paraId="29772410" w14:textId="68684B75" w:rsidR="00CF34F7" w:rsidRDefault="00CF34F7" w:rsidP="00CF34F7">
            <w:r>
              <w:t>0.004</w:t>
            </w:r>
          </w:p>
        </w:tc>
        <w:tc>
          <w:tcPr>
            <w:tcW w:w="964" w:type="dxa"/>
          </w:tcPr>
          <w:p w14:paraId="5AAF4B1C" w14:textId="164A0A1A" w:rsidR="00CF34F7" w:rsidRDefault="00CF34F7" w:rsidP="00CF34F7">
            <w:r>
              <w:t>0.067</w:t>
            </w:r>
          </w:p>
        </w:tc>
        <w:tc>
          <w:tcPr>
            <w:tcW w:w="1072" w:type="dxa"/>
          </w:tcPr>
          <w:p w14:paraId="11E14E16" w14:textId="42F7EBF3" w:rsidR="00CF34F7" w:rsidRDefault="00CF34F7" w:rsidP="00CF34F7">
            <w:r>
              <w:t>0.039</w:t>
            </w:r>
          </w:p>
        </w:tc>
        <w:tc>
          <w:tcPr>
            <w:tcW w:w="973" w:type="dxa"/>
          </w:tcPr>
          <w:p w14:paraId="0B7D5E76" w14:textId="2A26E92D" w:rsidR="00CF34F7" w:rsidRDefault="00CF34F7" w:rsidP="00CF34F7">
            <w:r>
              <w:t>0.041</w:t>
            </w:r>
          </w:p>
        </w:tc>
        <w:tc>
          <w:tcPr>
            <w:tcW w:w="964" w:type="dxa"/>
          </w:tcPr>
          <w:p w14:paraId="639D9EBF" w14:textId="4B5888AC" w:rsidR="00CF34F7" w:rsidRDefault="00CF34F7" w:rsidP="00CF34F7">
            <w:r>
              <w:t>0.001</w:t>
            </w:r>
          </w:p>
        </w:tc>
        <w:tc>
          <w:tcPr>
            <w:tcW w:w="1072" w:type="dxa"/>
          </w:tcPr>
          <w:p w14:paraId="3C7E34EC" w14:textId="4C11EB92" w:rsidR="00CF34F7" w:rsidRDefault="00CF34F7" w:rsidP="00CF34F7">
            <w:r>
              <w:t>0.001</w:t>
            </w:r>
          </w:p>
        </w:tc>
        <w:tc>
          <w:tcPr>
            <w:tcW w:w="973" w:type="dxa"/>
          </w:tcPr>
          <w:p w14:paraId="50C122B1" w14:textId="28E09EE9" w:rsidR="00CF34F7" w:rsidRDefault="00CF34F7" w:rsidP="00CF34F7">
            <w:r>
              <w:t>0.001</w:t>
            </w:r>
          </w:p>
        </w:tc>
      </w:tr>
    </w:tbl>
    <w:p w14:paraId="197BFC5C" w14:textId="7B3D37A7" w:rsidR="007940A0" w:rsidRDefault="00CF34F7">
      <w:r>
        <w:rPr>
          <w:b/>
          <w:bCs/>
        </w:rPr>
        <w:t xml:space="preserve">Table S1: </w:t>
      </w:r>
      <w:r>
        <w:t xml:space="preserve">Summary statistics (minimum, maximum, median, and first and third quartiles) of </w:t>
      </w:r>
      <w:r w:rsidR="0066066D">
        <w:t xml:space="preserve">linkage </w:t>
      </w:r>
      <w:r>
        <w:t xml:space="preserve">probabilities for each data set used in the study. </w:t>
      </w:r>
    </w:p>
    <w:p w14:paraId="5F77D966" w14:textId="77777777" w:rsidR="0020573D" w:rsidRDefault="0020573D">
      <w:pPr>
        <w:sectPr w:rsidR="0020573D" w:rsidSect="0058559D">
          <w:pgSz w:w="15840" w:h="12240" w:orient="landscape"/>
          <w:pgMar w:top="1440" w:right="1080" w:bottom="1440" w:left="1080" w:header="720" w:footer="720" w:gutter="0"/>
          <w:cols w:space="720"/>
          <w:docGrid w:linePitch="360"/>
        </w:sectPr>
      </w:pPr>
    </w:p>
    <w:p w14:paraId="1AB011D8" w14:textId="11D11C6E" w:rsidR="00A24B30" w:rsidRDefault="0066066D">
      <w:pPr>
        <w:rPr>
          <w:b/>
          <w:bCs/>
        </w:rPr>
      </w:pPr>
      <w:r>
        <w:rPr>
          <w:b/>
          <w:bCs/>
        </w:rPr>
        <w:lastRenderedPageBreak/>
        <w:t>ASSESSING UNMEASURED CONFOUNDING:</w:t>
      </w:r>
    </w:p>
    <w:p w14:paraId="3D1A9F99" w14:textId="450874CD" w:rsidR="0066066D" w:rsidRPr="0066066D" w:rsidRDefault="0066066D" w:rsidP="0066066D">
      <w:pPr>
        <w:spacing w:after="0" w:line="240" w:lineRule="auto"/>
        <w:rPr>
          <w:color w:val="000033"/>
          <w:shd w:val="clear" w:color="auto" w:fill="FFFFFF"/>
        </w:rPr>
      </w:pPr>
      <w:r>
        <w:rPr>
          <w:color w:val="000033"/>
          <w:shd w:val="clear" w:color="auto" w:fill="FFFFFF"/>
        </w:rPr>
        <w:t xml:space="preserve">This section contains information about potential unmeasured confounding and how failure to control for unmeasured variables could have impacted our study conclusions.  An example of such of variable is seating position relative to impact location, which we could not include in our model due to pertinent information not existing in the CODES data. </w:t>
      </w:r>
      <w:r w:rsidRPr="0066066D">
        <w:rPr>
          <w:color w:val="000033"/>
          <w:shd w:val="clear" w:color="auto" w:fill="FFFFFF"/>
        </w:rPr>
        <w:t xml:space="preserve">For seating position relative to impact location to confound the association between belt use and injury, it would have to be associated with both injury and seat belt use, after controlling for all matching and regression variables. </w:t>
      </w:r>
      <w:r w:rsidR="005F1103">
        <w:rPr>
          <w:color w:val="000033"/>
          <w:shd w:val="clear" w:color="auto" w:fill="FFFFFF"/>
        </w:rPr>
        <w:t xml:space="preserve">More rigorous definitions of confounding, especially how it pertains to causal relationships between the variables, is available </w:t>
      </w:r>
      <w:r w:rsidR="00896715">
        <w:rPr>
          <w:color w:val="000033"/>
          <w:shd w:val="clear" w:color="auto" w:fill="FFFFFF"/>
        </w:rPr>
        <w:t>in</w:t>
      </w:r>
      <w:r w:rsidR="005F1103">
        <w:t xml:space="preserve"> Greenland and Morgenstern (2001) </w:t>
      </w:r>
      <w:r w:rsidR="005F1103">
        <w:rPr>
          <w:color w:val="000033"/>
          <w:shd w:val="clear" w:color="auto" w:fill="FFFFFF"/>
        </w:rPr>
        <w:fldChar w:fldCharType="begin"/>
      </w:r>
      <w:r w:rsidR="005F1103">
        <w:rPr>
          <w:color w:val="000033"/>
          <w:shd w:val="clear" w:color="auto" w:fill="FFFFFF"/>
        </w:rPr>
        <w:instrText xml:space="preserve"> ADDIN EN.CITE &lt;EndNote&gt;&lt;Cite&gt;&lt;Author&gt;Greenland&lt;/Author&gt;&lt;Year&gt;2001&lt;/Year&gt;&lt;RecNum&gt;109&lt;/RecNum&gt;&lt;DisplayText&gt;[2]&lt;/DisplayText&gt;&lt;record&gt;&lt;rec-number&gt;109&lt;/rec-number&gt;&lt;foreign-keys&gt;&lt;key app="EN" db-id="s05stxtxcrdsv3e2xvzvv5v0avrssdz0x0ew" timestamp="1663270838"&gt;109&lt;/key&gt;&lt;/foreign-keys&gt;&lt;ref-type name="Journal Article"&gt;17&lt;/ref-type&gt;&lt;contributors&gt;&lt;authors&gt;&lt;author&gt;Sander Greenland&lt;/author&gt;&lt;author&gt;Hal Morgenstern&lt;/author&gt;&lt;/authors&gt;&lt;/contributors&gt;&lt;titles&gt;&lt;title&gt;Confounding in Health Research&lt;/title&gt;&lt;secondary-title&gt;Annual Review of Public Health&lt;/secondary-title&gt;&lt;/titles&gt;&lt;periodical&gt;&lt;full-title&gt;Annual Review of Public Health&lt;/full-title&gt;&lt;/periodical&gt;&lt;pages&gt;189-212&lt;/pages&gt;&lt;volume&gt;22&lt;/volume&gt;&lt;number&gt;1&lt;/number&gt;&lt;keywords&gt;&lt;keyword&gt;bias,causation,collapsibility,confounder,epidemiologic methods&lt;/keyword&gt;&lt;/keywords&gt;&lt;dates&gt;&lt;year&gt;2001&lt;/year&gt;&lt;/dates&gt;&lt;accession-num&gt;11274518&lt;/accession-num&gt;&lt;urls&gt;&lt;related-urls&gt;&lt;url&gt;https://www.annualreviews.org/doi/abs/10.1146/annurev.publhealth.22.1.189&lt;/url&gt;&lt;/related-urls&gt;&lt;/urls&gt;&lt;electronic-resource-num&gt;10.1146/annurev.publhealth.22.1.189&lt;/electronic-resource-num&gt;&lt;/record&gt;&lt;/Cite&gt;&lt;/EndNote&gt;</w:instrText>
      </w:r>
      <w:r w:rsidR="005F1103">
        <w:rPr>
          <w:color w:val="000033"/>
          <w:shd w:val="clear" w:color="auto" w:fill="FFFFFF"/>
        </w:rPr>
        <w:fldChar w:fldCharType="separate"/>
      </w:r>
      <w:r w:rsidR="005F1103">
        <w:rPr>
          <w:noProof/>
          <w:color w:val="000033"/>
          <w:shd w:val="clear" w:color="auto" w:fill="FFFFFF"/>
        </w:rPr>
        <w:t>[2]</w:t>
      </w:r>
      <w:r w:rsidR="005F1103">
        <w:rPr>
          <w:color w:val="000033"/>
          <w:shd w:val="clear" w:color="auto" w:fill="FFFFFF"/>
        </w:rPr>
        <w:fldChar w:fldCharType="end"/>
      </w:r>
      <w:r w:rsidR="005F1103">
        <w:rPr>
          <w:color w:val="000033"/>
          <w:shd w:val="clear" w:color="auto" w:fill="FFFFFF"/>
        </w:rPr>
        <w:t>.</w:t>
      </w:r>
      <w:r w:rsidRPr="0066066D">
        <w:rPr>
          <w:color w:val="000033"/>
          <w:shd w:val="clear" w:color="auto" w:fill="FFFFFF"/>
        </w:rPr>
        <w:t xml:space="preserve"> </w:t>
      </w:r>
    </w:p>
    <w:p w14:paraId="416989F9" w14:textId="77777777" w:rsidR="0066066D" w:rsidRPr="0066066D" w:rsidRDefault="0066066D" w:rsidP="0066066D">
      <w:pPr>
        <w:spacing w:after="0" w:line="240" w:lineRule="auto"/>
        <w:rPr>
          <w:color w:val="000033"/>
          <w:shd w:val="clear" w:color="auto" w:fill="FFFFFF"/>
        </w:rPr>
      </w:pPr>
    </w:p>
    <w:p w14:paraId="08DEE3B0" w14:textId="1730B872" w:rsidR="0066066D" w:rsidRPr="0066066D" w:rsidRDefault="0066066D" w:rsidP="0066066D">
      <w:pPr>
        <w:spacing w:after="0" w:line="240" w:lineRule="auto"/>
        <w:rPr>
          <w:color w:val="000033"/>
          <w:shd w:val="clear" w:color="auto" w:fill="FFFFFF"/>
        </w:rPr>
      </w:pPr>
      <w:r w:rsidRPr="0066066D">
        <w:rPr>
          <w:color w:val="000033"/>
          <w:shd w:val="clear" w:color="auto" w:fill="FFFFFF"/>
        </w:rPr>
        <w:t xml:space="preserve">As we have already somewhat controlled for seating position (driver, front passenger, rear passenger) in the model, and matched on vehicle impact location, confounding could occur if passengers’ location on the right of left side of the vehicle relative to the impact was associated with their seat belt use or non-use. For example, perhaps front passengers are more to be unbelted than </w:t>
      </w:r>
      <w:proofErr w:type="gramStart"/>
      <w:r w:rsidRPr="0066066D">
        <w:rPr>
          <w:color w:val="000033"/>
          <w:shd w:val="clear" w:color="auto" w:fill="FFFFFF"/>
        </w:rPr>
        <w:t>drivers, and</w:t>
      </w:r>
      <w:proofErr w:type="gramEnd"/>
      <w:r w:rsidRPr="0066066D">
        <w:rPr>
          <w:color w:val="000033"/>
          <w:shd w:val="clear" w:color="auto" w:fill="FFFFFF"/>
        </w:rPr>
        <w:t xml:space="preserve"> are more likely to be on the near side of a crash due to driver blind spots. To estimate how robust our study conclusions are against unmeasured confounding, we performed a sensitivity analysis using the E-value of </w:t>
      </w:r>
      <w:proofErr w:type="spellStart"/>
      <w:r w:rsidRPr="0066066D">
        <w:rPr>
          <w:color w:val="000033"/>
          <w:shd w:val="clear" w:color="auto" w:fill="FFFFFF"/>
        </w:rPr>
        <w:t>VanderWeele</w:t>
      </w:r>
      <w:proofErr w:type="spellEnd"/>
      <w:r w:rsidRPr="0066066D">
        <w:rPr>
          <w:color w:val="000033"/>
          <w:shd w:val="clear" w:color="auto" w:fill="FFFFFF"/>
        </w:rPr>
        <w:t xml:space="preserve"> and Ding </w:t>
      </w:r>
      <w:r w:rsidRPr="0066066D">
        <w:rPr>
          <w:color w:val="000033"/>
          <w:shd w:val="clear" w:color="auto" w:fill="FFFFFF"/>
        </w:rPr>
        <w:fldChar w:fldCharType="begin"/>
      </w:r>
      <w:r w:rsidR="005F1103">
        <w:rPr>
          <w:color w:val="000033"/>
          <w:shd w:val="clear" w:color="auto" w:fill="FFFFFF"/>
        </w:rPr>
        <w:instrText xml:space="preserve"> ADDIN EN.CITE &lt;EndNote&gt;&lt;Cite&gt;&lt;Author&gt;VanderWeele&lt;/Author&gt;&lt;Year&gt;2017&lt;/Year&gt;&lt;RecNum&gt;94&lt;/RecNum&gt;&lt;DisplayText&gt;[1]&lt;/DisplayText&gt;&lt;record&gt;&lt;rec-number&gt;94&lt;/rec-number&gt;&lt;foreign-keys&gt;&lt;key app="EN" db-id="s05stxtxcrdsv3e2xvzvv5v0avrssdz0x0ew" timestamp="1663184769"&gt;94&lt;/key&gt;&lt;/foreign-keys&gt;&lt;ref-type name="Journal Article"&gt;17&lt;/ref-type&gt;&lt;contributors&gt;&lt;authors&gt;&lt;author&gt;Tyler J. VanderWeele&lt;/author&gt;&lt;author&gt;Peng Ding&lt;/author&gt;&lt;/authors&gt;&lt;/contributors&gt;&lt;titles&gt;&lt;title&gt;Sensitivity Analysis in Observational Research: Introducing the E-Value&lt;/title&gt;&lt;secondary-title&gt;Annals of Internal Medicine&lt;/secondary-title&gt;&lt;/titles&gt;&lt;periodical&gt;&lt;full-title&gt;Annals of Internal Medicine&lt;/full-title&gt;&lt;/periodical&gt;&lt;pages&gt;268-274&lt;/pages&gt;&lt;volume&gt;167&lt;/volume&gt;&lt;number&gt;4&lt;/number&gt;&lt;dates&gt;&lt;year&gt;2017&lt;/year&gt;&lt;/dates&gt;&lt;urls&gt;&lt;related-urls&gt;&lt;url&gt;https://www.acpjournals.org/doi/abs/10.7326/M16-2607&lt;/url&gt;&lt;/related-urls&gt;&lt;/urls&gt;&lt;electronic-resource-num&gt;10.7326/m16-2607 %m 28693043&lt;/electronic-resource-num&gt;&lt;/record&gt;&lt;/Cite&gt;&lt;/EndNote&gt;</w:instrText>
      </w:r>
      <w:r w:rsidRPr="0066066D">
        <w:rPr>
          <w:color w:val="000033"/>
          <w:shd w:val="clear" w:color="auto" w:fill="FFFFFF"/>
        </w:rPr>
        <w:fldChar w:fldCharType="separate"/>
      </w:r>
      <w:r w:rsidR="005F1103">
        <w:rPr>
          <w:noProof/>
          <w:color w:val="000033"/>
          <w:shd w:val="clear" w:color="auto" w:fill="FFFFFF"/>
        </w:rPr>
        <w:t>[1]</w:t>
      </w:r>
      <w:r w:rsidRPr="0066066D">
        <w:rPr>
          <w:color w:val="000033"/>
          <w:shd w:val="clear" w:color="auto" w:fill="FFFFFF"/>
        </w:rPr>
        <w:fldChar w:fldCharType="end"/>
      </w:r>
      <w:r w:rsidRPr="0066066D">
        <w:rPr>
          <w:color w:val="000033"/>
          <w:shd w:val="clear" w:color="auto" w:fill="FFFFFF"/>
        </w:rPr>
        <w:t xml:space="preserve">.  The E-value is the minimum strength of association (measured via risk ratio) between an unmeasured confounder (seating position relative to impact) and both exposure (seat belt) and outcome (injury) needed to explain away the association between belt-use and injury, </w:t>
      </w:r>
      <w:proofErr w:type="gramStart"/>
      <w:r w:rsidRPr="0066066D">
        <w:rPr>
          <w:color w:val="000033"/>
          <w:shd w:val="clear" w:color="auto" w:fill="FFFFFF"/>
        </w:rPr>
        <w:t>i.e.</w:t>
      </w:r>
      <w:proofErr w:type="gramEnd"/>
      <w:r w:rsidRPr="0066066D">
        <w:rPr>
          <w:color w:val="000033"/>
          <w:shd w:val="clear" w:color="auto" w:fill="FFFFFF"/>
        </w:rPr>
        <w:t xml:space="preserve"> for the relative risk to be equal to one. We also include the lower limit of the E-value, which in practical terms is the minimum strength of association between an unmeasured confounder and both exposure and outcome for our study conclusions to change, </w:t>
      </w:r>
      <w:proofErr w:type="gramStart"/>
      <w:r w:rsidRPr="0066066D">
        <w:rPr>
          <w:color w:val="000033"/>
          <w:shd w:val="clear" w:color="auto" w:fill="FFFFFF"/>
        </w:rPr>
        <w:t>i.e.</w:t>
      </w:r>
      <w:proofErr w:type="gramEnd"/>
      <w:r w:rsidRPr="0066066D">
        <w:rPr>
          <w:color w:val="000033"/>
          <w:shd w:val="clear" w:color="auto" w:fill="FFFFFF"/>
        </w:rPr>
        <w:t xml:space="preserve"> for the confidence interval to contain one.  </w:t>
      </w:r>
    </w:p>
    <w:p w14:paraId="69D17C53" w14:textId="77777777" w:rsidR="0066066D" w:rsidRPr="0066066D" w:rsidRDefault="0066066D" w:rsidP="0066066D">
      <w:pPr>
        <w:spacing w:after="0" w:line="240" w:lineRule="auto"/>
        <w:rPr>
          <w:color w:val="000033"/>
          <w:shd w:val="clear" w:color="auto" w:fill="FFFFFF"/>
        </w:rPr>
      </w:pPr>
    </w:p>
    <w:p w14:paraId="249B6E7F" w14:textId="6E59A674" w:rsidR="0066066D" w:rsidRDefault="0066066D" w:rsidP="0066066D">
      <w:pPr>
        <w:spacing w:after="0" w:line="240" w:lineRule="auto"/>
        <w:rPr>
          <w:color w:val="000033"/>
          <w:shd w:val="clear" w:color="auto" w:fill="FFFFFF"/>
        </w:rPr>
      </w:pPr>
      <w:r w:rsidRPr="0066066D">
        <w:rPr>
          <w:color w:val="000033"/>
          <w:shd w:val="clear" w:color="auto" w:fill="FFFFFF"/>
        </w:rPr>
        <w:t xml:space="preserve">Results pertaining to the E-value are presented in Table R1 below and are included in a supplemental table. For fatal injuries, the lower limits of the E-value range from 2.97 (oldest age group) to 5.91 (youngest age group).  Hence, seating position relative to impact location would have to be associated with belt use at a magnitude of 2.97 or greater to impact our conclusions. We believe that this is </w:t>
      </w:r>
      <w:r w:rsidRPr="00F80A3F">
        <w:rPr>
          <w:color w:val="000033"/>
          <w:shd w:val="clear" w:color="auto" w:fill="FFFFFF"/>
        </w:rPr>
        <w:t xml:space="preserve">not plausible. </w:t>
      </w:r>
      <w:r w:rsidR="00F80A3F" w:rsidRPr="00F80A3F">
        <w:rPr>
          <w:color w:val="000033"/>
          <w:shd w:val="clear" w:color="auto" w:fill="FFFFFF"/>
        </w:rPr>
        <w:t xml:space="preserve">For MAIS3+ injuries, in which the E-value lower limit was as low as 1.50 for the oldest age group, which in many epidemiological applications would lead us to conclude that there was moderate concern that unmeasured confounding could have impacted the study conclusions. However, for our application, we find it unlikely that seating position relative to impact location and belt use would exhibit an association of this magnitude (e.g., being on the near side of an impact is associated with 50% higher risk of being unbelted).  </w:t>
      </w:r>
    </w:p>
    <w:p w14:paraId="7A98D7BC" w14:textId="5499489F" w:rsidR="0066066D" w:rsidRDefault="0066066D" w:rsidP="0066066D">
      <w:pPr>
        <w:spacing w:after="0" w:line="240" w:lineRule="auto"/>
        <w:rPr>
          <w:color w:val="000033"/>
          <w:shd w:val="clear" w:color="auto" w:fill="FFFFFF"/>
        </w:rPr>
      </w:pPr>
    </w:p>
    <w:p w14:paraId="3CBAD98D" w14:textId="6309329F" w:rsidR="0066066D" w:rsidRDefault="0066066D" w:rsidP="0066066D">
      <w:pPr>
        <w:spacing w:after="0" w:line="240" w:lineRule="auto"/>
        <w:rPr>
          <w:color w:val="000033"/>
          <w:shd w:val="clear" w:color="auto" w:fill="FFFFFF"/>
        </w:rPr>
      </w:pPr>
      <w:bookmarkStart w:id="1" w:name="_Hlk114148973"/>
      <w:r>
        <w:rPr>
          <w:color w:val="000033"/>
          <w:shd w:val="clear" w:color="auto" w:fill="FFFFFF"/>
        </w:rPr>
        <w:t xml:space="preserve">The smallest E-value was for torso injury for those aged 50-64 (E-value = 1.53; lower limit = 1.11).  While this value </w:t>
      </w:r>
      <w:r w:rsidR="00F80A3F">
        <w:rPr>
          <w:color w:val="000033"/>
          <w:shd w:val="clear" w:color="auto" w:fill="FFFFFF"/>
        </w:rPr>
        <w:t>suggests</w:t>
      </w:r>
      <w:r>
        <w:rPr>
          <w:color w:val="000033"/>
          <w:shd w:val="clear" w:color="auto" w:fill="FFFFFF"/>
        </w:rPr>
        <w:t xml:space="preserve"> sensitiv</w:t>
      </w:r>
      <w:r w:rsidR="00F80A3F">
        <w:rPr>
          <w:color w:val="000033"/>
          <w:shd w:val="clear" w:color="auto" w:fill="FFFFFF"/>
        </w:rPr>
        <w:t>ity</w:t>
      </w:r>
      <w:r>
        <w:rPr>
          <w:color w:val="000033"/>
          <w:shd w:val="clear" w:color="auto" w:fill="FFFFFF"/>
        </w:rPr>
        <w:t xml:space="preserve"> to unmeasured confounding, the fact that </w:t>
      </w:r>
      <w:r w:rsidR="00430016">
        <w:rPr>
          <w:color w:val="000033"/>
          <w:shd w:val="clear" w:color="auto" w:fill="FFFFFF"/>
        </w:rPr>
        <w:t>this association was “statistically significant” (likely not practically so), was not paramount to our study conclusions.  Rather, the critical finding with respect to torso injury was that belt protection attenuates with age. For both MAIS3+ and torso injury, w</w:t>
      </w:r>
      <w:r w:rsidRPr="0066066D">
        <w:rPr>
          <w:color w:val="000033"/>
          <w:shd w:val="clear" w:color="auto" w:fill="FFFFFF"/>
        </w:rPr>
        <w:t xml:space="preserve">e </w:t>
      </w:r>
      <w:r>
        <w:rPr>
          <w:color w:val="000033"/>
          <w:shd w:val="clear" w:color="auto" w:fill="FFFFFF"/>
        </w:rPr>
        <w:t>believe</w:t>
      </w:r>
      <w:r w:rsidRPr="0066066D">
        <w:rPr>
          <w:color w:val="000033"/>
          <w:shd w:val="clear" w:color="auto" w:fill="FFFFFF"/>
        </w:rPr>
        <w:t xml:space="preserve"> that our conclusions about associations attenuating </w:t>
      </w:r>
      <w:r w:rsidR="00430016">
        <w:rPr>
          <w:color w:val="000033"/>
          <w:shd w:val="clear" w:color="auto" w:fill="FFFFFF"/>
        </w:rPr>
        <w:t>with age</w:t>
      </w:r>
      <w:r w:rsidRPr="0066066D">
        <w:rPr>
          <w:color w:val="000033"/>
          <w:shd w:val="clear" w:color="auto" w:fill="FFFFFF"/>
        </w:rPr>
        <w:t xml:space="preserve"> are robust to unmeasured confounding. To change these conclusions, an unmeasured confounder would have to </w:t>
      </w:r>
      <w:r w:rsidR="003E72FD">
        <w:rPr>
          <w:color w:val="000033"/>
          <w:shd w:val="clear" w:color="auto" w:fill="FFFFFF"/>
        </w:rPr>
        <w:t xml:space="preserve">associate with belt </w:t>
      </w:r>
      <w:proofErr w:type="gramStart"/>
      <w:r w:rsidR="003E72FD">
        <w:rPr>
          <w:color w:val="000033"/>
          <w:shd w:val="clear" w:color="auto" w:fill="FFFFFF"/>
        </w:rPr>
        <w:t>use, and</w:t>
      </w:r>
      <w:proofErr w:type="gramEnd"/>
      <w:r w:rsidR="003E72FD">
        <w:rPr>
          <w:color w:val="000033"/>
          <w:shd w:val="clear" w:color="auto" w:fill="FFFFFF"/>
        </w:rPr>
        <w:t xml:space="preserve"> do so</w:t>
      </w:r>
      <w:r w:rsidRPr="0066066D">
        <w:rPr>
          <w:color w:val="000033"/>
          <w:shd w:val="clear" w:color="auto" w:fill="FFFFFF"/>
        </w:rPr>
        <w:t xml:space="preserve"> differentially </w:t>
      </w:r>
      <w:r w:rsidR="003E72FD">
        <w:rPr>
          <w:color w:val="000033"/>
          <w:shd w:val="clear" w:color="auto" w:fill="FFFFFF"/>
        </w:rPr>
        <w:t>for</w:t>
      </w:r>
      <w:r w:rsidRPr="0066066D">
        <w:rPr>
          <w:color w:val="000033"/>
          <w:shd w:val="clear" w:color="auto" w:fill="FFFFFF"/>
        </w:rPr>
        <w:t xml:space="preserve"> certain age groups. </w:t>
      </w:r>
      <w:r w:rsidR="005F1103">
        <w:rPr>
          <w:color w:val="000033"/>
          <w:shd w:val="clear" w:color="auto" w:fill="FFFFFF"/>
        </w:rPr>
        <w:t>We expect that this is not the case.</w:t>
      </w:r>
      <w:r w:rsidR="00430016">
        <w:rPr>
          <w:color w:val="000033"/>
          <w:shd w:val="clear" w:color="auto" w:fill="FFFFFF"/>
        </w:rPr>
        <w:t xml:space="preserve">  </w:t>
      </w:r>
    </w:p>
    <w:bookmarkEnd w:id="1"/>
    <w:p w14:paraId="54318846" w14:textId="0B45D560" w:rsidR="00430016" w:rsidRDefault="00430016" w:rsidP="0066066D">
      <w:pPr>
        <w:spacing w:after="0" w:line="240" w:lineRule="auto"/>
        <w:rPr>
          <w:color w:val="000033"/>
          <w:shd w:val="clear" w:color="auto" w:fill="FFFFFF"/>
        </w:rPr>
      </w:pPr>
    </w:p>
    <w:p w14:paraId="11178597" w14:textId="1809B4BB" w:rsidR="00430016" w:rsidRPr="00430016" w:rsidRDefault="00430016" w:rsidP="0066066D">
      <w:pPr>
        <w:spacing w:after="0" w:line="240" w:lineRule="auto"/>
        <w:rPr>
          <w:color w:val="000033"/>
          <w:shd w:val="clear" w:color="auto" w:fill="FFFFFF"/>
        </w:rPr>
      </w:pPr>
      <w:r>
        <w:rPr>
          <w:color w:val="000033"/>
          <w:shd w:val="clear" w:color="auto" w:fill="FFFFFF"/>
        </w:rPr>
        <w:t>We have presented these results with a focus on a specific potential confounder, seating position relative to impact location, whose exclusion from the study was a limitation</w:t>
      </w:r>
      <w:bookmarkStart w:id="2" w:name="_Hlk114148993"/>
      <w:r>
        <w:rPr>
          <w:color w:val="000033"/>
          <w:shd w:val="clear" w:color="auto" w:fill="FFFFFF"/>
        </w:rPr>
        <w:t xml:space="preserve">. While we believe it is unlikely that confounding from this variable would have impacted our results, it does not mean that our results are similarly robust to </w:t>
      </w:r>
      <w:r>
        <w:rPr>
          <w:i/>
          <w:iCs/>
          <w:color w:val="000033"/>
          <w:shd w:val="clear" w:color="auto" w:fill="FFFFFF"/>
        </w:rPr>
        <w:t>any</w:t>
      </w:r>
      <w:r>
        <w:rPr>
          <w:color w:val="000033"/>
          <w:shd w:val="clear" w:color="auto" w:fill="FFFFFF"/>
        </w:rPr>
        <w:t xml:space="preserve"> unmeasured confounding. </w:t>
      </w:r>
      <w:bookmarkEnd w:id="2"/>
    </w:p>
    <w:p w14:paraId="6738CBDD" w14:textId="77777777" w:rsidR="0066066D" w:rsidRPr="0066066D" w:rsidRDefault="0066066D" w:rsidP="0066066D">
      <w:pPr>
        <w:spacing w:after="0" w:line="240" w:lineRule="auto"/>
        <w:rPr>
          <w:color w:val="000033"/>
          <w:shd w:val="clear" w:color="auto" w:fill="FFFFFF"/>
        </w:rPr>
      </w:pPr>
    </w:p>
    <w:p w14:paraId="08F1CEBB" w14:textId="0E864ECF" w:rsidR="0066066D" w:rsidRPr="0066066D" w:rsidRDefault="0066066D" w:rsidP="0066066D">
      <w:pPr>
        <w:spacing w:after="0" w:line="240" w:lineRule="auto"/>
        <w:rPr>
          <w:color w:val="000033"/>
          <w:shd w:val="clear" w:color="auto" w:fill="FFFFFF"/>
        </w:rPr>
      </w:pPr>
      <w:r w:rsidRPr="0066066D">
        <w:rPr>
          <w:color w:val="000033"/>
          <w:shd w:val="clear" w:color="auto" w:fill="FFFFFF"/>
        </w:rPr>
        <w:t xml:space="preserve">We did not include E-values for null results.  </w:t>
      </w:r>
    </w:p>
    <w:p w14:paraId="7277FA2F" w14:textId="15428E25" w:rsidR="0066066D" w:rsidRDefault="0066066D">
      <w:pPr>
        <w:rPr>
          <w:b/>
          <w:bCs/>
        </w:rPr>
      </w:pPr>
    </w:p>
    <w:tbl>
      <w:tblPr>
        <w:tblStyle w:val="TableGrid"/>
        <w:tblW w:w="7146" w:type="dxa"/>
        <w:tblLook w:val="04A0" w:firstRow="1" w:lastRow="0" w:firstColumn="1" w:lastColumn="0" w:noHBand="0" w:noVBand="1"/>
      </w:tblPr>
      <w:tblGrid>
        <w:gridCol w:w="1528"/>
        <w:gridCol w:w="1506"/>
        <w:gridCol w:w="2083"/>
        <w:gridCol w:w="2029"/>
      </w:tblGrid>
      <w:tr w:rsidR="00A24B30" w14:paraId="4AC770BA" w14:textId="77777777" w:rsidTr="00A24B30">
        <w:trPr>
          <w:cantSplit/>
        </w:trPr>
        <w:tc>
          <w:tcPr>
            <w:tcW w:w="1528" w:type="dxa"/>
            <w:tcBorders>
              <w:top w:val="single" w:sz="4" w:space="0" w:color="auto"/>
              <w:left w:val="single" w:sz="4" w:space="0" w:color="auto"/>
              <w:bottom w:val="single" w:sz="4" w:space="0" w:color="auto"/>
              <w:right w:val="single" w:sz="4" w:space="0" w:color="auto"/>
            </w:tcBorders>
            <w:vAlign w:val="bottom"/>
            <w:hideMark/>
          </w:tcPr>
          <w:p w14:paraId="3810E6EE" w14:textId="77777777" w:rsidR="00A24B30" w:rsidRDefault="00A24B30">
            <w:pPr>
              <w:rPr>
                <w:sz w:val="22"/>
                <w:szCs w:val="22"/>
              </w:rPr>
            </w:pPr>
            <w:r>
              <w:rPr>
                <w:sz w:val="22"/>
                <w:szCs w:val="22"/>
              </w:rPr>
              <w:t>Outcome</w:t>
            </w:r>
          </w:p>
        </w:tc>
        <w:tc>
          <w:tcPr>
            <w:tcW w:w="1506" w:type="dxa"/>
            <w:tcBorders>
              <w:top w:val="single" w:sz="4" w:space="0" w:color="auto"/>
              <w:left w:val="single" w:sz="4" w:space="0" w:color="auto"/>
              <w:bottom w:val="single" w:sz="4" w:space="0" w:color="auto"/>
              <w:right w:val="single" w:sz="4" w:space="0" w:color="auto"/>
            </w:tcBorders>
            <w:vAlign w:val="bottom"/>
            <w:hideMark/>
          </w:tcPr>
          <w:p w14:paraId="7B77FB4B" w14:textId="77777777" w:rsidR="00A24B30" w:rsidRDefault="00A24B30">
            <w:pPr>
              <w:rPr>
                <w:sz w:val="22"/>
                <w:szCs w:val="22"/>
              </w:rPr>
            </w:pPr>
            <w:r>
              <w:rPr>
                <w:sz w:val="22"/>
                <w:szCs w:val="22"/>
              </w:rPr>
              <w:t>Age Group</w:t>
            </w:r>
          </w:p>
        </w:tc>
        <w:tc>
          <w:tcPr>
            <w:tcW w:w="2083" w:type="dxa"/>
            <w:tcBorders>
              <w:top w:val="single" w:sz="4" w:space="0" w:color="auto"/>
              <w:left w:val="single" w:sz="4" w:space="0" w:color="auto"/>
              <w:bottom w:val="single" w:sz="4" w:space="0" w:color="auto"/>
              <w:right w:val="single" w:sz="4" w:space="0" w:color="auto"/>
            </w:tcBorders>
            <w:vAlign w:val="bottom"/>
            <w:hideMark/>
          </w:tcPr>
          <w:p w14:paraId="44F06D59" w14:textId="77777777" w:rsidR="00A24B30" w:rsidRDefault="00A24B30">
            <w:pPr>
              <w:rPr>
                <w:sz w:val="22"/>
                <w:szCs w:val="22"/>
              </w:rPr>
            </w:pPr>
            <w:r>
              <w:rPr>
                <w:sz w:val="22"/>
                <w:szCs w:val="22"/>
              </w:rPr>
              <w:t>Adjusted RR: belted vs. unbelted</w:t>
            </w:r>
          </w:p>
        </w:tc>
        <w:tc>
          <w:tcPr>
            <w:tcW w:w="2029" w:type="dxa"/>
            <w:tcBorders>
              <w:top w:val="single" w:sz="4" w:space="0" w:color="auto"/>
              <w:left w:val="single" w:sz="4" w:space="0" w:color="auto"/>
              <w:bottom w:val="single" w:sz="4" w:space="0" w:color="auto"/>
              <w:right w:val="single" w:sz="4" w:space="0" w:color="auto"/>
            </w:tcBorders>
            <w:hideMark/>
          </w:tcPr>
          <w:p w14:paraId="569FC7F9" w14:textId="77777777" w:rsidR="00A24B30" w:rsidRDefault="00A24B30">
            <w:pPr>
              <w:rPr>
                <w:sz w:val="22"/>
                <w:szCs w:val="22"/>
              </w:rPr>
            </w:pPr>
            <w:r>
              <w:rPr>
                <w:sz w:val="22"/>
                <w:szCs w:val="22"/>
              </w:rPr>
              <w:t>E-value (Lower limit)</w:t>
            </w:r>
          </w:p>
        </w:tc>
      </w:tr>
      <w:tr w:rsidR="00A24B30" w14:paraId="57716B12" w14:textId="77777777" w:rsidTr="00A24B30">
        <w:trPr>
          <w:cantSplit/>
          <w:trHeight w:val="273"/>
        </w:trPr>
        <w:tc>
          <w:tcPr>
            <w:tcW w:w="1528" w:type="dxa"/>
            <w:vMerge w:val="restart"/>
            <w:tcBorders>
              <w:top w:val="single" w:sz="4" w:space="0" w:color="auto"/>
              <w:left w:val="single" w:sz="4" w:space="0" w:color="auto"/>
              <w:bottom w:val="single" w:sz="4" w:space="0" w:color="auto"/>
              <w:right w:val="single" w:sz="4" w:space="0" w:color="auto"/>
            </w:tcBorders>
            <w:hideMark/>
          </w:tcPr>
          <w:p w14:paraId="603C5E2B" w14:textId="77777777" w:rsidR="00A24B30" w:rsidRDefault="00A24B30">
            <w:pPr>
              <w:rPr>
                <w:sz w:val="22"/>
                <w:szCs w:val="22"/>
              </w:rPr>
            </w:pPr>
            <w:r>
              <w:rPr>
                <w:sz w:val="22"/>
                <w:szCs w:val="22"/>
              </w:rPr>
              <w:t>Fatal Injury</w:t>
            </w:r>
          </w:p>
        </w:tc>
        <w:tc>
          <w:tcPr>
            <w:tcW w:w="1506" w:type="dxa"/>
            <w:tcBorders>
              <w:top w:val="single" w:sz="4" w:space="0" w:color="auto"/>
              <w:left w:val="single" w:sz="4" w:space="0" w:color="auto"/>
              <w:bottom w:val="single" w:sz="4" w:space="0" w:color="auto"/>
              <w:right w:val="single" w:sz="4" w:space="0" w:color="auto"/>
            </w:tcBorders>
            <w:hideMark/>
          </w:tcPr>
          <w:p w14:paraId="06F58638" w14:textId="77777777" w:rsidR="00A24B30" w:rsidRDefault="00A24B30">
            <w:pPr>
              <w:rPr>
                <w:sz w:val="22"/>
                <w:szCs w:val="22"/>
              </w:rPr>
            </w:pPr>
            <w:r>
              <w:rPr>
                <w:sz w:val="22"/>
                <w:szCs w:val="22"/>
              </w:rPr>
              <w:t>All</w:t>
            </w:r>
          </w:p>
        </w:tc>
        <w:tc>
          <w:tcPr>
            <w:tcW w:w="2083" w:type="dxa"/>
            <w:tcBorders>
              <w:top w:val="single" w:sz="4" w:space="0" w:color="auto"/>
              <w:left w:val="single" w:sz="4" w:space="0" w:color="auto"/>
              <w:bottom w:val="single" w:sz="4" w:space="0" w:color="auto"/>
              <w:right w:val="single" w:sz="4" w:space="0" w:color="auto"/>
            </w:tcBorders>
            <w:hideMark/>
          </w:tcPr>
          <w:p w14:paraId="142AC9B8" w14:textId="77777777" w:rsidR="00A24B30" w:rsidRDefault="00A24B30">
            <w:pPr>
              <w:rPr>
                <w:color w:val="000000"/>
                <w:sz w:val="22"/>
                <w:szCs w:val="22"/>
              </w:rPr>
            </w:pPr>
            <w:r>
              <w:rPr>
                <w:color w:val="000000"/>
                <w:sz w:val="22"/>
                <w:szCs w:val="22"/>
              </w:rPr>
              <w:t>0.26 (0.23, 0.30)</w:t>
            </w:r>
          </w:p>
        </w:tc>
        <w:tc>
          <w:tcPr>
            <w:tcW w:w="2029" w:type="dxa"/>
            <w:tcBorders>
              <w:top w:val="single" w:sz="4" w:space="0" w:color="auto"/>
              <w:left w:val="single" w:sz="4" w:space="0" w:color="auto"/>
              <w:bottom w:val="single" w:sz="4" w:space="0" w:color="auto"/>
              <w:right w:val="single" w:sz="4" w:space="0" w:color="auto"/>
            </w:tcBorders>
            <w:hideMark/>
          </w:tcPr>
          <w:p w14:paraId="4889543C" w14:textId="77777777" w:rsidR="00A24B30" w:rsidRDefault="00A24B30">
            <w:pPr>
              <w:rPr>
                <w:color w:val="000000"/>
                <w:sz w:val="22"/>
                <w:szCs w:val="22"/>
              </w:rPr>
            </w:pPr>
            <w:r>
              <w:rPr>
                <w:color w:val="000000"/>
                <w:sz w:val="22"/>
                <w:szCs w:val="22"/>
              </w:rPr>
              <w:t>7.15 (6.12)</w:t>
            </w:r>
          </w:p>
        </w:tc>
      </w:tr>
      <w:tr w:rsidR="00A24B30" w14:paraId="7EB31572"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5733F"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78C30C54" w14:textId="77777777" w:rsidR="00A24B30" w:rsidRDefault="00A24B30">
            <w:pPr>
              <w:rPr>
                <w:sz w:val="22"/>
                <w:szCs w:val="22"/>
              </w:rPr>
            </w:pPr>
            <w:r>
              <w:rPr>
                <w:sz w:val="22"/>
                <w:szCs w:val="22"/>
              </w:rPr>
              <w:t>16-30</w:t>
            </w:r>
          </w:p>
        </w:tc>
        <w:tc>
          <w:tcPr>
            <w:tcW w:w="2083" w:type="dxa"/>
            <w:tcBorders>
              <w:top w:val="single" w:sz="4" w:space="0" w:color="auto"/>
              <w:left w:val="single" w:sz="4" w:space="0" w:color="auto"/>
              <w:bottom w:val="single" w:sz="4" w:space="0" w:color="auto"/>
              <w:right w:val="single" w:sz="4" w:space="0" w:color="auto"/>
            </w:tcBorders>
            <w:vAlign w:val="bottom"/>
            <w:hideMark/>
          </w:tcPr>
          <w:p w14:paraId="6DBCE78D" w14:textId="77777777" w:rsidR="00A24B30" w:rsidRDefault="00A24B30">
            <w:pPr>
              <w:rPr>
                <w:sz w:val="22"/>
                <w:szCs w:val="22"/>
              </w:rPr>
            </w:pPr>
            <w:r>
              <w:rPr>
                <w:color w:val="000000"/>
                <w:sz w:val="22"/>
                <w:szCs w:val="22"/>
              </w:rPr>
              <w:t>0.26 (0.21, 0.31)</w:t>
            </w:r>
          </w:p>
        </w:tc>
        <w:tc>
          <w:tcPr>
            <w:tcW w:w="2029" w:type="dxa"/>
            <w:tcBorders>
              <w:top w:val="single" w:sz="4" w:space="0" w:color="auto"/>
              <w:left w:val="single" w:sz="4" w:space="0" w:color="auto"/>
              <w:bottom w:val="single" w:sz="4" w:space="0" w:color="auto"/>
              <w:right w:val="single" w:sz="4" w:space="0" w:color="auto"/>
            </w:tcBorders>
            <w:hideMark/>
          </w:tcPr>
          <w:p w14:paraId="030C01F0" w14:textId="77777777" w:rsidR="00A24B30" w:rsidRDefault="00A24B30">
            <w:pPr>
              <w:rPr>
                <w:color w:val="000000"/>
                <w:sz w:val="22"/>
                <w:szCs w:val="22"/>
              </w:rPr>
            </w:pPr>
            <w:r>
              <w:rPr>
                <w:color w:val="000000"/>
                <w:sz w:val="22"/>
                <w:szCs w:val="22"/>
              </w:rPr>
              <w:t>7.15 (5.91)</w:t>
            </w:r>
          </w:p>
        </w:tc>
      </w:tr>
      <w:tr w:rsidR="00A24B30" w14:paraId="03977AA1"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ABEA3"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4980464F" w14:textId="77777777" w:rsidR="00A24B30" w:rsidRDefault="00A24B30">
            <w:pPr>
              <w:rPr>
                <w:sz w:val="22"/>
                <w:szCs w:val="22"/>
              </w:rPr>
            </w:pPr>
            <w:r>
              <w:rPr>
                <w:sz w:val="22"/>
                <w:szCs w:val="22"/>
              </w:rPr>
              <w:t>31-49</w:t>
            </w:r>
          </w:p>
        </w:tc>
        <w:tc>
          <w:tcPr>
            <w:tcW w:w="2083" w:type="dxa"/>
            <w:tcBorders>
              <w:top w:val="single" w:sz="4" w:space="0" w:color="auto"/>
              <w:left w:val="single" w:sz="4" w:space="0" w:color="auto"/>
              <w:bottom w:val="single" w:sz="4" w:space="0" w:color="auto"/>
              <w:right w:val="single" w:sz="4" w:space="0" w:color="auto"/>
            </w:tcBorders>
            <w:vAlign w:val="bottom"/>
            <w:hideMark/>
          </w:tcPr>
          <w:p w14:paraId="59162F65" w14:textId="77777777" w:rsidR="00A24B30" w:rsidRDefault="00A24B30">
            <w:pPr>
              <w:rPr>
                <w:sz w:val="22"/>
                <w:szCs w:val="22"/>
              </w:rPr>
            </w:pPr>
            <w:r>
              <w:rPr>
                <w:color w:val="000000"/>
                <w:sz w:val="22"/>
                <w:szCs w:val="22"/>
              </w:rPr>
              <w:t>0.25 (0.19, 0.31)</w:t>
            </w:r>
          </w:p>
        </w:tc>
        <w:tc>
          <w:tcPr>
            <w:tcW w:w="2029" w:type="dxa"/>
            <w:tcBorders>
              <w:top w:val="single" w:sz="4" w:space="0" w:color="auto"/>
              <w:left w:val="single" w:sz="4" w:space="0" w:color="auto"/>
              <w:bottom w:val="single" w:sz="4" w:space="0" w:color="auto"/>
              <w:right w:val="single" w:sz="4" w:space="0" w:color="auto"/>
            </w:tcBorders>
            <w:hideMark/>
          </w:tcPr>
          <w:p w14:paraId="432528B5" w14:textId="77777777" w:rsidR="00A24B30" w:rsidRDefault="00A24B30">
            <w:pPr>
              <w:rPr>
                <w:color w:val="000000"/>
                <w:sz w:val="22"/>
                <w:szCs w:val="22"/>
              </w:rPr>
            </w:pPr>
            <w:r>
              <w:rPr>
                <w:color w:val="000000"/>
                <w:sz w:val="22"/>
                <w:szCs w:val="22"/>
              </w:rPr>
              <w:t>7.46 (5.91)</w:t>
            </w:r>
          </w:p>
        </w:tc>
      </w:tr>
      <w:tr w:rsidR="00A24B30" w14:paraId="53F4406D"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821EA"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1B4A0D63" w14:textId="77777777" w:rsidR="00A24B30" w:rsidRDefault="00A24B30">
            <w:pPr>
              <w:rPr>
                <w:sz w:val="22"/>
                <w:szCs w:val="22"/>
              </w:rPr>
            </w:pPr>
            <w:r>
              <w:rPr>
                <w:sz w:val="22"/>
                <w:szCs w:val="22"/>
              </w:rPr>
              <w:t>50-64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02F060B7" w14:textId="77777777" w:rsidR="00A24B30" w:rsidRDefault="00A24B30">
            <w:pPr>
              <w:rPr>
                <w:color w:val="000000"/>
                <w:sz w:val="22"/>
                <w:szCs w:val="22"/>
              </w:rPr>
            </w:pPr>
            <w:r>
              <w:rPr>
                <w:color w:val="000000"/>
                <w:sz w:val="22"/>
                <w:szCs w:val="22"/>
              </w:rPr>
              <w:t>0.27 (0.19, 0.37)</w:t>
            </w:r>
          </w:p>
        </w:tc>
        <w:tc>
          <w:tcPr>
            <w:tcW w:w="2029" w:type="dxa"/>
            <w:tcBorders>
              <w:top w:val="single" w:sz="4" w:space="0" w:color="auto"/>
              <w:left w:val="single" w:sz="4" w:space="0" w:color="auto"/>
              <w:bottom w:val="single" w:sz="4" w:space="0" w:color="auto"/>
              <w:right w:val="single" w:sz="4" w:space="0" w:color="auto"/>
            </w:tcBorders>
            <w:hideMark/>
          </w:tcPr>
          <w:p w14:paraId="5ABB0679" w14:textId="77777777" w:rsidR="00A24B30" w:rsidRDefault="00A24B30">
            <w:pPr>
              <w:rPr>
                <w:color w:val="000000"/>
                <w:sz w:val="22"/>
                <w:szCs w:val="22"/>
              </w:rPr>
            </w:pPr>
            <w:r>
              <w:rPr>
                <w:color w:val="000000"/>
                <w:sz w:val="22"/>
                <w:szCs w:val="22"/>
              </w:rPr>
              <w:t>6.87 (4.85)</w:t>
            </w:r>
          </w:p>
        </w:tc>
      </w:tr>
      <w:tr w:rsidR="00A24B30" w14:paraId="7545AAE3"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878BA"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491C5D53" w14:textId="77777777" w:rsidR="00A24B30" w:rsidRDefault="00A24B30">
            <w:pPr>
              <w:rPr>
                <w:sz w:val="22"/>
                <w:szCs w:val="22"/>
              </w:rPr>
            </w:pPr>
            <w:r>
              <w:rPr>
                <w:sz w:val="22"/>
                <w:szCs w:val="22"/>
              </w:rPr>
              <w:t>65-74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60350640" w14:textId="77777777" w:rsidR="00A24B30" w:rsidRDefault="00A24B30">
            <w:pPr>
              <w:rPr>
                <w:sz w:val="22"/>
                <w:szCs w:val="22"/>
              </w:rPr>
            </w:pPr>
            <w:r>
              <w:rPr>
                <w:color w:val="000000"/>
                <w:sz w:val="22"/>
                <w:szCs w:val="22"/>
              </w:rPr>
              <w:t>0.28 (0.17, 0.44)</w:t>
            </w:r>
          </w:p>
        </w:tc>
        <w:tc>
          <w:tcPr>
            <w:tcW w:w="2029" w:type="dxa"/>
            <w:tcBorders>
              <w:top w:val="single" w:sz="4" w:space="0" w:color="auto"/>
              <w:left w:val="single" w:sz="4" w:space="0" w:color="auto"/>
              <w:bottom w:val="single" w:sz="4" w:space="0" w:color="auto"/>
              <w:right w:val="single" w:sz="4" w:space="0" w:color="auto"/>
            </w:tcBorders>
            <w:hideMark/>
          </w:tcPr>
          <w:p w14:paraId="6D3DC1EE" w14:textId="77777777" w:rsidR="00A24B30" w:rsidRDefault="00A24B30">
            <w:pPr>
              <w:rPr>
                <w:color w:val="000000"/>
                <w:sz w:val="22"/>
                <w:szCs w:val="22"/>
              </w:rPr>
            </w:pPr>
            <w:r>
              <w:rPr>
                <w:color w:val="000000"/>
                <w:sz w:val="22"/>
                <w:szCs w:val="22"/>
              </w:rPr>
              <w:t>6.60 (3.97)</w:t>
            </w:r>
          </w:p>
        </w:tc>
      </w:tr>
      <w:tr w:rsidR="00A24B30" w14:paraId="7DAB70E2"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9C82B"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4E40DD48" w14:textId="77777777" w:rsidR="00A24B30" w:rsidRDefault="00A24B30">
            <w:pPr>
              <w:rPr>
                <w:sz w:val="22"/>
                <w:szCs w:val="22"/>
              </w:rPr>
            </w:pPr>
            <w:r>
              <w:rPr>
                <w:sz w:val="22"/>
                <w:szCs w:val="22"/>
              </w:rPr>
              <w:t>75+</w:t>
            </w:r>
          </w:p>
        </w:tc>
        <w:tc>
          <w:tcPr>
            <w:tcW w:w="2083" w:type="dxa"/>
            <w:tcBorders>
              <w:top w:val="single" w:sz="4" w:space="0" w:color="auto"/>
              <w:left w:val="single" w:sz="4" w:space="0" w:color="auto"/>
              <w:bottom w:val="single" w:sz="4" w:space="0" w:color="auto"/>
              <w:right w:val="single" w:sz="4" w:space="0" w:color="auto"/>
            </w:tcBorders>
            <w:vAlign w:val="bottom"/>
            <w:hideMark/>
          </w:tcPr>
          <w:p w14:paraId="2975EDD2" w14:textId="77777777" w:rsidR="00A24B30" w:rsidRDefault="00A24B30">
            <w:pPr>
              <w:rPr>
                <w:sz w:val="22"/>
                <w:szCs w:val="22"/>
              </w:rPr>
            </w:pPr>
            <w:r>
              <w:rPr>
                <w:color w:val="000000"/>
                <w:sz w:val="22"/>
                <w:szCs w:val="22"/>
              </w:rPr>
              <w:t>0.36 (0.24, 0.56)</w:t>
            </w:r>
          </w:p>
        </w:tc>
        <w:tc>
          <w:tcPr>
            <w:tcW w:w="2029" w:type="dxa"/>
            <w:tcBorders>
              <w:top w:val="single" w:sz="4" w:space="0" w:color="auto"/>
              <w:left w:val="single" w:sz="4" w:space="0" w:color="auto"/>
              <w:bottom w:val="single" w:sz="4" w:space="0" w:color="auto"/>
              <w:right w:val="single" w:sz="4" w:space="0" w:color="auto"/>
            </w:tcBorders>
            <w:hideMark/>
          </w:tcPr>
          <w:p w14:paraId="2C3162E3" w14:textId="77777777" w:rsidR="00A24B30" w:rsidRDefault="00A24B30">
            <w:pPr>
              <w:rPr>
                <w:color w:val="000000"/>
                <w:sz w:val="22"/>
                <w:szCs w:val="22"/>
              </w:rPr>
            </w:pPr>
            <w:r>
              <w:rPr>
                <w:color w:val="000000"/>
                <w:sz w:val="22"/>
                <w:szCs w:val="22"/>
              </w:rPr>
              <w:t>5.00 (2.97)</w:t>
            </w:r>
          </w:p>
        </w:tc>
      </w:tr>
      <w:tr w:rsidR="00A24B30" w14:paraId="38380DAE" w14:textId="77777777" w:rsidTr="00A24B30">
        <w:trPr>
          <w:cantSplit/>
        </w:trPr>
        <w:tc>
          <w:tcPr>
            <w:tcW w:w="1528" w:type="dxa"/>
            <w:vMerge w:val="restart"/>
            <w:tcBorders>
              <w:top w:val="single" w:sz="4" w:space="0" w:color="auto"/>
              <w:left w:val="single" w:sz="4" w:space="0" w:color="auto"/>
              <w:bottom w:val="single" w:sz="4" w:space="0" w:color="auto"/>
              <w:right w:val="single" w:sz="4" w:space="0" w:color="auto"/>
            </w:tcBorders>
            <w:hideMark/>
          </w:tcPr>
          <w:p w14:paraId="351686D0" w14:textId="77777777" w:rsidR="00A24B30" w:rsidRDefault="00A24B30">
            <w:pPr>
              <w:rPr>
                <w:sz w:val="22"/>
                <w:szCs w:val="22"/>
              </w:rPr>
            </w:pPr>
            <w:r>
              <w:rPr>
                <w:sz w:val="22"/>
                <w:szCs w:val="22"/>
              </w:rPr>
              <w:t xml:space="preserve">MAIS3+* </w:t>
            </w:r>
          </w:p>
        </w:tc>
        <w:tc>
          <w:tcPr>
            <w:tcW w:w="1506" w:type="dxa"/>
            <w:tcBorders>
              <w:top w:val="single" w:sz="4" w:space="0" w:color="auto"/>
              <w:left w:val="single" w:sz="4" w:space="0" w:color="auto"/>
              <w:bottom w:val="single" w:sz="4" w:space="0" w:color="auto"/>
              <w:right w:val="single" w:sz="4" w:space="0" w:color="auto"/>
            </w:tcBorders>
            <w:hideMark/>
          </w:tcPr>
          <w:p w14:paraId="3C3EA504" w14:textId="77777777" w:rsidR="00A24B30" w:rsidRDefault="00A24B30">
            <w:pPr>
              <w:rPr>
                <w:sz w:val="22"/>
                <w:szCs w:val="22"/>
              </w:rPr>
            </w:pPr>
            <w:r>
              <w:rPr>
                <w:sz w:val="22"/>
                <w:szCs w:val="22"/>
              </w:rPr>
              <w:t>All</w:t>
            </w:r>
          </w:p>
        </w:tc>
        <w:tc>
          <w:tcPr>
            <w:tcW w:w="2083" w:type="dxa"/>
            <w:tcBorders>
              <w:top w:val="single" w:sz="4" w:space="0" w:color="auto"/>
              <w:left w:val="single" w:sz="4" w:space="0" w:color="auto"/>
              <w:bottom w:val="single" w:sz="4" w:space="0" w:color="auto"/>
              <w:right w:val="single" w:sz="4" w:space="0" w:color="auto"/>
            </w:tcBorders>
            <w:hideMark/>
          </w:tcPr>
          <w:p w14:paraId="4A4D60EC" w14:textId="77777777" w:rsidR="00A24B30" w:rsidRDefault="00A24B30">
            <w:pPr>
              <w:rPr>
                <w:color w:val="000000"/>
                <w:sz w:val="22"/>
                <w:szCs w:val="22"/>
              </w:rPr>
            </w:pPr>
            <w:r>
              <w:rPr>
                <w:color w:val="000000"/>
                <w:sz w:val="22"/>
                <w:szCs w:val="22"/>
              </w:rPr>
              <w:t>0.36 (0.33, 0.39)</w:t>
            </w:r>
          </w:p>
        </w:tc>
        <w:tc>
          <w:tcPr>
            <w:tcW w:w="2029" w:type="dxa"/>
            <w:tcBorders>
              <w:top w:val="single" w:sz="4" w:space="0" w:color="auto"/>
              <w:left w:val="single" w:sz="4" w:space="0" w:color="auto"/>
              <w:bottom w:val="single" w:sz="4" w:space="0" w:color="auto"/>
              <w:right w:val="single" w:sz="4" w:space="0" w:color="auto"/>
            </w:tcBorders>
            <w:hideMark/>
          </w:tcPr>
          <w:p w14:paraId="158C08BE" w14:textId="77777777" w:rsidR="00A24B30" w:rsidRDefault="00A24B30">
            <w:pPr>
              <w:rPr>
                <w:color w:val="000000"/>
                <w:sz w:val="22"/>
                <w:szCs w:val="22"/>
              </w:rPr>
            </w:pPr>
            <w:r>
              <w:rPr>
                <w:color w:val="000000"/>
                <w:sz w:val="22"/>
                <w:szCs w:val="22"/>
              </w:rPr>
              <w:t>5.00 (4.57)</w:t>
            </w:r>
          </w:p>
        </w:tc>
      </w:tr>
      <w:tr w:rsidR="00A24B30" w14:paraId="4AFE06F7"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AFF0"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79778152" w14:textId="77777777" w:rsidR="00A24B30" w:rsidRDefault="00A24B30">
            <w:pPr>
              <w:rPr>
                <w:sz w:val="22"/>
                <w:szCs w:val="22"/>
              </w:rPr>
            </w:pPr>
            <w:r>
              <w:rPr>
                <w:sz w:val="22"/>
                <w:szCs w:val="22"/>
              </w:rPr>
              <w:t>16-30</w:t>
            </w:r>
          </w:p>
        </w:tc>
        <w:tc>
          <w:tcPr>
            <w:tcW w:w="2083" w:type="dxa"/>
            <w:tcBorders>
              <w:top w:val="single" w:sz="4" w:space="0" w:color="auto"/>
              <w:left w:val="single" w:sz="4" w:space="0" w:color="auto"/>
              <w:bottom w:val="single" w:sz="4" w:space="0" w:color="auto"/>
              <w:right w:val="single" w:sz="4" w:space="0" w:color="auto"/>
            </w:tcBorders>
            <w:vAlign w:val="bottom"/>
            <w:hideMark/>
          </w:tcPr>
          <w:p w14:paraId="78A91FA5" w14:textId="77777777" w:rsidR="00A24B30" w:rsidRDefault="00A24B30">
            <w:pPr>
              <w:rPr>
                <w:color w:val="000000"/>
                <w:sz w:val="22"/>
                <w:szCs w:val="22"/>
              </w:rPr>
            </w:pPr>
            <w:r>
              <w:rPr>
                <w:color w:val="000000"/>
                <w:sz w:val="22"/>
                <w:szCs w:val="22"/>
              </w:rPr>
              <w:t>0.34 (0.31, 0.39)</w:t>
            </w:r>
          </w:p>
        </w:tc>
        <w:tc>
          <w:tcPr>
            <w:tcW w:w="2029" w:type="dxa"/>
            <w:tcBorders>
              <w:top w:val="single" w:sz="4" w:space="0" w:color="auto"/>
              <w:left w:val="single" w:sz="4" w:space="0" w:color="auto"/>
              <w:bottom w:val="single" w:sz="4" w:space="0" w:color="auto"/>
              <w:right w:val="single" w:sz="4" w:space="0" w:color="auto"/>
            </w:tcBorders>
            <w:hideMark/>
          </w:tcPr>
          <w:p w14:paraId="0B2FFCB3" w14:textId="77777777" w:rsidR="00A24B30" w:rsidRDefault="00A24B30">
            <w:pPr>
              <w:rPr>
                <w:color w:val="000000"/>
                <w:sz w:val="22"/>
                <w:szCs w:val="22"/>
              </w:rPr>
            </w:pPr>
            <w:r>
              <w:rPr>
                <w:color w:val="000000"/>
                <w:sz w:val="22"/>
                <w:szCs w:val="22"/>
              </w:rPr>
              <w:t>5.33 (4.57)</w:t>
            </w:r>
          </w:p>
        </w:tc>
      </w:tr>
      <w:tr w:rsidR="00A24B30" w14:paraId="275392D7"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E0474"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47DD9DFF" w14:textId="77777777" w:rsidR="00A24B30" w:rsidRDefault="00A24B30">
            <w:pPr>
              <w:rPr>
                <w:sz w:val="22"/>
                <w:szCs w:val="22"/>
              </w:rPr>
            </w:pPr>
            <w:r>
              <w:rPr>
                <w:sz w:val="22"/>
                <w:szCs w:val="22"/>
              </w:rPr>
              <w:t>31-49</w:t>
            </w:r>
          </w:p>
        </w:tc>
        <w:tc>
          <w:tcPr>
            <w:tcW w:w="2083" w:type="dxa"/>
            <w:tcBorders>
              <w:top w:val="single" w:sz="4" w:space="0" w:color="auto"/>
              <w:left w:val="single" w:sz="4" w:space="0" w:color="auto"/>
              <w:bottom w:val="single" w:sz="4" w:space="0" w:color="auto"/>
              <w:right w:val="single" w:sz="4" w:space="0" w:color="auto"/>
            </w:tcBorders>
            <w:vAlign w:val="bottom"/>
            <w:hideMark/>
          </w:tcPr>
          <w:p w14:paraId="1C0320E5" w14:textId="77777777" w:rsidR="00A24B30" w:rsidRDefault="00A24B30">
            <w:pPr>
              <w:rPr>
                <w:color w:val="000000"/>
                <w:sz w:val="22"/>
                <w:szCs w:val="22"/>
              </w:rPr>
            </w:pPr>
            <w:r>
              <w:rPr>
                <w:color w:val="000000"/>
                <w:sz w:val="22"/>
                <w:szCs w:val="22"/>
              </w:rPr>
              <w:t>0.36 (0.31, 0.42)</w:t>
            </w:r>
          </w:p>
        </w:tc>
        <w:tc>
          <w:tcPr>
            <w:tcW w:w="2029" w:type="dxa"/>
            <w:tcBorders>
              <w:top w:val="single" w:sz="4" w:space="0" w:color="auto"/>
              <w:left w:val="single" w:sz="4" w:space="0" w:color="auto"/>
              <w:bottom w:val="single" w:sz="4" w:space="0" w:color="auto"/>
              <w:right w:val="single" w:sz="4" w:space="0" w:color="auto"/>
            </w:tcBorders>
            <w:hideMark/>
          </w:tcPr>
          <w:p w14:paraId="3F11C230" w14:textId="77777777" w:rsidR="00A24B30" w:rsidRDefault="00A24B30">
            <w:pPr>
              <w:rPr>
                <w:color w:val="000000"/>
                <w:sz w:val="22"/>
                <w:szCs w:val="22"/>
              </w:rPr>
            </w:pPr>
            <w:r>
              <w:rPr>
                <w:color w:val="000000"/>
                <w:sz w:val="22"/>
                <w:szCs w:val="22"/>
              </w:rPr>
              <w:t>5.00 (4.19)</w:t>
            </w:r>
          </w:p>
        </w:tc>
      </w:tr>
      <w:tr w:rsidR="00A24B30" w14:paraId="691DC9CC"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50F0E"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2A8F7AD5" w14:textId="77777777" w:rsidR="00A24B30" w:rsidRDefault="00A24B30">
            <w:pPr>
              <w:rPr>
                <w:sz w:val="22"/>
                <w:szCs w:val="22"/>
              </w:rPr>
            </w:pPr>
            <w:r>
              <w:rPr>
                <w:sz w:val="22"/>
                <w:szCs w:val="22"/>
              </w:rPr>
              <w:t>50-64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5D6802B0" w14:textId="77777777" w:rsidR="00A24B30" w:rsidRDefault="00A24B30">
            <w:pPr>
              <w:rPr>
                <w:color w:val="000000"/>
                <w:sz w:val="22"/>
                <w:szCs w:val="22"/>
              </w:rPr>
            </w:pPr>
            <w:r>
              <w:rPr>
                <w:color w:val="000000"/>
                <w:sz w:val="22"/>
                <w:szCs w:val="22"/>
              </w:rPr>
              <w:t>0.37 (0.31, 0.45)</w:t>
            </w:r>
          </w:p>
        </w:tc>
        <w:tc>
          <w:tcPr>
            <w:tcW w:w="2029" w:type="dxa"/>
            <w:tcBorders>
              <w:top w:val="single" w:sz="4" w:space="0" w:color="auto"/>
              <w:left w:val="single" w:sz="4" w:space="0" w:color="auto"/>
              <w:bottom w:val="single" w:sz="4" w:space="0" w:color="auto"/>
              <w:right w:val="single" w:sz="4" w:space="0" w:color="auto"/>
            </w:tcBorders>
            <w:hideMark/>
          </w:tcPr>
          <w:p w14:paraId="7A3BF473" w14:textId="77777777" w:rsidR="00A24B30" w:rsidRDefault="00A24B30">
            <w:pPr>
              <w:rPr>
                <w:color w:val="000000"/>
                <w:sz w:val="22"/>
                <w:szCs w:val="22"/>
              </w:rPr>
            </w:pPr>
            <w:r>
              <w:rPr>
                <w:color w:val="000000"/>
                <w:sz w:val="22"/>
                <w:szCs w:val="22"/>
              </w:rPr>
              <w:t>4.85 (3.87)</w:t>
            </w:r>
          </w:p>
        </w:tc>
      </w:tr>
      <w:tr w:rsidR="00A24B30" w14:paraId="6680FF4F"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39836"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6E83282E" w14:textId="77777777" w:rsidR="00A24B30" w:rsidRDefault="00A24B30">
            <w:pPr>
              <w:rPr>
                <w:sz w:val="22"/>
                <w:szCs w:val="22"/>
              </w:rPr>
            </w:pPr>
            <w:r>
              <w:rPr>
                <w:sz w:val="22"/>
                <w:szCs w:val="22"/>
              </w:rPr>
              <w:t>65-74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38A96160" w14:textId="77777777" w:rsidR="00A24B30" w:rsidRDefault="00A24B30">
            <w:pPr>
              <w:rPr>
                <w:color w:val="000000"/>
                <w:sz w:val="22"/>
                <w:szCs w:val="22"/>
              </w:rPr>
            </w:pPr>
            <w:r>
              <w:rPr>
                <w:color w:val="000000"/>
                <w:sz w:val="22"/>
                <w:szCs w:val="22"/>
              </w:rPr>
              <w:t>0.45 (0.33, 0.61)</w:t>
            </w:r>
          </w:p>
        </w:tc>
        <w:tc>
          <w:tcPr>
            <w:tcW w:w="2029" w:type="dxa"/>
            <w:tcBorders>
              <w:top w:val="single" w:sz="4" w:space="0" w:color="auto"/>
              <w:left w:val="single" w:sz="4" w:space="0" w:color="auto"/>
              <w:bottom w:val="single" w:sz="4" w:space="0" w:color="auto"/>
              <w:right w:val="single" w:sz="4" w:space="0" w:color="auto"/>
            </w:tcBorders>
            <w:hideMark/>
          </w:tcPr>
          <w:p w14:paraId="550972AB" w14:textId="77777777" w:rsidR="00A24B30" w:rsidRDefault="00A24B30">
            <w:pPr>
              <w:rPr>
                <w:color w:val="000000"/>
                <w:sz w:val="22"/>
                <w:szCs w:val="22"/>
              </w:rPr>
            </w:pPr>
            <w:r>
              <w:rPr>
                <w:color w:val="000000"/>
                <w:sz w:val="22"/>
                <w:szCs w:val="22"/>
              </w:rPr>
              <w:t>3.87 (2.66)</w:t>
            </w:r>
          </w:p>
        </w:tc>
      </w:tr>
      <w:tr w:rsidR="00A24B30" w14:paraId="67A5E060"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F56D5"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1643211E" w14:textId="77777777" w:rsidR="00A24B30" w:rsidRDefault="00A24B30">
            <w:pPr>
              <w:rPr>
                <w:sz w:val="22"/>
                <w:szCs w:val="22"/>
              </w:rPr>
            </w:pPr>
            <w:r>
              <w:rPr>
                <w:sz w:val="22"/>
                <w:szCs w:val="22"/>
              </w:rPr>
              <w:t>75+</w:t>
            </w:r>
          </w:p>
        </w:tc>
        <w:tc>
          <w:tcPr>
            <w:tcW w:w="2083" w:type="dxa"/>
            <w:tcBorders>
              <w:top w:val="single" w:sz="4" w:space="0" w:color="auto"/>
              <w:left w:val="single" w:sz="4" w:space="0" w:color="auto"/>
              <w:bottom w:val="single" w:sz="4" w:space="0" w:color="auto"/>
              <w:right w:val="single" w:sz="4" w:space="0" w:color="auto"/>
            </w:tcBorders>
            <w:vAlign w:val="bottom"/>
            <w:hideMark/>
          </w:tcPr>
          <w:p w14:paraId="285A3991" w14:textId="77777777" w:rsidR="00A24B30" w:rsidRDefault="00A24B30">
            <w:pPr>
              <w:rPr>
                <w:color w:val="000000"/>
                <w:sz w:val="22"/>
                <w:szCs w:val="22"/>
              </w:rPr>
            </w:pPr>
            <w:r>
              <w:rPr>
                <w:color w:val="000000"/>
                <w:sz w:val="22"/>
                <w:szCs w:val="22"/>
              </w:rPr>
              <w:t>0.64 (0.47, 0.89)</w:t>
            </w:r>
          </w:p>
        </w:tc>
        <w:tc>
          <w:tcPr>
            <w:tcW w:w="2029" w:type="dxa"/>
            <w:tcBorders>
              <w:top w:val="single" w:sz="4" w:space="0" w:color="auto"/>
              <w:left w:val="single" w:sz="4" w:space="0" w:color="auto"/>
              <w:bottom w:val="single" w:sz="4" w:space="0" w:color="auto"/>
              <w:right w:val="single" w:sz="4" w:space="0" w:color="auto"/>
            </w:tcBorders>
            <w:hideMark/>
          </w:tcPr>
          <w:p w14:paraId="285F35F6" w14:textId="77777777" w:rsidR="00A24B30" w:rsidRDefault="00A24B30">
            <w:pPr>
              <w:rPr>
                <w:color w:val="000000"/>
                <w:sz w:val="22"/>
                <w:szCs w:val="22"/>
              </w:rPr>
            </w:pPr>
            <w:r>
              <w:rPr>
                <w:color w:val="000000"/>
                <w:sz w:val="22"/>
                <w:szCs w:val="22"/>
              </w:rPr>
              <w:t>2.50 (1.50)</w:t>
            </w:r>
          </w:p>
        </w:tc>
      </w:tr>
      <w:tr w:rsidR="00A24B30" w14:paraId="6E4E4DA3" w14:textId="77777777" w:rsidTr="00A24B30">
        <w:trPr>
          <w:cantSplit/>
          <w:trHeight w:val="223"/>
        </w:trPr>
        <w:tc>
          <w:tcPr>
            <w:tcW w:w="1528" w:type="dxa"/>
            <w:vMerge w:val="restart"/>
            <w:tcBorders>
              <w:top w:val="single" w:sz="4" w:space="0" w:color="auto"/>
              <w:left w:val="single" w:sz="4" w:space="0" w:color="auto"/>
              <w:bottom w:val="single" w:sz="4" w:space="0" w:color="auto"/>
              <w:right w:val="single" w:sz="4" w:space="0" w:color="auto"/>
            </w:tcBorders>
            <w:hideMark/>
          </w:tcPr>
          <w:p w14:paraId="619DC40D" w14:textId="77777777" w:rsidR="00A24B30" w:rsidRDefault="00A24B30">
            <w:pPr>
              <w:rPr>
                <w:sz w:val="22"/>
                <w:szCs w:val="22"/>
              </w:rPr>
            </w:pPr>
            <w:r>
              <w:rPr>
                <w:sz w:val="22"/>
                <w:szCs w:val="22"/>
              </w:rPr>
              <w:t>Torso Injury</w:t>
            </w:r>
          </w:p>
        </w:tc>
        <w:tc>
          <w:tcPr>
            <w:tcW w:w="1506" w:type="dxa"/>
            <w:tcBorders>
              <w:top w:val="single" w:sz="4" w:space="0" w:color="auto"/>
              <w:left w:val="single" w:sz="4" w:space="0" w:color="auto"/>
              <w:bottom w:val="single" w:sz="4" w:space="0" w:color="auto"/>
              <w:right w:val="single" w:sz="4" w:space="0" w:color="auto"/>
            </w:tcBorders>
            <w:hideMark/>
          </w:tcPr>
          <w:p w14:paraId="7C770641" w14:textId="77777777" w:rsidR="00A24B30" w:rsidRDefault="00A24B30">
            <w:pPr>
              <w:rPr>
                <w:sz w:val="22"/>
                <w:szCs w:val="22"/>
              </w:rPr>
            </w:pPr>
            <w:r>
              <w:rPr>
                <w:sz w:val="22"/>
                <w:szCs w:val="22"/>
              </w:rPr>
              <w:t>All</w:t>
            </w:r>
          </w:p>
        </w:tc>
        <w:tc>
          <w:tcPr>
            <w:tcW w:w="2083" w:type="dxa"/>
            <w:tcBorders>
              <w:top w:val="single" w:sz="4" w:space="0" w:color="auto"/>
              <w:left w:val="single" w:sz="4" w:space="0" w:color="auto"/>
              <w:bottom w:val="single" w:sz="4" w:space="0" w:color="auto"/>
              <w:right w:val="single" w:sz="4" w:space="0" w:color="auto"/>
            </w:tcBorders>
            <w:hideMark/>
          </w:tcPr>
          <w:p w14:paraId="7D37DC27" w14:textId="77777777" w:rsidR="00A24B30" w:rsidRDefault="00A24B30">
            <w:pPr>
              <w:rPr>
                <w:color w:val="000000"/>
                <w:sz w:val="22"/>
                <w:szCs w:val="22"/>
              </w:rPr>
            </w:pPr>
            <w:r>
              <w:rPr>
                <w:color w:val="000000"/>
                <w:sz w:val="22"/>
                <w:szCs w:val="22"/>
              </w:rPr>
              <w:t>0.84 (0.80, 0.89)</w:t>
            </w:r>
          </w:p>
        </w:tc>
        <w:tc>
          <w:tcPr>
            <w:tcW w:w="2029" w:type="dxa"/>
            <w:tcBorders>
              <w:top w:val="single" w:sz="4" w:space="0" w:color="auto"/>
              <w:left w:val="single" w:sz="4" w:space="0" w:color="auto"/>
              <w:bottom w:val="single" w:sz="4" w:space="0" w:color="auto"/>
              <w:right w:val="single" w:sz="4" w:space="0" w:color="auto"/>
            </w:tcBorders>
            <w:hideMark/>
          </w:tcPr>
          <w:p w14:paraId="6305BDC6" w14:textId="77777777" w:rsidR="00A24B30" w:rsidRDefault="00A24B30">
            <w:pPr>
              <w:rPr>
                <w:color w:val="000000"/>
                <w:sz w:val="22"/>
                <w:szCs w:val="22"/>
              </w:rPr>
            </w:pPr>
            <w:r>
              <w:rPr>
                <w:color w:val="000000"/>
                <w:sz w:val="22"/>
                <w:szCs w:val="22"/>
              </w:rPr>
              <w:t>1.67 (1.50)</w:t>
            </w:r>
          </w:p>
        </w:tc>
      </w:tr>
      <w:tr w:rsidR="00A24B30" w14:paraId="40283B3E"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557F5"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610C21A7" w14:textId="77777777" w:rsidR="00A24B30" w:rsidRDefault="00A24B30">
            <w:pPr>
              <w:rPr>
                <w:sz w:val="22"/>
                <w:szCs w:val="22"/>
              </w:rPr>
            </w:pPr>
            <w:r>
              <w:rPr>
                <w:sz w:val="22"/>
                <w:szCs w:val="22"/>
              </w:rPr>
              <w:t>16-30</w:t>
            </w:r>
          </w:p>
        </w:tc>
        <w:tc>
          <w:tcPr>
            <w:tcW w:w="2083" w:type="dxa"/>
            <w:tcBorders>
              <w:top w:val="single" w:sz="4" w:space="0" w:color="auto"/>
              <w:left w:val="single" w:sz="4" w:space="0" w:color="auto"/>
              <w:bottom w:val="single" w:sz="4" w:space="0" w:color="auto"/>
              <w:right w:val="single" w:sz="4" w:space="0" w:color="auto"/>
            </w:tcBorders>
            <w:vAlign w:val="bottom"/>
            <w:hideMark/>
          </w:tcPr>
          <w:p w14:paraId="2973E0BB" w14:textId="77777777" w:rsidR="00A24B30" w:rsidRDefault="00A24B30">
            <w:pPr>
              <w:rPr>
                <w:color w:val="000000"/>
                <w:sz w:val="22"/>
                <w:szCs w:val="22"/>
              </w:rPr>
            </w:pPr>
            <w:r>
              <w:rPr>
                <w:color w:val="000000"/>
                <w:sz w:val="22"/>
                <w:szCs w:val="22"/>
              </w:rPr>
              <w:t>0.81 (0.76, 0.87)</w:t>
            </w:r>
          </w:p>
        </w:tc>
        <w:tc>
          <w:tcPr>
            <w:tcW w:w="2029" w:type="dxa"/>
            <w:tcBorders>
              <w:top w:val="single" w:sz="4" w:space="0" w:color="auto"/>
              <w:left w:val="single" w:sz="4" w:space="0" w:color="auto"/>
              <w:bottom w:val="single" w:sz="4" w:space="0" w:color="auto"/>
              <w:right w:val="single" w:sz="4" w:space="0" w:color="auto"/>
            </w:tcBorders>
            <w:hideMark/>
          </w:tcPr>
          <w:p w14:paraId="5D813056" w14:textId="77777777" w:rsidR="00A24B30" w:rsidRDefault="00A24B30">
            <w:pPr>
              <w:rPr>
                <w:color w:val="000000"/>
                <w:sz w:val="22"/>
                <w:szCs w:val="22"/>
              </w:rPr>
            </w:pPr>
            <w:r>
              <w:rPr>
                <w:color w:val="000000"/>
                <w:sz w:val="22"/>
                <w:szCs w:val="22"/>
              </w:rPr>
              <w:t>1.77 (1.56)</w:t>
            </w:r>
          </w:p>
        </w:tc>
      </w:tr>
      <w:tr w:rsidR="00A24B30" w14:paraId="306E82C4"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597DB"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544FA0B2" w14:textId="77777777" w:rsidR="00A24B30" w:rsidRDefault="00A24B30">
            <w:pPr>
              <w:rPr>
                <w:sz w:val="22"/>
                <w:szCs w:val="22"/>
              </w:rPr>
            </w:pPr>
            <w:r>
              <w:rPr>
                <w:sz w:val="22"/>
                <w:szCs w:val="22"/>
              </w:rPr>
              <w:t>31-49</w:t>
            </w:r>
          </w:p>
        </w:tc>
        <w:tc>
          <w:tcPr>
            <w:tcW w:w="2083" w:type="dxa"/>
            <w:tcBorders>
              <w:top w:val="single" w:sz="4" w:space="0" w:color="auto"/>
              <w:left w:val="single" w:sz="4" w:space="0" w:color="auto"/>
              <w:bottom w:val="single" w:sz="4" w:space="0" w:color="auto"/>
              <w:right w:val="single" w:sz="4" w:space="0" w:color="auto"/>
            </w:tcBorders>
            <w:vAlign w:val="bottom"/>
            <w:hideMark/>
          </w:tcPr>
          <w:p w14:paraId="0DD4BB56" w14:textId="77777777" w:rsidR="00A24B30" w:rsidRDefault="00A24B30">
            <w:pPr>
              <w:rPr>
                <w:color w:val="000000"/>
                <w:sz w:val="22"/>
                <w:szCs w:val="22"/>
              </w:rPr>
            </w:pPr>
            <w:r>
              <w:rPr>
                <w:color w:val="000000"/>
                <w:sz w:val="22"/>
                <w:szCs w:val="22"/>
              </w:rPr>
              <w:t>0.81 (0.75, 0.88)</w:t>
            </w:r>
          </w:p>
        </w:tc>
        <w:tc>
          <w:tcPr>
            <w:tcW w:w="2029" w:type="dxa"/>
            <w:tcBorders>
              <w:top w:val="single" w:sz="4" w:space="0" w:color="auto"/>
              <w:left w:val="single" w:sz="4" w:space="0" w:color="auto"/>
              <w:bottom w:val="single" w:sz="4" w:space="0" w:color="auto"/>
              <w:right w:val="single" w:sz="4" w:space="0" w:color="auto"/>
            </w:tcBorders>
            <w:hideMark/>
          </w:tcPr>
          <w:p w14:paraId="35239095" w14:textId="77777777" w:rsidR="00A24B30" w:rsidRDefault="00A24B30">
            <w:pPr>
              <w:rPr>
                <w:color w:val="000000"/>
                <w:sz w:val="22"/>
                <w:szCs w:val="22"/>
              </w:rPr>
            </w:pPr>
            <w:r>
              <w:rPr>
                <w:color w:val="000000"/>
                <w:sz w:val="22"/>
                <w:szCs w:val="22"/>
              </w:rPr>
              <w:t>1.77 (1.53)</w:t>
            </w:r>
          </w:p>
        </w:tc>
      </w:tr>
      <w:tr w:rsidR="00A24B30" w14:paraId="08496D9D"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B5C7E"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55380598" w14:textId="77777777" w:rsidR="00A24B30" w:rsidRDefault="00A24B30">
            <w:pPr>
              <w:rPr>
                <w:sz w:val="22"/>
                <w:szCs w:val="22"/>
              </w:rPr>
            </w:pPr>
            <w:r>
              <w:rPr>
                <w:sz w:val="22"/>
                <w:szCs w:val="22"/>
              </w:rPr>
              <w:t>50-64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613B7E6B" w14:textId="77777777" w:rsidR="00A24B30" w:rsidRDefault="00A24B30">
            <w:pPr>
              <w:rPr>
                <w:color w:val="000000"/>
                <w:sz w:val="22"/>
                <w:szCs w:val="22"/>
              </w:rPr>
            </w:pPr>
            <w:r>
              <w:rPr>
                <w:color w:val="000000"/>
                <w:sz w:val="22"/>
                <w:szCs w:val="22"/>
              </w:rPr>
              <w:t>0.88 (0.79, 0.99)</w:t>
            </w:r>
          </w:p>
        </w:tc>
        <w:tc>
          <w:tcPr>
            <w:tcW w:w="2029" w:type="dxa"/>
            <w:tcBorders>
              <w:top w:val="single" w:sz="4" w:space="0" w:color="auto"/>
              <w:left w:val="single" w:sz="4" w:space="0" w:color="auto"/>
              <w:bottom w:val="single" w:sz="4" w:space="0" w:color="auto"/>
              <w:right w:val="single" w:sz="4" w:space="0" w:color="auto"/>
            </w:tcBorders>
            <w:hideMark/>
          </w:tcPr>
          <w:p w14:paraId="426DC5C8" w14:textId="77777777" w:rsidR="00A24B30" w:rsidRDefault="00A24B30">
            <w:pPr>
              <w:rPr>
                <w:color w:val="000000"/>
                <w:sz w:val="22"/>
                <w:szCs w:val="22"/>
              </w:rPr>
            </w:pPr>
            <w:r>
              <w:rPr>
                <w:color w:val="000000"/>
                <w:sz w:val="22"/>
                <w:szCs w:val="22"/>
              </w:rPr>
              <w:t>1.53 (1.11)</w:t>
            </w:r>
          </w:p>
        </w:tc>
      </w:tr>
      <w:tr w:rsidR="00A24B30" w14:paraId="7B9D9DF2" w14:textId="77777777" w:rsidTr="00A24B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EDF5B"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63CB45D4" w14:textId="77777777" w:rsidR="00A24B30" w:rsidRDefault="00A24B30">
            <w:pPr>
              <w:rPr>
                <w:sz w:val="22"/>
                <w:szCs w:val="22"/>
              </w:rPr>
            </w:pPr>
            <w:r>
              <w:rPr>
                <w:sz w:val="22"/>
                <w:szCs w:val="22"/>
              </w:rPr>
              <w:t>65-74</w:t>
            </w:r>
          </w:p>
        </w:tc>
        <w:tc>
          <w:tcPr>
            <w:tcW w:w="2083" w:type="dxa"/>
            <w:tcBorders>
              <w:top w:val="single" w:sz="4" w:space="0" w:color="auto"/>
              <w:left w:val="single" w:sz="4" w:space="0" w:color="auto"/>
              <w:bottom w:val="single" w:sz="4" w:space="0" w:color="auto"/>
              <w:right w:val="single" w:sz="4" w:space="0" w:color="auto"/>
            </w:tcBorders>
            <w:vAlign w:val="bottom"/>
            <w:hideMark/>
          </w:tcPr>
          <w:p w14:paraId="0842B075" w14:textId="77777777" w:rsidR="00A24B30" w:rsidRDefault="00A24B30">
            <w:pPr>
              <w:rPr>
                <w:color w:val="000000"/>
                <w:sz w:val="22"/>
                <w:szCs w:val="22"/>
              </w:rPr>
            </w:pPr>
            <w:r>
              <w:rPr>
                <w:color w:val="000000"/>
                <w:sz w:val="22"/>
                <w:szCs w:val="22"/>
              </w:rPr>
              <w:t>0.94 (0.76, 1.17)</w:t>
            </w:r>
          </w:p>
        </w:tc>
        <w:tc>
          <w:tcPr>
            <w:tcW w:w="2029" w:type="dxa"/>
            <w:tcBorders>
              <w:top w:val="single" w:sz="4" w:space="0" w:color="auto"/>
              <w:left w:val="single" w:sz="4" w:space="0" w:color="auto"/>
              <w:bottom w:val="single" w:sz="4" w:space="0" w:color="auto"/>
              <w:right w:val="single" w:sz="4" w:space="0" w:color="auto"/>
            </w:tcBorders>
            <w:hideMark/>
          </w:tcPr>
          <w:p w14:paraId="01783533" w14:textId="77777777" w:rsidR="00A24B30" w:rsidRDefault="00A24B30">
            <w:pPr>
              <w:rPr>
                <w:color w:val="000000"/>
                <w:sz w:val="22"/>
                <w:szCs w:val="22"/>
              </w:rPr>
            </w:pPr>
            <w:r>
              <w:rPr>
                <w:color w:val="000000"/>
                <w:sz w:val="22"/>
                <w:szCs w:val="22"/>
              </w:rPr>
              <w:t>NA</w:t>
            </w:r>
          </w:p>
        </w:tc>
      </w:tr>
      <w:tr w:rsidR="00A24B30" w14:paraId="7092D5FB" w14:textId="77777777" w:rsidTr="00A24B30">
        <w:trPr>
          <w:cantSplit/>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14480" w14:textId="77777777" w:rsidR="00A24B30" w:rsidRDefault="00A24B30">
            <w:pPr>
              <w:rPr>
                <w:sz w:val="22"/>
                <w:szCs w:val="22"/>
              </w:rPr>
            </w:pPr>
          </w:p>
        </w:tc>
        <w:tc>
          <w:tcPr>
            <w:tcW w:w="1506" w:type="dxa"/>
            <w:tcBorders>
              <w:top w:val="single" w:sz="4" w:space="0" w:color="auto"/>
              <w:left w:val="single" w:sz="4" w:space="0" w:color="auto"/>
              <w:bottom w:val="single" w:sz="4" w:space="0" w:color="auto"/>
              <w:right w:val="single" w:sz="4" w:space="0" w:color="auto"/>
            </w:tcBorders>
            <w:hideMark/>
          </w:tcPr>
          <w:p w14:paraId="596DC3FB" w14:textId="77777777" w:rsidR="00A24B30" w:rsidRDefault="00A24B30">
            <w:pPr>
              <w:rPr>
                <w:sz w:val="22"/>
                <w:szCs w:val="22"/>
              </w:rPr>
            </w:pPr>
            <w:r>
              <w:rPr>
                <w:sz w:val="22"/>
                <w:szCs w:val="22"/>
              </w:rPr>
              <w:t>75+</w:t>
            </w:r>
          </w:p>
        </w:tc>
        <w:tc>
          <w:tcPr>
            <w:tcW w:w="2083" w:type="dxa"/>
            <w:tcBorders>
              <w:top w:val="single" w:sz="4" w:space="0" w:color="auto"/>
              <w:left w:val="single" w:sz="4" w:space="0" w:color="auto"/>
              <w:bottom w:val="single" w:sz="4" w:space="0" w:color="auto"/>
              <w:right w:val="single" w:sz="4" w:space="0" w:color="auto"/>
            </w:tcBorders>
            <w:vAlign w:val="bottom"/>
            <w:hideMark/>
          </w:tcPr>
          <w:p w14:paraId="63045A16" w14:textId="77777777" w:rsidR="00A24B30" w:rsidRDefault="00A24B30">
            <w:pPr>
              <w:rPr>
                <w:color w:val="000000"/>
                <w:sz w:val="22"/>
                <w:szCs w:val="22"/>
              </w:rPr>
            </w:pPr>
            <w:r>
              <w:rPr>
                <w:color w:val="000000"/>
                <w:sz w:val="22"/>
                <w:szCs w:val="22"/>
              </w:rPr>
              <w:t>1.08 (0.85, 1.37)</w:t>
            </w:r>
          </w:p>
        </w:tc>
        <w:tc>
          <w:tcPr>
            <w:tcW w:w="2029" w:type="dxa"/>
            <w:tcBorders>
              <w:top w:val="single" w:sz="4" w:space="0" w:color="auto"/>
              <w:left w:val="single" w:sz="4" w:space="0" w:color="auto"/>
              <w:bottom w:val="single" w:sz="4" w:space="0" w:color="auto"/>
              <w:right w:val="single" w:sz="4" w:space="0" w:color="auto"/>
            </w:tcBorders>
            <w:hideMark/>
          </w:tcPr>
          <w:p w14:paraId="3900D908" w14:textId="77777777" w:rsidR="00A24B30" w:rsidRDefault="00A24B30">
            <w:pPr>
              <w:rPr>
                <w:color w:val="000000"/>
                <w:sz w:val="22"/>
                <w:szCs w:val="22"/>
              </w:rPr>
            </w:pPr>
            <w:r>
              <w:rPr>
                <w:color w:val="000000"/>
                <w:sz w:val="22"/>
                <w:szCs w:val="22"/>
              </w:rPr>
              <w:t>NA</w:t>
            </w:r>
          </w:p>
        </w:tc>
      </w:tr>
    </w:tbl>
    <w:p w14:paraId="34B13838" w14:textId="5D8FA08F" w:rsidR="0020573D" w:rsidRDefault="00A24B30">
      <w:pPr>
        <w:rPr>
          <w:sz w:val="22"/>
          <w:szCs w:val="22"/>
        </w:rPr>
      </w:pPr>
      <w:r>
        <w:rPr>
          <w:b/>
          <w:bCs/>
          <w:sz w:val="22"/>
          <w:szCs w:val="22"/>
        </w:rPr>
        <w:t>Table S2:</w:t>
      </w:r>
      <w:r>
        <w:rPr>
          <w:sz w:val="22"/>
          <w:szCs w:val="22"/>
        </w:rPr>
        <w:t xml:space="preserve"> Adjusted relative risks of fatal, MAIS3+, and torso injury associated with belt use for the full samples and broken up by age groups. E-values are provided in the right-most column, along with lower limits (the upper limit is infinity). Asterisks denote that there is age-based variability in the association between restraint use and the outcome.</w:t>
      </w:r>
    </w:p>
    <w:p w14:paraId="6A0F6949" w14:textId="77777777" w:rsidR="0020573D" w:rsidRDefault="0020573D">
      <w:pPr>
        <w:rPr>
          <w:sz w:val="22"/>
          <w:szCs w:val="22"/>
        </w:rPr>
      </w:pPr>
      <w:r>
        <w:rPr>
          <w:sz w:val="22"/>
          <w:szCs w:val="22"/>
        </w:rPr>
        <w:br w:type="page"/>
      </w:r>
    </w:p>
    <w:p w14:paraId="7AC37249" w14:textId="5B62FBD0" w:rsidR="0020573D" w:rsidRPr="0020573D" w:rsidRDefault="0020573D" w:rsidP="0020573D">
      <w:pPr>
        <w:pStyle w:val="EndNoteBibliography"/>
        <w:ind w:left="720" w:hanging="720"/>
        <w:rPr>
          <w:b/>
          <w:bCs/>
        </w:rPr>
      </w:pPr>
      <w:r>
        <w:rPr>
          <w:b/>
          <w:bCs/>
        </w:rPr>
        <w:lastRenderedPageBreak/>
        <w:t>REFERENCES</w:t>
      </w:r>
    </w:p>
    <w:p w14:paraId="68A6FE4B" w14:textId="77777777" w:rsidR="005F1103" w:rsidRPr="005F1103" w:rsidRDefault="0020573D" w:rsidP="005F1103">
      <w:pPr>
        <w:pStyle w:val="EndNoteBibliography"/>
        <w:spacing w:after="0"/>
        <w:ind w:left="720" w:hanging="720"/>
      </w:pPr>
      <w:r>
        <w:fldChar w:fldCharType="begin"/>
      </w:r>
      <w:r>
        <w:instrText xml:space="preserve"> ADDIN EN.REFLIST </w:instrText>
      </w:r>
      <w:r>
        <w:fldChar w:fldCharType="separate"/>
      </w:r>
      <w:r w:rsidR="005F1103" w:rsidRPr="005F1103">
        <w:t>1.</w:t>
      </w:r>
      <w:r w:rsidR="005F1103" w:rsidRPr="005F1103">
        <w:tab/>
        <w:t xml:space="preserve">VanderWeele, T.J. and P. Ding, </w:t>
      </w:r>
      <w:r w:rsidR="005F1103" w:rsidRPr="005F1103">
        <w:rPr>
          <w:i/>
        </w:rPr>
        <w:t>Sensitivity Analysis in Observational Research: Introducing the E-Value.</w:t>
      </w:r>
      <w:r w:rsidR="005F1103" w:rsidRPr="005F1103">
        <w:t xml:space="preserve"> Annals of Internal Medicine, 2017. </w:t>
      </w:r>
      <w:r w:rsidR="005F1103" w:rsidRPr="005F1103">
        <w:rPr>
          <w:b/>
        </w:rPr>
        <w:t>167</w:t>
      </w:r>
      <w:r w:rsidR="005F1103" w:rsidRPr="005F1103">
        <w:t>(4): p. 268-274.</w:t>
      </w:r>
    </w:p>
    <w:p w14:paraId="73311C6C" w14:textId="77777777" w:rsidR="005F1103" w:rsidRPr="005F1103" w:rsidRDefault="005F1103" w:rsidP="005F1103">
      <w:pPr>
        <w:pStyle w:val="EndNoteBibliography"/>
        <w:ind w:left="720" w:hanging="720"/>
      </w:pPr>
      <w:r w:rsidRPr="005F1103">
        <w:t>2.</w:t>
      </w:r>
      <w:r w:rsidRPr="005F1103">
        <w:tab/>
        <w:t xml:space="preserve">Greenland, S. and H. Morgenstern, </w:t>
      </w:r>
      <w:r w:rsidRPr="005F1103">
        <w:rPr>
          <w:i/>
        </w:rPr>
        <w:t>Confounding in Health Research.</w:t>
      </w:r>
      <w:r w:rsidRPr="005F1103">
        <w:t xml:space="preserve"> Annual Review of Public Health, 2001. </w:t>
      </w:r>
      <w:r w:rsidRPr="005F1103">
        <w:rPr>
          <w:b/>
        </w:rPr>
        <w:t>22</w:t>
      </w:r>
      <w:r w:rsidRPr="005F1103">
        <w:t>(1): p. 189-212.</w:t>
      </w:r>
    </w:p>
    <w:p w14:paraId="4F4D28A2" w14:textId="0005A254" w:rsidR="00A24B30" w:rsidRPr="00CF34F7" w:rsidRDefault="0020573D">
      <w:r>
        <w:fldChar w:fldCharType="end"/>
      </w:r>
    </w:p>
    <w:sectPr w:rsidR="00A24B30" w:rsidRPr="00CF34F7" w:rsidSect="0020573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5stxtxcrdsv3e2xvzvv5v0avrssdz0x0ew&quot;&gt;Older adult injury lib Copy&lt;record-ids&gt;&lt;item&gt;94&lt;/item&gt;&lt;item&gt;109&lt;/item&gt;&lt;/record-ids&gt;&lt;/item&gt;&lt;/Libraries&gt;"/>
  </w:docVars>
  <w:rsids>
    <w:rsidRoot w:val="008C74BC"/>
    <w:rsid w:val="00061E9C"/>
    <w:rsid w:val="00120F9F"/>
    <w:rsid w:val="001541B9"/>
    <w:rsid w:val="0020573D"/>
    <w:rsid w:val="003E72FD"/>
    <w:rsid w:val="00430016"/>
    <w:rsid w:val="004A1014"/>
    <w:rsid w:val="004A50FB"/>
    <w:rsid w:val="0058559D"/>
    <w:rsid w:val="005F1103"/>
    <w:rsid w:val="0066066D"/>
    <w:rsid w:val="00724625"/>
    <w:rsid w:val="007940A0"/>
    <w:rsid w:val="00896715"/>
    <w:rsid w:val="008C74BC"/>
    <w:rsid w:val="009F65DF"/>
    <w:rsid w:val="00A24B30"/>
    <w:rsid w:val="00CB2DE8"/>
    <w:rsid w:val="00CF34F7"/>
    <w:rsid w:val="00F8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FC92"/>
  <w15:chartTrackingRefBased/>
  <w15:docId w15:val="{DF3649CB-04DB-4027-87FF-DE693932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0573D"/>
    <w:pPr>
      <w:spacing w:after="0"/>
      <w:jc w:val="center"/>
    </w:pPr>
    <w:rPr>
      <w:noProof/>
    </w:rPr>
  </w:style>
  <w:style w:type="character" w:customStyle="1" w:styleId="EndNoteBibliographyTitleChar">
    <w:name w:val="EndNote Bibliography Title Char"/>
    <w:basedOn w:val="DefaultParagraphFont"/>
    <w:link w:val="EndNoteBibliographyTitle"/>
    <w:rsid w:val="0020573D"/>
    <w:rPr>
      <w:noProof/>
    </w:rPr>
  </w:style>
  <w:style w:type="paragraph" w:customStyle="1" w:styleId="EndNoteBibliography">
    <w:name w:val="EndNote Bibliography"/>
    <w:basedOn w:val="Normal"/>
    <w:link w:val="EndNoteBibliographyChar"/>
    <w:rsid w:val="0020573D"/>
    <w:pPr>
      <w:spacing w:line="240" w:lineRule="auto"/>
    </w:pPr>
    <w:rPr>
      <w:noProof/>
    </w:rPr>
  </w:style>
  <w:style w:type="character" w:customStyle="1" w:styleId="EndNoteBibliographyChar">
    <w:name w:val="EndNote Bibliography Char"/>
    <w:basedOn w:val="DefaultParagraphFont"/>
    <w:link w:val="EndNoteBibliography"/>
    <w:rsid w:val="0020573D"/>
    <w:rPr>
      <w:noProof/>
    </w:rPr>
  </w:style>
  <w:style w:type="character" w:styleId="CommentReference">
    <w:name w:val="annotation reference"/>
    <w:basedOn w:val="DefaultParagraphFont"/>
    <w:uiPriority w:val="99"/>
    <w:semiHidden/>
    <w:unhideWhenUsed/>
    <w:rsid w:val="00120F9F"/>
    <w:rPr>
      <w:sz w:val="16"/>
      <w:szCs w:val="16"/>
    </w:rPr>
  </w:style>
  <w:style w:type="paragraph" w:styleId="CommentText">
    <w:name w:val="annotation text"/>
    <w:basedOn w:val="Normal"/>
    <w:link w:val="CommentTextChar"/>
    <w:uiPriority w:val="99"/>
    <w:semiHidden/>
    <w:unhideWhenUsed/>
    <w:rsid w:val="00120F9F"/>
    <w:pPr>
      <w:spacing w:line="240" w:lineRule="auto"/>
    </w:pPr>
    <w:rPr>
      <w:sz w:val="20"/>
      <w:szCs w:val="20"/>
    </w:rPr>
  </w:style>
  <w:style w:type="character" w:customStyle="1" w:styleId="CommentTextChar">
    <w:name w:val="Comment Text Char"/>
    <w:basedOn w:val="DefaultParagraphFont"/>
    <w:link w:val="CommentText"/>
    <w:uiPriority w:val="99"/>
    <w:semiHidden/>
    <w:rsid w:val="00120F9F"/>
    <w:rPr>
      <w:sz w:val="20"/>
      <w:szCs w:val="20"/>
    </w:rPr>
  </w:style>
  <w:style w:type="paragraph" w:styleId="CommentSubject">
    <w:name w:val="annotation subject"/>
    <w:basedOn w:val="CommentText"/>
    <w:next w:val="CommentText"/>
    <w:link w:val="CommentSubjectChar"/>
    <w:uiPriority w:val="99"/>
    <w:semiHidden/>
    <w:unhideWhenUsed/>
    <w:rsid w:val="00120F9F"/>
    <w:rPr>
      <w:b/>
      <w:bCs/>
    </w:rPr>
  </w:style>
  <w:style w:type="character" w:customStyle="1" w:styleId="CommentSubjectChar">
    <w:name w:val="Comment Subject Char"/>
    <w:basedOn w:val="CommentTextChar"/>
    <w:link w:val="CommentSubject"/>
    <w:uiPriority w:val="99"/>
    <w:semiHidden/>
    <w:rsid w:val="00120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Benedetti</dc:creator>
  <cp:keywords/>
  <dc:description/>
  <cp:lastModifiedBy>Benedetti, Marco</cp:lastModifiedBy>
  <cp:revision>3</cp:revision>
  <dcterms:created xsi:type="dcterms:W3CDTF">2022-09-30T14:20:00Z</dcterms:created>
  <dcterms:modified xsi:type="dcterms:W3CDTF">2022-09-30T15:36:00Z</dcterms:modified>
</cp:coreProperties>
</file>