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36"/>
          <w:lang w:val="en-US" w:eastAsia="zh-CN"/>
        </w:rPr>
      </w:pPr>
      <w:bookmarkStart w:id="0" w:name="_GoBack"/>
      <w:bookmarkEnd w:id="0"/>
      <w:r>
        <w:rPr>
          <w:rFonts w:hint="eastAsia"/>
          <w:b/>
          <w:bCs/>
          <w:sz w:val="28"/>
          <w:szCs w:val="36"/>
          <w:lang w:val="en-US" w:eastAsia="zh-CN"/>
        </w:rPr>
        <w:t>Supplementary Material</w:t>
      </w:r>
    </w:p>
    <w:p>
      <w:pPr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Title: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Impact of high, low, and non-optimum temperatures on chronic kidney disease in a changing climate, 1990-2019: a global analysis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</w:pPr>
    </w:p>
    <w:p>
      <w:pPr>
        <w:jc w:val="left"/>
        <w:rPr>
          <w:rFonts w:ascii="Times New Roman" w:hAnsi="Times New Roman" w:cs="Times New Roman"/>
          <w:sz w:val="24"/>
          <w:szCs w:val="32"/>
        </w:rPr>
      </w:pPr>
      <w:r>
        <w:rPr>
          <w:rFonts w:hint="default" w:ascii="Times New Roman" w:hAnsi="Times New Roman" w:eastAsia="等线" w:cs="Times New Roman"/>
          <w:b/>
          <w:kern w:val="2"/>
          <w:sz w:val="22"/>
          <w:szCs w:val="22"/>
          <w:lang w:val="en-US" w:eastAsia="zh-CN" w:bidi="ar"/>
        </w:rPr>
        <w:t>Table S1.</w:t>
      </w: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t xml:space="preserve"> Age-standardized mortality and DALYs rates (per 100 000 Population) for chronic kidney disease due to high, low, and non-optimum temperatures by regions in 1990 and 2019 and the trends of age-standardized rate from 1990 to 2019 (β)</w:t>
      </w:r>
    </w:p>
    <w:tbl>
      <w:tblPr>
        <w:tblStyle w:val="4"/>
        <w:tblW w:w="14612" w:type="dxa"/>
        <w:jc w:val="center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88"/>
        <w:gridCol w:w="1871"/>
        <w:gridCol w:w="1937"/>
        <w:gridCol w:w="2325"/>
        <w:gridCol w:w="2098"/>
        <w:gridCol w:w="2197"/>
        <w:gridCol w:w="2396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vMerge w:val="restart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hint="default" w:ascii="Arial" w:hAnsi="Arial" w:cs="Arial"/>
                <w:b/>
                <w:bCs/>
                <w:sz w:val="20"/>
                <w:szCs w:val="20"/>
              </w:rPr>
              <w:t>Location</w:t>
            </w:r>
          </w:p>
        </w:tc>
        <w:tc>
          <w:tcPr>
            <w:tcW w:w="6133" w:type="dxa"/>
            <w:gridSpan w:val="3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Mortality rate (95% UI)</w:t>
            </w:r>
          </w:p>
        </w:tc>
        <w:tc>
          <w:tcPr>
            <w:tcW w:w="6691" w:type="dxa"/>
            <w:gridSpan w:val="3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DALYs rate (95% UI)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vMerge w:val="continue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871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Age-standardized rate per 100 000 population , 1990</w:t>
            </w:r>
          </w:p>
        </w:tc>
        <w:tc>
          <w:tcPr>
            <w:tcW w:w="1937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Age-standardized rate per 100 000 population, 2019</w:t>
            </w:r>
          </w:p>
        </w:tc>
        <w:tc>
          <w:tcPr>
            <w:tcW w:w="2325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Trends of age-standardized rate from 1990 to 2019 (β)</w:t>
            </w: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2098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Age-standardized rate per 100 000  population ,1990</w:t>
            </w:r>
          </w:p>
        </w:tc>
        <w:tc>
          <w:tcPr>
            <w:tcW w:w="2197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Age-standardized rate per 100 000 population , 2019</w:t>
            </w:r>
          </w:p>
        </w:tc>
        <w:tc>
          <w:tcPr>
            <w:tcW w:w="2396" w:type="dxa"/>
            <w:tcBorders>
              <w:top w:val="single" w:color="auto" w:sz="8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cs="Arial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</w:rPr>
              <w:t>Trends of age-standardized rate from 1990 to 2019 (β)</w:t>
            </w:r>
            <w:r>
              <w:rPr>
                <w:rFonts w:hint="default" w:ascii="Arial" w:hAnsi="Arial" w:eastAsia="等线" w:cs="Arial"/>
                <w:b/>
                <w:bCs/>
                <w:kern w:val="0"/>
                <w:sz w:val="20"/>
                <w:szCs w:val="20"/>
                <w:vertAlign w:val="superscript"/>
              </w:rPr>
              <w:t>a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4612" w:type="dxa"/>
            <w:gridSpan w:val="7"/>
            <w:tcBorders>
              <w:top w:val="single" w:color="auto" w:sz="8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hint="default" w:ascii="Arial" w:hAnsi="Arial" w:eastAsia="黑体" w:cs="Arial"/>
                <w:b/>
                <w:bCs/>
                <w:sz w:val="20"/>
                <w:szCs w:val="20"/>
              </w:rPr>
              <w:t>High temperature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Global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-0.01 (-0.74, 0.44)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0.10 (-0.28, 0.38)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(0.003, 0.004)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-0.32 (-21.66, 12.66)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2.71 (-8.07, 10.46)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0.102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(0.095, 0.110)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 (-0.04, 0.04)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0.03 (-0.04, 0.08)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0.001*(0.001, 0.001)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0.18 (-1.13, 0.91)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0.72 (-1.16, 1.99)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0.019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(0.017, 0.021)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 (-0.15, 0.08)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0.02 (-0.06, 0.07)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0.001*(0.001, 0.001)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-0.13 (-4.51, 2.20)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0.54 (-1.61, 1.69)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0.024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(0.022, 0.026)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-0.02 (-1.02, 0.59)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0.14 (-0.31, 0.49)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0.005* (0.005, 0.006)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-0.65 (-25.16, 14.02)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3.07 (-7.37, 12.02)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0.122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(0.111, 0.134)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 (-2.1, 1.36)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0.24 (-0.58, 1.01)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0.007* (0.006, 0.008)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0.23 (-53.11, 33.07)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6.00 (-14.42, 24.62)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0.181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(0.162, 0.200)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-0.07 (-3.13, 1.92)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0.21 (-1.25, 1.13)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0.011* (0.010, 0.011)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-2.36 (-75.36, 44.44)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5.13 (-29.53, 27.81)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0.279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(0.261, 0.297)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Africa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-0.09 (-2.82, 1.77)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0.15 (-1.33, 1.06)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0.009* (0.009, 0.010)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-2.55 (-66.71, 42.39)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3.02 (-31.29, 23.72)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0.000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(0.198, 0.226)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America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-0.04 (-0.38, 0.17)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0.04 (-0.29, 0.25)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0.003* (0.002, 0.003)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-1.07 (-10.98, 4.55)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0.86 (-6.91, 5.98)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0.000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(0.064, 0.075)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Asia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 (-1.06, 0.64)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0.15 (-0.22, 0.48)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(0.004, 0.005)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0.14 (-27.89, 17.54)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3.90 (-6.03, 12.40)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0.120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(0.108, 0.132)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Europe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 (0.00, 0.01)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 (-0.01, 0.02)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0.000* (0.000, 0.000)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0.03 (-0.10, 0.17)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0.05 (-0.18, 0.31)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0.001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*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>(0.001, 0.002)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Oceania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-0.06 (-1.25, 0.29)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0.04 (-0.29, 0.31)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(0.004, 0.005)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-1.66 (-31.14, 7.41)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0.88 (-6.90, 7.39)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0.110* (0.101, 0.119)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4612" w:type="dxa"/>
            <w:gridSpan w:val="7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 temperature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Global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0.99 (0.59, 1.39)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1.05 (0.61, 1.49)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0.003* (0.001, 0.004)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22.03 (12.66, 30.64)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20.43 (11.30, 29.26)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-0.072* (-0.096, -0.048)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0.87 (0.50, 1.26)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1.11 (0.65, 1.63)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0.010* (0.008, 0.011)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15.61 (8.98, 22.35)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17.86 (10.84, 25.9)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0.093* (0.074, 0.112)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1.00 (0.49, 1.50)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0.88(0.47, 1.29)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-0.004* (-0.006, -0.003)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22.05 (9.34, 33.57)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15.70 (7.63, 23.98)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-0.257* (-0.276, -0.237)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1.06 (0.69, 1.41)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1.09(0.72, 1.46)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0.003* (0.001, 0.004)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25.56 (16.28, 34.52)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22.81 (14.98, 30.41)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-0.089* (-0.122, -0.056)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0.82 (0.27, 1.37)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0.82 (0.23, 1.33)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-0.002* (-0.003, 0.000)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20.52 (6.81, 34.28)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19.67 (4.42, 32.76)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-0.085* (-0.119, -0.051)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0.98 (0.29, 1.67)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0.93 (0.14, 1.62)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-0.004* (-0.006, -0.003)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23.59 (7.38, 39.09)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21.99 (1.99, 39.12)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-0.122* (-0.156, -0.088)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Africa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1.15 (0.6, 1.67)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1.16 (0.58, 1.71)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-0.002* (-0.004, 0.000)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25.70 (12.75, 37.68)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22.84(11.12, 34.38)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-0.151* (-0.189, -0.112)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America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0.98 (0.59, 1.38)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1.50 (0.94, 2.09)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0.021* (0.017, 0.024)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20. 30 (12.74, 27.88)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29.30 (19.69, 39.20)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0.370* (0.300, 0.440)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Asia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1.00 (0.59 ,1.40 )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0.90 (0.48, 1.28)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-0.004*(-0.006, -0.003)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23.26 (12.82, 32.71)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18.85 (8.31, 28.11)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-0.193* (-0.219, -0.168)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Europe</w:t>
            </w:r>
          </w:p>
        </w:tc>
        <w:tc>
          <w:tcPr>
            <w:tcW w:w="1871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0.88 (0.38 , 1.43)</w:t>
            </w:r>
          </w:p>
        </w:tc>
        <w:tc>
          <w:tcPr>
            <w:tcW w:w="1937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0.95 (0.41, 1.52)</w:t>
            </w:r>
          </w:p>
        </w:tc>
        <w:tc>
          <w:tcPr>
            <w:tcW w:w="2325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(0.003, 0.005)</w:t>
            </w:r>
          </w:p>
        </w:tc>
        <w:tc>
          <w:tcPr>
            <w:tcW w:w="2098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18.38 (6.24, 30.41)</w:t>
            </w:r>
          </w:p>
        </w:tc>
        <w:tc>
          <w:tcPr>
            <w:tcW w:w="2197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14.88 (5.59, 24.64)</w:t>
            </w:r>
          </w:p>
        </w:tc>
        <w:tc>
          <w:tcPr>
            <w:tcW w:w="2396" w:type="dxa"/>
            <w:tcBorders>
              <w:top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-0.136* (-0.151, -0.121)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Oceania</w:t>
            </w:r>
          </w:p>
        </w:tc>
        <w:tc>
          <w:tcPr>
            <w:tcW w:w="1871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0.39 (0.20 , 0.60)</w:t>
            </w:r>
          </w:p>
        </w:tc>
        <w:tc>
          <w:tcPr>
            <w:tcW w:w="1937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0.36 (0.15, 0.59)</w:t>
            </w:r>
          </w:p>
        </w:tc>
        <w:tc>
          <w:tcPr>
            <w:tcW w:w="2325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0.000 (-0.002, 0.001)</w:t>
            </w:r>
          </w:p>
        </w:tc>
        <w:tc>
          <w:tcPr>
            <w:tcW w:w="2098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11.18 (5.81, 16.86)</w:t>
            </w:r>
          </w:p>
        </w:tc>
        <w:tc>
          <w:tcPr>
            <w:tcW w:w="2197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10.12 (4.37 , 16.49)</w:t>
            </w:r>
          </w:p>
        </w:tc>
        <w:tc>
          <w:tcPr>
            <w:tcW w:w="2396" w:type="dxa"/>
            <w:tcBorders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-0.010 (-0.050, 0.029)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4612" w:type="dxa"/>
            <w:gridSpan w:val="7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Non-optimum temperature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Global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0.98 (0.22, 1.55)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1.15 (0.64 , 1.69)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0.006* (0.005, 0.008)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21.68 (-0.86, 35.74)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23.04 (10.62, 34.09)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0.028* (0.004, 0.052)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0.88 (0.50, 1.27)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1.13 (0.66, 1.66)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0.011* (0.009, 0.012)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15.78 (9.07, 22.52)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18.54 (10.53, 26.65)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0.111* (0.092, 0.130)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High-middle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1.00 (0.49, 1.47)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0.90 (0.46, 1.31)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-0.003* (-0.005, -0.002)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21.91 (8.62, 33.60)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16.22 (7.32, 24.51)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-0.233* (-0.252, -0.214)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1.04 (0.1, 1.63)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1.22 (0.70, 1.73)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0.008* (0.006, 0.010)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24.88 (2.19, 39.36)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25.78 (14.61, 36.79)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0.032(-0.001, 0.065)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Low-middle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0.82 (-1.34, 1.89)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1.05 (0.10, 1.82)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0.005* (0.004, 0.007)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20.68 (-35.31, 47.83)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25.48 (0.87, 45.4)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0.092* (0.057, 0.128)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Low SDI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0.90 (-2.47, 2.53)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1.13 (-0.27, 2.13)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0.006* (0.005, 0.007)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21.16 (-59.10, 61.00)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26.84 (-8.26, 50.64)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0.150* (0.123, 0.177)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Africa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1.06 (-1.73, 2.69)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1.30 (-0.14, 2.18)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0.007* (0.005, 0.008)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23.09 (-43.84, 63.02)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25.70 (-7.79, 44.56)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0.058* (0.029, 0.087)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America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0.95 (0.46, 1.39)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1.53 (0.94, 2.18)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0.024* (0.020, 0.027)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19.24 (8.43, 28.38)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30.13 (19.02, 42.39)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0.438* (0.368, 0.508)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Asia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1.01 (-0.04, 1.63)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1.04 (0.51, 1.50)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0.000</w:t>
            </w:r>
            <w:r>
              <w:rPr>
                <w:rFonts w:hint="eastAsia" w:ascii="Arial" w:hAnsi="Arial" w:eastAsia="等线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(-0.001, 0.001)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23.35 (-4.44, 39.09)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22.61 (9.06, 34.41)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-0.076* (-0.102, -0.049)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Europe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0.89 (0.39, 1.43)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0.95 (0.41, 1.53)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(0.003, 0.005)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18.41 (6.37, 30.45)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14.93 (5.72, 24.53)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2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-0.135*(-0.150, -0.120)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788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b/>
                <w:bCs/>
                <w:color w:val="000000"/>
                <w:sz w:val="20"/>
                <w:szCs w:val="20"/>
              </w:rPr>
              <w:t>Oceania</w:t>
            </w:r>
          </w:p>
        </w:tc>
        <w:tc>
          <w:tcPr>
            <w:tcW w:w="1871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0.33 (-0.89, 0.72)</w:t>
            </w:r>
          </w:p>
        </w:tc>
        <w:tc>
          <w:tcPr>
            <w:tcW w:w="1937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0.40 (0.06, 0.74)</w:t>
            </w:r>
          </w:p>
        </w:tc>
        <w:tc>
          <w:tcPr>
            <w:tcW w:w="2325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0.004* (0.002, 0.006)</w:t>
            </w:r>
          </w:p>
        </w:tc>
        <w:tc>
          <w:tcPr>
            <w:tcW w:w="2098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9.55 (-19.90, 20.13)</w:t>
            </w:r>
          </w:p>
        </w:tc>
        <w:tc>
          <w:tcPr>
            <w:tcW w:w="2197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10.99 (2.2, 19.85)</w:t>
            </w:r>
          </w:p>
        </w:tc>
        <w:tc>
          <w:tcPr>
            <w:tcW w:w="2396" w:type="dxa"/>
            <w:tcBorders>
              <w:top w:val="single" w:color="auto" w:sz="2" w:space="0"/>
              <w:bottom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</w:pPr>
            <w:r>
              <w:rPr>
                <w:rFonts w:hint="default" w:ascii="Arial" w:hAnsi="Arial" w:eastAsia="等线" w:cs="Arial"/>
                <w:color w:val="000000"/>
                <w:sz w:val="20"/>
                <w:szCs w:val="20"/>
              </w:rPr>
              <w:t>0.098* (0.057, 0.140)</w:t>
            </w:r>
          </w:p>
        </w:tc>
      </w:tr>
    </w:tbl>
    <w:tbl>
      <w:tblPr>
        <w:tblStyle w:val="4"/>
        <w:tblpPr w:leftFromText="180" w:rightFromText="180" w:vertAnchor="text" w:tblpX="16226" w:tblpY="-14262"/>
        <w:tblOverlap w:val="never"/>
        <w:tblW w:w="324" w:type="dxa"/>
        <w:tblInd w:w="0" w:type="dxa"/>
        <w:tblBorders>
          <w:top w:val="single" w:color="auto" w:sz="18" w:space="0"/>
          <w:left w:val="single" w:color="auto" w:sz="18" w:space="0"/>
          <w:bottom w:val="single" w:color="auto" w:sz="18" w:space="0"/>
          <w:right w:val="single" w:color="auto" w:sz="18" w:space="0"/>
          <w:insideH w:val="single" w:color="auto" w:sz="18" w:space="0"/>
          <w:insideV w:val="single" w:color="auto" w:sz="18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"/>
      </w:tblGrid>
      <w:tr>
        <w:tblPrEx>
          <w:tbl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  <w:insideH w:val="single" w:color="auto" w:sz="18" w:space="0"/>
            <w:insideV w:val="single" w:color="auto" w:sz="1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" w:hRule="atLeast"/>
        </w:trPr>
        <w:tc>
          <w:tcPr>
            <w:tcW w:w="324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ascii="Arial" w:hAnsi="Arial" w:cs="Arial"/>
                <w:sz w:val="16"/>
                <w:szCs w:val="16"/>
                <w:vertAlign w:val="baseline"/>
              </w:rPr>
            </w:pPr>
          </w:p>
        </w:tc>
      </w:tr>
    </w:tbl>
    <w:p>
      <w:pP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</w:pPr>
      <w:r>
        <w:rPr>
          <w:rFonts w:ascii="Arial" w:hAnsi="Arial" w:cs="Arial"/>
          <w:sz w:val="16"/>
          <w:szCs w:val="16"/>
        </w:rPr>
        <w:t xml:space="preserve">Abbreviations: 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>DALYs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 disability-adjusted life years;</w:t>
      </w:r>
      <w:r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>β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t>,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 beta-coefficient; </w:t>
      </w:r>
      <w:r>
        <w:rPr>
          <w:rFonts w:ascii="Arial" w:hAnsi="Arial" w:cs="Arial"/>
          <w:sz w:val="16"/>
          <w:szCs w:val="16"/>
        </w:rPr>
        <w:t>UI</w:t>
      </w:r>
      <w:r>
        <w:rPr>
          <w:rFonts w:hint="eastAsia" w:ascii="Arial" w:hAnsi="Arial" w:cs="Arial"/>
          <w:sz w:val="16"/>
          <w:szCs w:val="16"/>
          <w:lang w:val="en-US" w:eastAsia="zh-CN"/>
        </w:rPr>
        <w:t>,</w:t>
      </w:r>
      <w:r>
        <w:rPr>
          <w:rFonts w:ascii="Arial" w:hAnsi="Arial" w:cs="Arial"/>
          <w:sz w:val="16"/>
          <w:szCs w:val="16"/>
        </w:rPr>
        <w:t xml:space="preserve"> uncertainty interval; 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>*</w:t>
      </w:r>
      <w:r>
        <w:rPr>
          <w:rFonts w:ascii="Arial" w:hAnsi="Arial" w:eastAsia="宋体" w:cs="Arial"/>
          <w:i/>
          <w:iCs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>P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 &lt; 0.05.</w:t>
      </w:r>
    </w:p>
    <w:p>
      <w:pPr>
        <w:rPr>
          <w:rFonts w:hint="default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sectPr>
          <w:pgSz w:w="16838" w:h="11906" w:orient="landscape"/>
          <w:pgMar w:top="1803" w:right="1440" w:bottom="1803" w:left="1440" w:header="851" w:footer="992" w:gutter="0"/>
          <w:cols w:space="0" w:num="1"/>
          <w:rtlGutter w:val="0"/>
          <w:docGrid w:type="lines" w:linePitch="319" w:charSpace="0"/>
        </w:sectPr>
      </w:pPr>
      <w:r>
        <w:rPr>
          <w:rFonts w:ascii="Arial" w:hAnsi="Arial" w:eastAsia="等线" w:cs="Arial"/>
          <w:b/>
          <w:bCs/>
          <w:kern w:val="0"/>
          <w:sz w:val="16"/>
          <w:szCs w:val="16"/>
          <w:vertAlign w:val="superscript"/>
        </w:rPr>
        <w:t xml:space="preserve">a 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Beta-coefficient 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t>(</w:t>
      </w:r>
      <w:r>
        <w:rPr>
          <w:rFonts w:hint="default" w:ascii="Times New Roman" w:hAnsi="Times New Roman" w:eastAsia="宋体" w:cs="Times New Roman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t>β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t xml:space="preserve">) 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and 95% </w:t>
      </w:r>
      <w:r>
        <w:rPr>
          <w:rFonts w:ascii="Arial" w:hAnsi="Arial" w:cs="Arial"/>
          <w:sz w:val="16"/>
          <w:szCs w:val="16"/>
        </w:rPr>
        <w:t>UI</w:t>
      </w:r>
      <w:r>
        <w:rPr>
          <w:rFonts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 xml:space="preserve"> were calculated by a linear regression mode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  <w:t>l.</w:t>
      </w:r>
    </w:p>
    <w:p>
      <w:pPr>
        <w:jc w:val="left"/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</w:pPr>
      <w:r>
        <w:rPr>
          <w:rFonts w:hint="eastAsia" w:ascii="Times New Roman" w:hAnsi="Times New Roman" w:eastAsia="宋体" w:cs="Times New Roman"/>
          <w:b/>
          <w:bCs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6641465" cy="4356735"/>
            <wp:effectExtent l="0" t="0" r="6985" b="5715"/>
            <wp:docPr id="3" name="图片 3" descr="eFig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Fig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S1.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 xml:space="preserve">Temporal trends in </w:t>
      </w: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t xml:space="preserve">age-standardized mortality (A) and DALYs (B) rates (per 100 000 Population)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 xml:space="preserve">for </w:t>
      </w: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t>chronic kidney disease due to high, low, and non-optimum temperatures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 xml:space="preserve"> in continents, 1990-2019</w:t>
      </w: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t xml:space="preserve">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DALYs, disability-adjusted life years; Shaded areas represent 95% uncertainty intervals.</w:t>
      </w: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t xml:space="preserve"> </w:t>
      </w:r>
    </w:p>
    <w:p>
      <w:pP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</w:pPr>
      <w:r>
        <w:rPr>
          <w:rFonts w:hint="default" w:ascii="Times New Roman" w:hAnsi="Times New Roman" w:eastAsia="等线" w:cs="Times New Roman"/>
          <w:kern w:val="2"/>
          <w:sz w:val="22"/>
          <w:szCs w:val="22"/>
          <w:lang w:val="en-US" w:eastAsia="zh-CN" w:bidi="ar"/>
        </w:rPr>
        <w:br w:type="page"/>
      </w:r>
    </w:p>
    <w:p>
      <w:pPr>
        <w:jc w:val="center"/>
        <w:rPr>
          <w:rFonts w:hint="eastAsia" w:ascii="Arial" w:hAnsi="Arial" w:cs="Arial"/>
          <w:b/>
          <w:bCs/>
          <w:sz w:val="24"/>
        </w:rPr>
      </w:pPr>
      <w:r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39995" cy="7098030"/>
            <wp:effectExtent l="0" t="0" r="8255" b="7620"/>
            <wp:docPr id="1" name="图片 1" descr="numb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number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9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</w:pPr>
    </w:p>
    <w:p>
      <w:pPr>
        <w:jc w:val="left"/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</w:pPr>
    </w:p>
    <w:p>
      <w:pPr>
        <w:jc w:val="left"/>
        <w:rPr>
          <w:rFonts w:ascii="Arial" w:hAnsi="Arial" w:cs="Arial"/>
          <w:b/>
          <w:bCs/>
          <w:sz w:val="24"/>
        </w:rPr>
      </w:pPr>
      <w:r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微软雅黑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S2.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 xml:space="preserve"> </w:t>
      </w:r>
      <w:r>
        <w:rPr>
          <w:rFonts w:hint="default" w:ascii="Times New Roman" w:hAnsi="Times New Roman" w:eastAsia="等线" w:cs="Times New Roman"/>
          <w:color w:val="323232"/>
          <w:kern w:val="2"/>
          <w:sz w:val="22"/>
          <w:szCs w:val="22"/>
          <w:lang w:val="en-US" w:eastAsia="zh-CN" w:bidi="ar"/>
        </w:rPr>
        <w:t xml:space="preserve">Spatial distribution of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mortality number for chronic kidney disease due to high (A), low (B), and non-optimum temperatures (C) in 2019</w:t>
      </w:r>
    </w:p>
    <w:p>
      <w:pPr>
        <w:spacing w:after="156" w:afterLines="50" w:line="300" w:lineRule="auto"/>
        <w:jc w:val="center"/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Arial" w:hAnsi="Arial" w:cs="Arial"/>
          <w:b/>
          <w:bCs/>
          <w:sz w:val="24"/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</w:p>
    <w:p>
      <w:pPr>
        <w:jc w:val="center"/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39995" cy="7098030"/>
            <wp:effectExtent l="0" t="0" r="8255" b="7620"/>
            <wp:docPr id="2" name="图片 2" descr="b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at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9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</w:p>
    <w:p>
      <w:pPr>
        <w:jc w:val="both"/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S3. </w:t>
      </w:r>
      <w:r>
        <w:rPr>
          <w:rFonts w:hint="default" w:ascii="Times New Roman" w:hAnsi="Times New Roman" w:eastAsia="等线" w:cs="Times New Roman"/>
          <w:color w:val="323232"/>
          <w:kern w:val="2"/>
          <w:sz w:val="22"/>
          <w:szCs w:val="22"/>
          <w:lang w:val="en-US" w:eastAsia="zh-CN" w:bidi="ar"/>
        </w:rPr>
        <w:t xml:space="preserve">Spatial distribution of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trends in the age-standardized mortality rates (per 100 000 Population) for chronic kidney disease due to high (A), low (B), and non-optimum temperatures (C),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>. Values expressed as beta-coefficients(β) that was calculated by a linear regression model.</w:t>
      </w:r>
    </w:p>
    <w:p>
      <w:pPr>
        <w:rPr>
          <w:rFonts w:hint="eastAsia" w:ascii="Arial" w:hAnsi="Arial" w:cs="Arial"/>
          <w:b/>
          <w:bCs/>
          <w:sz w:val="24"/>
        </w:rPr>
      </w:pPr>
      <w:r>
        <w:rPr>
          <w:rFonts w:hint="eastAsia" w:ascii="Arial" w:hAnsi="Arial" w:cs="Arial"/>
          <w:b/>
          <w:bCs/>
          <w:sz w:val="24"/>
        </w:rPr>
        <w:br w:type="page"/>
      </w:r>
    </w:p>
    <w:p>
      <w:pPr>
        <w:jc w:val="center"/>
        <w:rPr>
          <w:rFonts w:hint="eastAsia" w:ascii="Times New Roman" w:hAnsi="Times New Roman" w:cs="Times New Roman" w:eastAsiaTheme="minorEastAsia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 w:eastAsiaTheme="minorEastAsia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431790" cy="4679950"/>
            <wp:effectExtent l="0" t="0" r="6985" b="6350"/>
            <wp:docPr id="13" name="图片 13" descr="eFig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Fig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Times New Roman" w:hAnsi="Times New Roman" w:cs="Times New Roman" w:eastAsiaTheme="minorEastAsia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</w:p>
    <w:p>
      <w:pPr>
        <w:spacing w:after="156" w:afterLines="50" w:line="300" w:lineRule="auto"/>
        <w:jc w:val="left"/>
        <w:rPr>
          <w:rFonts w:hint="eastAsia" w:ascii="Arial" w:hAnsi="Arial" w:cs="Arial"/>
          <w:b/>
          <w:bCs/>
          <w:sz w:val="24"/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S4.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Temporal trends in age-standardized mortality (per 100 000 Population) for CKD due to high, low, and non-optimum temperatures by etiology in Colombia (A) and Costa Rica (B),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>. CKD, chronic kidney disease.</w:t>
      </w:r>
    </w:p>
    <w:p>
      <w:pPr>
        <w:spacing w:after="156" w:afterLines="50" w:line="300" w:lineRule="auto"/>
        <w:jc w:val="center"/>
        <w:rPr>
          <w:rFonts w:hint="eastAsia" w:ascii="Arial" w:hAnsi="Arial" w:eastAsia="宋体" w:cs="Arial"/>
          <w:color w:val="000000" w:themeColor="text1"/>
          <w:sz w:val="16"/>
          <w:szCs w:val="1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Arial" w:hAnsi="Arial" w:eastAsia="宋体" w:cs="Arial"/>
          <w:color w:val="000000" w:themeColor="text1"/>
          <w:sz w:val="16"/>
          <w:szCs w:val="16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431790" cy="4679950"/>
            <wp:effectExtent l="0" t="0" r="6985" b="6350"/>
            <wp:docPr id="14" name="图片 14" descr="e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Fig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 w:line="300" w:lineRule="auto"/>
        <w:jc w:val="left"/>
        <w:rPr>
          <w:rFonts w:hint="eastAsia" w:ascii="Arial" w:hAnsi="Arial" w:cs="Arial"/>
          <w:b/>
          <w:bCs/>
          <w:sz w:val="24"/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S5.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Temporal trends in age-standardized mortality (per 100 000 Population) for CKD due to high, low, and non-optimum temperatures by etiology in El Salvador (C) and Guatemala (D),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 xml:space="preserve">. CKD, chronic kidney disease. </w:t>
      </w:r>
    </w:p>
    <w:p>
      <w:pPr>
        <w:spacing w:after="156" w:afterLines="50" w:line="300" w:lineRule="auto"/>
        <w:jc w:val="center"/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431790" cy="4679950"/>
            <wp:effectExtent l="0" t="0" r="6985" b="6350"/>
            <wp:docPr id="15" name="图片 15" descr="eFig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Fig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S6.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Temporal trends in age-standardized mortality (per 100 000 Population) for CKD due to high, low, and non-optimum temperatures by etiology in Honduras (E) and Mexico (F),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 xml:space="preserve">. CKD, chronic kidney disease. </w:t>
      </w:r>
    </w:p>
    <w:p>
      <w:pPr>
        <w:jc w:val="center"/>
        <w:rPr>
          <w:rFonts w:hint="eastAsia"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432425" cy="4679950"/>
            <wp:effectExtent l="0" t="0" r="6350" b="6350"/>
            <wp:docPr id="7" name="图片 7" descr="G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GH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S7.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Temporal trends in age-standardized mortality (per 100 000 Population) for CKD due to high, low, and non-optimum temperatures by etiology in Nicaragua (G) and Panama (H),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>. CKD, chronic kidney disease</w:t>
      </w:r>
      <w:r>
        <w:rPr>
          <w:rFonts w:hint="eastAsia"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t>.</w:t>
      </w:r>
    </w:p>
    <w:p>
      <w:pPr>
        <w:rPr>
          <w:rFonts w:hint="eastAsia"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</w:p>
    <w:p>
      <w:pPr>
        <w:jc w:val="center"/>
        <w:rPr>
          <w:rFonts w:hint="eastAsia" w:ascii="Times New Roman" w:hAnsi="Times New Roman" w:eastAsia="宋体" w:cs="Times New Roman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13350" cy="4679950"/>
            <wp:effectExtent l="0" t="0" r="6350" b="6350"/>
            <wp:docPr id="16" name="图片 16" descr="eFig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eFig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Times New Roman" w:hAnsi="Times New Roman" w:eastAsia="宋体" w:cs="Times New Roman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</w:pPr>
    </w:p>
    <w:p>
      <w:pPr>
        <w:spacing w:after="156" w:afterLines="50" w:line="300" w:lineRule="auto"/>
        <w:jc w:val="left"/>
        <w:rPr>
          <w:rFonts w:hint="eastAsia" w:ascii="Times New Roman" w:hAnsi="Times New Roman" w:eastAsia="宋体" w:cs="Times New Roman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S8.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Temporal trends in age-standardized mortality (per 100 000 Population) for CKD due to high, low, and non-optimum temperatures by etiology in Venezuela (I), 1990-2019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>. CKD, chronic kidney disease.</w:t>
      </w:r>
    </w:p>
    <w:p>
      <w:pPr>
        <w:spacing w:after="156" w:afterLines="50" w:line="300" w:lineRule="auto"/>
        <w:jc w:val="left"/>
        <w:rPr>
          <w:rFonts w:hint="eastAsia" w:ascii="Arial" w:hAnsi="Arial" w:eastAsia="宋体" w:cs="Arial"/>
          <w:color w:val="000000" w:themeColor="text1"/>
          <w:sz w:val="16"/>
          <w:szCs w:val="16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1" w:footer="992" w:gutter="0"/>
          <w:pgNumType w:fmt="decimal"/>
          <w:cols w:space="0" w:num="1"/>
          <w:docGrid w:type="lines" w:linePitch="312" w:charSpace="0"/>
        </w:sectPr>
      </w:pPr>
    </w:p>
    <w:p>
      <w:pPr>
        <w:spacing w:after="156" w:afterLines="50" w:line="300" w:lineRule="auto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49290" cy="4283710"/>
            <wp:effectExtent l="0" t="0" r="3810" b="2540"/>
            <wp:docPr id="18" name="图片 18" descr="eFig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Figure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9290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宋体" w:cs="Arial"/>
          <w:color w:val="000000" w:themeColor="text1"/>
          <w:sz w:val="16"/>
          <w:szCs w:val="1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Fig</w:t>
      </w:r>
      <w:r>
        <w:rPr>
          <w:rFonts w:hint="eastAsia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>.</w:t>
      </w:r>
      <w:r>
        <w:rPr>
          <w:rFonts w:hint="default" w:ascii="Times New Roman" w:hAnsi="Times New Roman" w:eastAsia="等线" w:cs="Times New Roman"/>
          <w:b/>
          <w:color w:val="000000"/>
          <w:kern w:val="2"/>
          <w:sz w:val="22"/>
          <w:szCs w:val="22"/>
          <w:lang w:val="en-US" w:eastAsia="zh-CN" w:bidi="ar"/>
        </w:rPr>
        <w:t xml:space="preserve"> S9. </w:t>
      </w:r>
      <w:r>
        <w:rPr>
          <w:rFonts w:hint="default" w:ascii="Times New Roman" w:hAnsi="Times New Roman" w:eastAsia="等线" w:cs="Times New Roman"/>
          <w:color w:val="000000"/>
          <w:kern w:val="2"/>
          <w:sz w:val="22"/>
          <w:szCs w:val="22"/>
          <w:lang w:val="en-US" w:eastAsia="zh-CN" w:bidi="ar"/>
        </w:rPr>
        <w:t>Mortality rate of Global and Central Latin American countries for CKD due to high, low, and non-optimum temperatures by age groups and etiology in 2019</w:t>
      </w:r>
      <w:r>
        <w:rPr>
          <w:rFonts w:hint="default" w:ascii="Times New Roman" w:hAnsi="Times New Roman" w:eastAsia="宋体" w:cs="Times New Roman"/>
          <w:color w:val="000000"/>
          <w:kern w:val="2"/>
          <w:sz w:val="22"/>
          <w:szCs w:val="22"/>
          <w:lang w:val="en-US" w:eastAsia="zh-CN" w:bidi="ar"/>
        </w:rPr>
        <w:t>. CKD, chronic kidney disease.</w:t>
      </w:r>
    </w:p>
    <w:p/>
    <w:sectPr>
      <w:pgSz w:w="11906" w:h="16838"/>
      <w:pgMar w:top="720" w:right="720" w:bottom="720" w:left="72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20"/>
  <w:embedSystemFonts/>
  <w:bordersDoNotSurroundHeader w:val="1"/>
  <w:bordersDoNotSurroundFooter w:val="1"/>
  <w:trackRevisions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3626A2D"/>
    <w:rsid w:val="0A795991"/>
    <w:rsid w:val="0EC037D5"/>
    <w:rsid w:val="0EC40BAE"/>
    <w:rsid w:val="23626A2D"/>
    <w:rsid w:val="23DD1D9E"/>
    <w:rsid w:val="47A6333C"/>
    <w:rsid w:val="779E2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13</TotalTime>
  <ScaleCrop>false</ScaleCrop>
  <LinksUpToDate>false</LinksUpToDate>
  <CharactersWithSpaces>0</CharactersWithSpaces>
  <Application>WPS Office_11.1.0.9914_F1E327BC-269C-435d-A152-05C5408002CA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2022-01-02T10:00:00Z</dcterms:created>
  <dc:creator>追寻</dc:creator>
  <cp:lastModifiedBy>追寻</cp:lastModifiedBy>
  <dcterms:modified xsi:type="dcterms:W3CDTF">2022-03-05T06:38:47Z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2052-11.1.0.9914</vt:lpwstr>
  </property>
</Properties>
</file>