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5F" w:rsidRPr="00E12BFF" w:rsidRDefault="0012765F" w:rsidP="0012765F">
      <w:pPr>
        <w:spacing w:after="0" w:line="48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Supplementary </w:t>
      </w:r>
      <w:r w:rsidRPr="00E12BFF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1</w:t>
      </w:r>
      <w:r w:rsidRPr="00E12BFF">
        <w:rPr>
          <w:rFonts w:ascii="Arial" w:hAnsi="Arial" w:cs="Arial"/>
          <w:b/>
        </w:rPr>
        <w:t>. Antibiotic Exposure</w:t>
      </w:r>
    </w:p>
    <w:tbl>
      <w:tblPr>
        <w:tblStyle w:val="LightShading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3780"/>
        <w:gridCol w:w="1800"/>
        <w:gridCol w:w="1980"/>
        <w:gridCol w:w="1800"/>
        <w:gridCol w:w="1818"/>
      </w:tblGrid>
      <w:tr w:rsidR="0012765F" w:rsidRPr="00E12BFF" w:rsidTr="00843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Drug, N (%)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Group 1: Education-only</w:t>
            </w:r>
          </w:p>
          <w:p w:rsidR="0012765F" w:rsidRPr="00E12BFF" w:rsidRDefault="0012765F" w:rsidP="0084327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N= 52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Group 2: Unsupervised Decolonization</w:t>
            </w:r>
          </w:p>
          <w:p w:rsidR="0012765F" w:rsidRPr="00E12BFF" w:rsidRDefault="0012765F" w:rsidP="0084327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N=48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Group 3: Supervised Decolonization</w:t>
            </w:r>
          </w:p>
          <w:p w:rsidR="0012765F" w:rsidRPr="00E12BFF" w:rsidRDefault="0012765F" w:rsidP="0084327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N=49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Groups 2 &amp; 3:</w:t>
            </w:r>
          </w:p>
          <w:p w:rsidR="0012765F" w:rsidRPr="00E12BFF" w:rsidRDefault="0012765F" w:rsidP="0084327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Decolonization</w:t>
            </w:r>
          </w:p>
          <w:p w:rsidR="0012765F" w:rsidRPr="00E12BFF" w:rsidRDefault="0012765F" w:rsidP="0084327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N=97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Pre-treatment period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Amoxicillin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bCs/>
                <w:color w:val="000000"/>
                <w:kern w:val="24"/>
              </w:rPr>
              <w:t>3 (5.8)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bCs/>
                <w:color w:val="000000"/>
                <w:kern w:val="24"/>
              </w:rPr>
              <w:t>4 (8.2)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bCs/>
                <w:color w:val="000000"/>
                <w:kern w:val="24"/>
              </w:rPr>
              <w:t>5 (10.4)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bCs/>
                <w:color w:val="000000"/>
                <w:kern w:val="24"/>
              </w:rPr>
              <w:t>9 (9.3)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Amoxicillin-</w:t>
            </w:r>
            <w:proofErr w:type="spellStart"/>
            <w:r w:rsidRPr="00E12BFF">
              <w:rPr>
                <w:rFonts w:ascii="Arial" w:hAnsi="Arial" w:cs="Arial"/>
                <w:b w:val="0"/>
              </w:rPr>
              <w:t>clavulanate</w:t>
            </w:r>
            <w:proofErr w:type="spellEnd"/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(5.8)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Azithromycin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(5.8)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(2.0)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(1.0)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Cephalexin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(1.9)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(2.0)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ind w:firstLine="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(1.0)</w:t>
            </w: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Clindamycin 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5 (9.6)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(2.0)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(6.3)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4 (4.1)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Fluoroquinolone 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(2.0)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(2.1)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ind w:firstLine="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(2.1)</w:t>
            </w: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</w:rPr>
              <w:t xml:space="preserve">   </w:t>
            </w:r>
            <w:r w:rsidRPr="00E12BFF">
              <w:rPr>
                <w:rFonts w:ascii="Arial" w:hAnsi="Arial" w:cs="Arial"/>
                <w:b w:val="0"/>
              </w:rPr>
              <w:t>Trimethoprim-sulfamethoxazole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(5.8)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5 (10.2)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(2.1)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6 (6.2)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Treatment Period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Amoxicillin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(2.1)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(1.0)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Amoxicillin-</w:t>
            </w:r>
            <w:proofErr w:type="spellStart"/>
            <w:r w:rsidRPr="00E12BFF">
              <w:rPr>
                <w:rFonts w:ascii="Arial" w:hAnsi="Arial" w:cs="Arial"/>
                <w:b w:val="0"/>
              </w:rPr>
              <w:t>clavulanate</w:t>
            </w:r>
            <w:proofErr w:type="spellEnd"/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(5.8)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(4.1)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(2.1)</w:t>
            </w: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Azithromycin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(4.1)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(2.1)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Cephalexin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(3.9)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(6.1)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(2.1)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4 (4.1)</w:t>
            </w: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Ceftriaxone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(4.1)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(2.1)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tabs>
                <w:tab w:val="right" w:pos="2340"/>
              </w:tabs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Clindamycin</w:t>
            </w:r>
            <w:r w:rsidRPr="00E12BFF">
              <w:rPr>
                <w:rFonts w:ascii="Arial" w:hAnsi="Arial" w:cs="Arial"/>
                <w:b w:val="0"/>
              </w:rPr>
              <w:tab/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26 (50.0)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32 (65.3)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29 (60.4)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61 (62.9)</w:t>
            </w: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tabs>
                <w:tab w:val="right" w:pos="2340"/>
              </w:tabs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Doxycycline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(5.8)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(6.1)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4 (8.3)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7 (7.2)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tabs>
                <w:tab w:val="right" w:pos="2340"/>
              </w:tabs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lastRenderedPageBreak/>
              <w:t xml:space="preserve">   Levofloxacin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(1.9)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(4.1)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(2.1)</w:t>
            </w: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tabs>
                <w:tab w:val="right" w:pos="2340"/>
              </w:tabs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hAnsi="Arial" w:cs="Arial"/>
                <w:b w:val="0"/>
              </w:rPr>
              <w:t xml:space="preserve">   Trimethoprim-sulfamethoxazole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21 (40.4)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15 (30.6)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15 (31.3)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30 (30.9)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</w:rPr>
            </w:pPr>
            <w:r w:rsidRPr="00E12BFF">
              <w:rPr>
                <w:rFonts w:ascii="Arial" w:hAnsi="Arial" w:cs="Arial"/>
              </w:rPr>
              <w:t>Post-treatment period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eastAsia="Calibri" w:hAnsi="Arial" w:cs="Arial"/>
                <w:b w:val="0"/>
                <w:bCs w:val="0"/>
                <w:color w:val="000000"/>
                <w:kern w:val="24"/>
              </w:rPr>
              <w:t xml:space="preserve">   Amoxicillin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bCs/>
                <w:color w:val="000000"/>
                <w:kern w:val="24"/>
              </w:rPr>
              <w:t>1 (1.9)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bCs/>
                <w:color w:val="000000"/>
                <w:kern w:val="24"/>
              </w:rPr>
              <w:t>0 (0)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bCs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bCs/>
                <w:color w:val="000000"/>
                <w:kern w:val="24"/>
              </w:rPr>
              <w:t>0 (0)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eastAsia="Calibri" w:hAnsi="Arial" w:cs="Arial"/>
                <w:b w:val="0"/>
                <w:color w:val="000000"/>
                <w:kern w:val="24"/>
              </w:rPr>
              <w:t xml:space="preserve">   Amoxicillin-</w:t>
            </w:r>
            <w:proofErr w:type="spellStart"/>
            <w:r w:rsidRPr="00E12BFF">
              <w:rPr>
                <w:rFonts w:ascii="Arial" w:eastAsia="Calibri" w:hAnsi="Arial" w:cs="Arial"/>
                <w:b w:val="0"/>
                <w:color w:val="000000"/>
                <w:kern w:val="24"/>
              </w:rPr>
              <w:t>clavulanate</w:t>
            </w:r>
            <w:proofErr w:type="spellEnd"/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(1.9)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(2.0)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(1.0)</w:t>
            </w: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eastAsia="Calibri" w:hAnsi="Arial" w:cs="Arial"/>
                <w:b w:val="0"/>
                <w:color w:val="000000"/>
                <w:kern w:val="24"/>
              </w:rPr>
              <w:t xml:space="preserve">   Cephalexin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(1.9)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(1.0)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eastAsia="Calibri" w:hAnsi="Arial" w:cs="Arial"/>
                <w:b w:val="0"/>
                <w:color w:val="000000"/>
                <w:kern w:val="24"/>
              </w:rPr>
              <w:t xml:space="preserve">   Clindamycin 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(1.9)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4 (8.2)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(4.2)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6 (6.2)</w:t>
            </w: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eastAsia="Calibri" w:hAnsi="Arial" w:cs="Arial"/>
                <w:b w:val="0"/>
                <w:color w:val="000000"/>
                <w:kern w:val="24"/>
              </w:rPr>
              <w:t xml:space="preserve">   Doxycycline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(5.8)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(2.0)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0 (0)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(1.0)</w:t>
            </w:r>
          </w:p>
        </w:tc>
      </w:tr>
      <w:tr w:rsidR="0012765F" w:rsidRPr="00E12BFF" w:rsidTr="00843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eastAsia="Calibri" w:hAnsi="Arial" w:cs="Arial"/>
                <w:b w:val="0"/>
                <w:color w:val="000000"/>
                <w:kern w:val="24"/>
              </w:rPr>
              <w:t xml:space="preserve">   Fluoroquinolone 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(1.9)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(2.0)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1 (2.1)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2 (2.1)</w:t>
            </w:r>
          </w:p>
        </w:tc>
      </w:tr>
      <w:tr w:rsidR="0012765F" w:rsidRPr="00E12BFF" w:rsidTr="00843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:rsidR="0012765F" w:rsidRPr="00E12BFF" w:rsidRDefault="0012765F" w:rsidP="00843277">
            <w:pPr>
              <w:spacing w:line="480" w:lineRule="auto"/>
              <w:rPr>
                <w:rFonts w:ascii="Arial" w:hAnsi="Arial" w:cs="Arial"/>
                <w:b w:val="0"/>
              </w:rPr>
            </w:pPr>
            <w:r w:rsidRPr="00E12BFF">
              <w:rPr>
                <w:rFonts w:ascii="Arial" w:eastAsia="Calibri" w:hAnsi="Arial" w:cs="Arial"/>
                <w:b w:val="0"/>
                <w:color w:val="000000"/>
                <w:kern w:val="24"/>
              </w:rPr>
              <w:t xml:space="preserve">   Trimethoprim-sulfamethoxazole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(5.8)</w:t>
            </w:r>
          </w:p>
        </w:tc>
        <w:tc>
          <w:tcPr>
            <w:tcW w:w="198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5 (10.2)</w:t>
            </w:r>
          </w:p>
        </w:tc>
        <w:tc>
          <w:tcPr>
            <w:tcW w:w="1800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3 (6.3)</w:t>
            </w:r>
          </w:p>
        </w:tc>
        <w:tc>
          <w:tcPr>
            <w:tcW w:w="1818" w:type="dxa"/>
          </w:tcPr>
          <w:p w:rsidR="0012765F" w:rsidRPr="00E12BFF" w:rsidRDefault="0012765F" w:rsidP="0084327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12BFF">
              <w:rPr>
                <w:rFonts w:ascii="Arial" w:eastAsia="Calibri" w:hAnsi="Arial" w:cs="Arial"/>
                <w:color w:val="000000"/>
                <w:kern w:val="24"/>
              </w:rPr>
              <w:t>8 (8.3)</w:t>
            </w:r>
          </w:p>
        </w:tc>
      </w:tr>
    </w:tbl>
    <w:p w:rsidR="0012765F" w:rsidRPr="00E12BFF" w:rsidRDefault="0012765F" w:rsidP="0012765F">
      <w:pPr>
        <w:spacing w:after="0" w:line="480" w:lineRule="auto"/>
        <w:rPr>
          <w:rFonts w:ascii="Arial" w:hAnsi="Arial" w:cs="Arial"/>
        </w:rPr>
      </w:pPr>
    </w:p>
    <w:p w:rsidR="0012765F" w:rsidRPr="00E12BFF" w:rsidRDefault="0012765F" w:rsidP="0012765F">
      <w:pPr>
        <w:spacing w:after="0" w:line="480" w:lineRule="auto"/>
        <w:rPr>
          <w:rFonts w:ascii="Arial" w:hAnsi="Arial" w:cs="Arial"/>
        </w:rPr>
      </w:pPr>
      <w:r w:rsidRPr="00E12BFF">
        <w:rPr>
          <w:rFonts w:ascii="Arial" w:hAnsi="Arial" w:cs="Arial"/>
        </w:rPr>
        <w:t>Footnote:</w:t>
      </w:r>
    </w:p>
    <w:p w:rsidR="0012765F" w:rsidRPr="00E12BFF" w:rsidRDefault="0012765F" w:rsidP="0012765F">
      <w:pPr>
        <w:spacing w:after="0" w:line="480" w:lineRule="auto"/>
        <w:rPr>
          <w:rFonts w:ascii="Arial" w:hAnsi="Arial" w:cs="Arial"/>
        </w:rPr>
      </w:pPr>
      <w:r w:rsidRPr="00E12BFF">
        <w:rPr>
          <w:rFonts w:ascii="Arial" w:hAnsi="Arial" w:cs="Arial"/>
        </w:rPr>
        <w:t>Pre-treatment period: the year prior to study enrollment, not including the fourteen days prior to SSTI diagnosis</w:t>
      </w:r>
    </w:p>
    <w:p w:rsidR="0012765F" w:rsidRPr="00E12BFF" w:rsidRDefault="0012765F" w:rsidP="0012765F">
      <w:pPr>
        <w:spacing w:after="0" w:line="480" w:lineRule="auto"/>
        <w:rPr>
          <w:rFonts w:ascii="Arial" w:hAnsi="Arial" w:cs="Arial"/>
        </w:rPr>
      </w:pPr>
      <w:r w:rsidRPr="00E12BFF">
        <w:rPr>
          <w:rFonts w:ascii="Arial" w:hAnsi="Arial" w:cs="Arial"/>
        </w:rPr>
        <w:t>Treatment period: 14 days following diagnosis of MRSA SSTI</w:t>
      </w:r>
    </w:p>
    <w:p w:rsidR="0012765F" w:rsidRPr="00E12BFF" w:rsidRDefault="0012765F" w:rsidP="0012765F">
      <w:pPr>
        <w:spacing w:after="0" w:line="480" w:lineRule="auto"/>
        <w:rPr>
          <w:rFonts w:ascii="Arial" w:hAnsi="Arial" w:cs="Arial"/>
        </w:rPr>
      </w:pPr>
      <w:r w:rsidRPr="00E12BFF">
        <w:rPr>
          <w:rFonts w:ascii="Arial" w:hAnsi="Arial" w:cs="Arial"/>
        </w:rPr>
        <w:t>Post-treatment period: from 15 days following diagnosis of MRSA SSTI until end of follow-up</w:t>
      </w:r>
    </w:p>
    <w:p w:rsidR="0012765F" w:rsidRPr="00E12BFF" w:rsidRDefault="0012765F" w:rsidP="0012765F">
      <w:pPr>
        <w:spacing w:after="0" w:line="480" w:lineRule="auto"/>
        <w:rPr>
          <w:rFonts w:ascii="Arial" w:hAnsi="Arial" w:cs="Arial"/>
        </w:rPr>
      </w:pPr>
    </w:p>
    <w:p w:rsidR="0012765F" w:rsidRDefault="0012765F">
      <w:pPr>
        <w:spacing w:after="0" w:line="240" w:lineRule="auto"/>
      </w:pPr>
      <w:r>
        <w:br w:type="page"/>
      </w:r>
    </w:p>
    <w:p w:rsidR="0012765F" w:rsidRPr="00E12BFF" w:rsidRDefault="0012765F" w:rsidP="0012765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Supplementary Figure</w:t>
      </w:r>
      <w:r w:rsidRPr="00E12B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Pr="00E12BFF">
        <w:rPr>
          <w:rFonts w:ascii="Arial" w:hAnsi="Arial" w:cs="Arial"/>
          <w:b/>
        </w:rPr>
        <w:t xml:space="preserve">. Kaplan Meier curve of time to clearance of colonization: education-only vs. supervised decolonization vs. unsupervised decolonization </w:t>
      </w:r>
    </w:p>
    <w:p w:rsidR="0012765F" w:rsidRDefault="0012765F" w:rsidP="0012765F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Supplementary </w:t>
      </w:r>
      <w:proofErr w:type="gramStart"/>
      <w:r>
        <w:rPr>
          <w:rFonts w:ascii="Arial" w:hAnsi="Arial" w:cs="Arial"/>
          <w:b/>
        </w:rPr>
        <w:t xml:space="preserve">Figure </w:t>
      </w:r>
      <w:r w:rsidRPr="00E12B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proofErr w:type="gramEnd"/>
      <w:r w:rsidRPr="00E12BFF">
        <w:rPr>
          <w:rFonts w:ascii="Arial" w:hAnsi="Arial" w:cs="Arial"/>
          <w:b/>
        </w:rPr>
        <w:t xml:space="preserve">. Kaplan Meier curve of time to clearance of colonization: education-only vs. </w:t>
      </w:r>
      <w:r w:rsidRPr="00E12BFF">
        <w:rPr>
          <w:rFonts w:ascii="Arial" w:hAnsi="Arial" w:cs="Arial"/>
          <w:b/>
          <w:u w:val="single"/>
        </w:rPr>
        <w:t>&gt;</w:t>
      </w:r>
      <w:r w:rsidRPr="00E12BFF">
        <w:rPr>
          <w:rFonts w:ascii="Arial" w:hAnsi="Arial" w:cs="Arial"/>
          <w:b/>
        </w:rPr>
        <w:t>50% compliance with decolonization (per-protocol)</w:t>
      </w:r>
    </w:p>
    <w:p w:rsidR="0012765F" w:rsidRDefault="0012765F" w:rsidP="0012765F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Figure 3</w:t>
      </w:r>
      <w:r w:rsidRPr="00E12BFF">
        <w:rPr>
          <w:rFonts w:ascii="Arial" w:hAnsi="Arial" w:cs="Arial"/>
          <w:b/>
        </w:rPr>
        <w:t xml:space="preserve">. Kaplan Meier curve of time to clearance of colonization: </w:t>
      </w:r>
      <w:r w:rsidRPr="00E12BFF">
        <w:rPr>
          <w:rFonts w:ascii="Arial" w:hAnsi="Arial" w:cs="Arial"/>
          <w:b/>
          <w:u w:val="single"/>
        </w:rPr>
        <w:t>&gt;</w:t>
      </w:r>
      <w:r w:rsidRPr="00E12BFF">
        <w:rPr>
          <w:rFonts w:ascii="Arial" w:hAnsi="Arial" w:cs="Arial"/>
          <w:b/>
        </w:rPr>
        <w:t>50% compliance vs. less than 50% compliance</w:t>
      </w:r>
    </w:p>
    <w:p w:rsidR="0012765F" w:rsidRPr="00E12BFF" w:rsidRDefault="0012765F" w:rsidP="0012765F">
      <w:pPr>
        <w:spacing w:after="0" w:line="480" w:lineRule="auto"/>
        <w:rPr>
          <w:rFonts w:ascii="Arial" w:hAnsi="Arial" w:cs="Arial"/>
          <w:b/>
        </w:rPr>
      </w:pPr>
    </w:p>
    <w:p w:rsidR="00A37919" w:rsidRDefault="00A37919"/>
    <w:sectPr w:rsidR="00A37919" w:rsidSect="001276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5F"/>
    <w:rsid w:val="0012765F"/>
    <w:rsid w:val="00A37919"/>
    <w:rsid w:val="00BA1656"/>
    <w:rsid w:val="00C8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DD8E340-C323-4CDE-850A-854D5294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65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12765F"/>
    <w:rPr>
      <w:rFonts w:eastAsia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1846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Cluzet</dc:creator>
  <cp:keywords/>
  <dc:description/>
  <cp:lastModifiedBy>Ebbing Lautenbach</cp:lastModifiedBy>
  <cp:revision>2</cp:revision>
  <dcterms:created xsi:type="dcterms:W3CDTF">2023-02-01T18:59:00Z</dcterms:created>
  <dcterms:modified xsi:type="dcterms:W3CDTF">2023-02-01T18:59:00Z</dcterms:modified>
</cp:coreProperties>
</file>