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85B1" w14:textId="3E04E41D" w:rsidR="00773410" w:rsidRDefault="00AC3EB0" w:rsidP="00AC3EB0">
      <w:pPr>
        <w:pStyle w:val="Heading1"/>
      </w:pPr>
      <w:r>
        <w:t>Supplemental materials</w:t>
      </w:r>
    </w:p>
    <w:p w14:paraId="438E0CDB" w14:textId="77777777" w:rsidR="00AC3EB0" w:rsidRDefault="00AC3EB0" w:rsidP="00AC3EB0">
      <w:pPr>
        <w:pStyle w:val="Heading2"/>
        <w:spacing w:line="480" w:lineRule="auto"/>
        <w:rPr>
          <w:rFonts w:ascii="Calibri Light" w:eastAsia="Yu Gothic Light" w:hAnsi="Calibri Light" w:cs="Times New Roman"/>
        </w:rPr>
      </w:pPr>
      <w:r>
        <w:t>Methods</w:t>
      </w:r>
    </w:p>
    <w:p w14:paraId="704C1BD1" w14:textId="77777777" w:rsidR="00166205" w:rsidRDefault="00166205" w:rsidP="00166205">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Fonts w:ascii="Calibri" w:eastAsiaTheme="majorEastAsia" w:hAnsi="Calibri" w:cs="Calibri"/>
          <w:sz w:val="22"/>
          <w:szCs w:val="22"/>
        </w:rPr>
        <w:t>The study linked state/territory health department data on HEU children to cancer registry data from participating sites in the HIV/AIDS Cancer Match Study (</w:t>
      </w:r>
      <w:hyperlink r:id="rId9" w:tgtFrame="_blank" w:history="1">
        <w:r>
          <w:rPr>
            <w:rStyle w:val="normaltextrun"/>
            <w:rFonts w:ascii="Calibri" w:eastAsiaTheme="majorEastAsia" w:hAnsi="Calibri" w:cs="Calibri"/>
            <w:color w:val="0000FF"/>
            <w:sz w:val="22"/>
            <w:szCs w:val="22"/>
            <w:u w:val="single"/>
          </w:rPr>
          <w:t>https://hivmatch.cancer.gov/</w:t>
        </w:r>
      </w:hyperlink>
      <w:r>
        <w:rPr>
          <w:rStyle w:val="normaltextrun"/>
          <w:rFonts w:ascii="Calibri" w:eastAsiaTheme="majorEastAsia" w:hAnsi="Calibri" w:cs="Calibri"/>
          <w:sz w:val="22"/>
          <w:szCs w:val="22"/>
        </w:rPr>
        <w:t>). The study was approved by institutional review boards at these sites, as required. </w:t>
      </w:r>
      <w:r>
        <w:rPr>
          <w:rStyle w:val="eop"/>
          <w:rFonts w:ascii="Calibri" w:hAnsi="Calibri" w:cs="Calibri"/>
          <w:sz w:val="22"/>
          <w:szCs w:val="22"/>
        </w:rPr>
        <w:t> </w:t>
      </w:r>
    </w:p>
    <w:p w14:paraId="32D41810" w14:textId="77777777" w:rsidR="00166205" w:rsidRDefault="00166205" w:rsidP="00166205">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Fonts w:ascii="Calibri" w:eastAsiaTheme="majorEastAsia" w:hAnsi="Calibri" w:cs="Calibri"/>
          <w:sz w:val="22"/>
          <w:szCs w:val="22"/>
        </w:rPr>
        <w:t>We constructed a cohort of HEU children based on overlapping availability of HEU and cancer data in the following states/territories: Connecticut (calendar years of analysis: 2006-2017), Georgia (2005-2010), Louisiana (1990-2017), Michigan (1990-2017), Puerto Rico (1990-2016), and Texas (1999-2014). Follow-up started at birth and ended at the earlier of age 20, death, or end of cancer registry coverage. HEU data included demographic characteristics and maternal ARV use, although ARV data were inconsistently collected across sites</w:t>
      </w:r>
      <w:r>
        <w:rPr>
          <w:rStyle w:val="normaltextrun"/>
          <w:rFonts w:ascii="Calibri" w:eastAsiaTheme="majorEastAsia" w:hAnsi="Calibri" w:cs="Calibri"/>
          <w:color w:val="000000"/>
          <w:sz w:val="22"/>
          <w:szCs w:val="22"/>
          <w:shd w:val="clear" w:color="auto" w:fill="FFFFFF"/>
        </w:rPr>
        <w:t>.</w:t>
      </w:r>
      <w:r>
        <w:rPr>
          <w:rStyle w:val="eop"/>
          <w:rFonts w:ascii="Calibri" w:hAnsi="Calibri" w:cs="Calibri"/>
          <w:color w:val="000000"/>
          <w:sz w:val="22"/>
          <w:szCs w:val="22"/>
        </w:rPr>
        <w:t> </w:t>
      </w:r>
    </w:p>
    <w:p w14:paraId="0DABF076" w14:textId="77777777" w:rsidR="00166205" w:rsidRDefault="00166205" w:rsidP="00166205">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Fonts w:ascii="Calibri" w:eastAsiaTheme="majorEastAsia" w:hAnsi="Calibri" w:cs="Calibri"/>
          <w:sz w:val="22"/>
          <w:szCs w:val="22"/>
        </w:rPr>
        <w:t xml:space="preserve">Cancers were classified using the International Classification of Childhood Cancers </w:t>
      </w:r>
      <w:r>
        <w:rPr>
          <w:rStyle w:val="normaltextrun"/>
          <w:rFonts w:ascii="Calibri" w:eastAsiaTheme="majorEastAsia" w:hAnsi="Calibri" w:cs="Calibri"/>
          <w:color w:val="000000"/>
          <w:sz w:val="22"/>
          <w:szCs w:val="22"/>
          <w:shd w:val="clear" w:color="auto" w:fill="E1E3E6"/>
        </w:rPr>
        <w:t>[14]</w:t>
      </w:r>
      <w:r>
        <w:rPr>
          <w:rStyle w:val="normaltextrun"/>
          <w:rFonts w:ascii="Calibri" w:eastAsiaTheme="majorEastAsia" w:hAnsi="Calibri" w:cs="Calibri"/>
          <w:sz w:val="22"/>
          <w:szCs w:val="22"/>
        </w:rPr>
        <w:t xml:space="preserve"> and grouped as leukemias, brain tumors, and other cancers. We also analyzed </w:t>
      </w:r>
      <w:r>
        <w:rPr>
          <w:rStyle w:val="spellingerror"/>
          <w:rFonts w:ascii="Calibri" w:hAnsi="Calibri" w:cs="Calibri"/>
          <w:sz w:val="22"/>
          <w:szCs w:val="22"/>
        </w:rPr>
        <w:t>astrocytomas</w:t>
      </w:r>
      <w:r>
        <w:rPr>
          <w:rStyle w:val="normaltextrun"/>
          <w:rFonts w:ascii="Calibri" w:eastAsiaTheme="majorEastAsia" w:hAnsi="Calibri" w:cs="Calibri"/>
          <w:sz w:val="22"/>
          <w:szCs w:val="22"/>
        </w:rPr>
        <w:t xml:space="preserve"> as a separate outcome </w:t>
      </w:r>
      <w:r>
        <w:rPr>
          <w:rStyle w:val="normaltextrun"/>
          <w:rFonts w:ascii="Calibri" w:eastAsiaTheme="majorEastAsia" w:hAnsi="Calibri" w:cs="Calibri"/>
          <w:color w:val="000000"/>
          <w:sz w:val="22"/>
          <w:szCs w:val="22"/>
          <w:shd w:val="clear" w:color="auto" w:fill="E1E3E6"/>
        </w:rPr>
        <w:t>[15]</w:t>
      </w:r>
      <w:r>
        <w:rPr>
          <w:rStyle w:val="normaltextrun"/>
          <w:rFonts w:ascii="Calibri" w:eastAsiaTheme="majorEastAsia" w:hAnsi="Calibri" w:cs="Calibri"/>
          <w:sz w:val="22"/>
          <w:szCs w:val="22"/>
        </w:rPr>
        <w:t xml:space="preserve">. We calculated standardized incidence ratios (SIRs) to measure cancer risk, by dividing the observed number of cancers among HEU children by the expected number. Expected counts were estimated by applying incidence rates from the general population based on sex, age (5-year categories), race/ethnicity, calendar year, and registry area. </w:t>
      </w:r>
      <w:r>
        <w:rPr>
          <w:rStyle w:val="eop"/>
          <w:rFonts w:ascii="Calibri" w:hAnsi="Calibri" w:cs="Calibri"/>
          <w:sz w:val="22"/>
          <w:szCs w:val="22"/>
        </w:rPr>
        <w:t> </w:t>
      </w:r>
    </w:p>
    <w:p w14:paraId="18349FC2" w14:textId="77777777" w:rsidR="00166205" w:rsidRDefault="00166205" w:rsidP="00166205">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Fonts w:ascii="Calibri" w:eastAsiaTheme="majorEastAsia" w:hAnsi="Calibri" w:cs="Calibri"/>
          <w:sz w:val="22"/>
          <w:szCs w:val="22"/>
        </w:rPr>
        <w:t xml:space="preserve">We describe perinatal ARV medication exposure among children diagnosed with brain tumors. We also conducted a </w:t>
      </w:r>
      <w:r>
        <w:rPr>
          <w:rStyle w:val="normaltextrun"/>
          <w:rFonts w:ascii="Calibri" w:eastAsiaTheme="majorEastAsia" w:hAnsi="Calibri" w:cs="Calibri"/>
          <w:i/>
          <w:iCs/>
          <w:sz w:val="22"/>
          <w:szCs w:val="22"/>
        </w:rPr>
        <w:t>post hoc</w:t>
      </w:r>
      <w:r>
        <w:rPr>
          <w:rStyle w:val="normaltextrun"/>
          <w:rFonts w:ascii="Calibri" w:eastAsiaTheme="majorEastAsia" w:hAnsi="Calibri" w:cs="Calibri"/>
          <w:sz w:val="22"/>
          <w:szCs w:val="22"/>
        </w:rPr>
        <w:t xml:space="preserve"> review of cancer registry records on children with brain tumors for evidence of inherited cancer syndromes.</w:t>
      </w:r>
      <w:r>
        <w:rPr>
          <w:rStyle w:val="eop"/>
          <w:rFonts w:ascii="Calibri" w:hAnsi="Calibri" w:cs="Calibri"/>
          <w:sz w:val="22"/>
          <w:szCs w:val="22"/>
        </w:rPr>
        <w:t> </w:t>
      </w:r>
    </w:p>
    <w:p w14:paraId="0F5A7281" w14:textId="1BE77A6F" w:rsidR="00AC3EB0" w:rsidRDefault="00AC3EB0" w:rsidP="00AC3EB0"/>
    <w:p w14:paraId="63F8768E" w14:textId="59C416A7" w:rsidR="00AC3EB0" w:rsidRPr="00166205" w:rsidRDefault="00166205" w:rsidP="00166205">
      <w:pPr>
        <w:pStyle w:val="Heading2"/>
        <w:spacing w:after="240"/>
      </w:pPr>
      <w:r>
        <w:t>R</w:t>
      </w:r>
      <w:r w:rsidR="00AC3EB0">
        <w:t>esults</w:t>
      </w:r>
    </w:p>
    <w:p w14:paraId="4010F601" w14:textId="5570DAAE" w:rsidR="00166205" w:rsidRDefault="00166205" w:rsidP="00166205">
      <w:pPr>
        <w:spacing w:line="360" w:lineRule="auto"/>
        <w:ind w:firstLine="720"/>
      </w:pPr>
      <w:r>
        <w:rPr>
          <w:rStyle w:val="normaltextrun"/>
          <w:rFonts w:ascii="Calibri" w:hAnsi="Calibri" w:cs="Calibri"/>
          <w:color w:val="000000"/>
          <w:shd w:val="clear" w:color="auto" w:fill="FFFFFF"/>
        </w:rPr>
        <w:t>The study cohort comprised 13,617 HEU children, most of whom were documented to be exposed to maternal ARVs during pregnancy and labor and delivery (Supplemental Table). Children were followed for a total of 133,667 person-years (median 9.3 years, interquartile range 4.4-15.2 years, with a maximum of 20 years). During this follow-up, 18 cancers were diagnosed, of which 6 were brain tumors (3 pilocytic astrocytomas, 1 oligoastrocytoma, 1 craniopharyngioma, 1 ependymoma), 5 leukemias (4 lymphoid leukemias, 1 chronic myeloproliferative disease), and 7 other cancers (1 fibrosarcoma, 4 nephroblastomas, 1 retinoblastoma, 1 gonadal germ cell tumor). Median age at cancer diagnosis was 2.5 years (interquartile range 1-7); 10 cases occurred among boys and 7 among girls. </w:t>
      </w:r>
      <w:r>
        <w:rPr>
          <w:rStyle w:val="eop"/>
          <w:rFonts w:ascii="Calibri" w:hAnsi="Calibri" w:cs="Calibri"/>
          <w:color w:val="000000"/>
          <w:shd w:val="clear" w:color="auto" w:fill="FFFFFF"/>
        </w:rPr>
        <w:t> </w:t>
      </w:r>
    </w:p>
    <w:p w14:paraId="31252EC8" w14:textId="77777777" w:rsidR="00166205" w:rsidRDefault="00166205">
      <w:pPr>
        <w:sectPr w:rsidR="00166205" w:rsidSect="00166205">
          <w:footerReference w:type="default" r:id="rId10"/>
          <w:pgSz w:w="12240" w:h="15840"/>
          <w:pgMar w:top="1440" w:right="1440" w:bottom="1440" w:left="1440" w:header="720" w:footer="720" w:gutter="0"/>
          <w:cols w:space="720"/>
          <w:docGrid w:linePitch="360"/>
        </w:sectPr>
      </w:pPr>
    </w:p>
    <w:p w14:paraId="25953A60" w14:textId="0922ACD2" w:rsidR="00AC3EB0" w:rsidRDefault="00AC3EB0" w:rsidP="00AC3EB0">
      <w:r>
        <w:lastRenderedPageBreak/>
        <w:t xml:space="preserve">Supplemental Table. Perinatal antiretroviral medication exposures among </w:t>
      </w:r>
      <w:r w:rsidRPr="003A4D28">
        <w:t>HIV-exposed uninfected children</w:t>
      </w:r>
      <w:r>
        <w:t xml:space="preserve"> in the United States</w:t>
      </w:r>
      <w:r w:rsidRPr="003A4D28">
        <w:t>, 1990-2017</w:t>
      </w:r>
      <w:r>
        <w:t>.</w:t>
      </w:r>
    </w:p>
    <w:tbl>
      <w:tblPr>
        <w:tblW w:w="12050" w:type="dxa"/>
        <w:tblLook w:val="04A0" w:firstRow="1" w:lastRow="0" w:firstColumn="1" w:lastColumn="0" w:noHBand="0" w:noVBand="1"/>
      </w:tblPr>
      <w:tblGrid>
        <w:gridCol w:w="1874"/>
        <w:gridCol w:w="1361"/>
        <w:gridCol w:w="1393"/>
        <w:gridCol w:w="831"/>
        <w:gridCol w:w="1597"/>
        <w:gridCol w:w="850"/>
        <w:gridCol w:w="1744"/>
        <w:gridCol w:w="831"/>
        <w:gridCol w:w="1569"/>
      </w:tblGrid>
      <w:tr w:rsidR="00AC3EB0" w:rsidRPr="00B84568" w14:paraId="27093314" w14:textId="77777777" w:rsidTr="00074A29">
        <w:trPr>
          <w:trHeight w:val="757"/>
        </w:trPr>
        <w:tc>
          <w:tcPr>
            <w:tcW w:w="1874" w:type="dxa"/>
            <w:vMerge w:val="restart"/>
            <w:tcBorders>
              <w:top w:val="single" w:sz="4" w:space="0" w:color="000000"/>
              <w:left w:val="nil"/>
              <w:bottom w:val="single" w:sz="4" w:space="0" w:color="000000"/>
              <w:right w:val="nil"/>
            </w:tcBorders>
            <w:shd w:val="clear" w:color="auto" w:fill="auto"/>
            <w:noWrap/>
            <w:vAlign w:val="bottom"/>
            <w:hideMark/>
          </w:tcPr>
          <w:p w14:paraId="68ED4532" w14:textId="77777777" w:rsidR="00AC3EB0" w:rsidRPr="00B84568" w:rsidRDefault="00AC3EB0" w:rsidP="00074A29">
            <w:pPr>
              <w:spacing w:after="0" w:line="480" w:lineRule="auto"/>
              <w:rPr>
                <w:rFonts w:ascii="Calibri" w:eastAsia="Times New Roman" w:hAnsi="Calibri" w:cs="Calibri"/>
                <w:color w:val="000000"/>
              </w:rPr>
            </w:pPr>
            <w:r w:rsidRPr="00B84568">
              <w:rPr>
                <w:rFonts w:ascii="Calibri" w:eastAsia="Times New Roman" w:hAnsi="Calibri" w:cs="Calibri"/>
                <w:color w:val="000000"/>
              </w:rPr>
              <w:t>Region</w:t>
            </w:r>
          </w:p>
        </w:tc>
        <w:tc>
          <w:tcPr>
            <w:tcW w:w="1361" w:type="dxa"/>
            <w:vMerge w:val="restart"/>
            <w:tcBorders>
              <w:top w:val="single" w:sz="4" w:space="0" w:color="000000"/>
              <w:left w:val="nil"/>
              <w:bottom w:val="single" w:sz="4" w:space="0" w:color="000000"/>
              <w:right w:val="nil"/>
            </w:tcBorders>
            <w:shd w:val="clear" w:color="auto" w:fill="auto"/>
            <w:vAlign w:val="bottom"/>
            <w:hideMark/>
          </w:tcPr>
          <w:p w14:paraId="71848493"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HEU children, N</w:t>
            </w:r>
          </w:p>
        </w:tc>
        <w:tc>
          <w:tcPr>
            <w:tcW w:w="1393" w:type="dxa"/>
            <w:vMerge w:val="restart"/>
            <w:tcBorders>
              <w:top w:val="single" w:sz="4" w:space="0" w:color="000000"/>
              <w:left w:val="nil"/>
              <w:bottom w:val="single" w:sz="4" w:space="0" w:color="000000"/>
              <w:right w:val="nil"/>
            </w:tcBorders>
            <w:shd w:val="clear" w:color="auto" w:fill="auto"/>
            <w:noWrap/>
            <w:vAlign w:val="bottom"/>
            <w:hideMark/>
          </w:tcPr>
          <w:p w14:paraId="03DEED72"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Person-years</w:t>
            </w:r>
            <w:r>
              <w:rPr>
                <w:rFonts w:ascii="Calibri" w:eastAsia="Times New Roman" w:hAnsi="Calibri" w:cs="Calibri"/>
                <w:color w:val="000000"/>
              </w:rPr>
              <w:t xml:space="preserve"> of follow-up</w:t>
            </w:r>
          </w:p>
        </w:tc>
        <w:tc>
          <w:tcPr>
            <w:tcW w:w="2428" w:type="dxa"/>
            <w:gridSpan w:val="2"/>
            <w:tcBorders>
              <w:top w:val="single" w:sz="4" w:space="0" w:color="000000"/>
              <w:left w:val="nil"/>
              <w:bottom w:val="single" w:sz="4" w:space="0" w:color="000000"/>
              <w:right w:val="nil"/>
            </w:tcBorders>
            <w:shd w:val="clear" w:color="auto" w:fill="auto"/>
            <w:vAlign w:val="bottom"/>
            <w:hideMark/>
          </w:tcPr>
          <w:p w14:paraId="1A47F393" w14:textId="77777777" w:rsidR="00AC3EB0" w:rsidRDefault="00AC3EB0" w:rsidP="00074A29">
            <w:pPr>
              <w:spacing w:after="0" w:line="480" w:lineRule="auto"/>
              <w:jc w:val="center"/>
              <w:rPr>
                <w:rFonts w:ascii="Calibri" w:eastAsia="Times New Roman" w:hAnsi="Calibri" w:cs="Calibri"/>
                <w:color w:val="000000"/>
              </w:rPr>
            </w:pPr>
            <w:r>
              <w:rPr>
                <w:rFonts w:ascii="Calibri" w:eastAsia="Times New Roman" w:hAnsi="Calibri" w:cs="Calibri"/>
                <w:i/>
                <w:iCs/>
                <w:color w:val="000000"/>
              </w:rPr>
              <w:t>I</w:t>
            </w:r>
            <w:r w:rsidRPr="00B84568">
              <w:rPr>
                <w:rFonts w:ascii="Calibri" w:eastAsia="Times New Roman" w:hAnsi="Calibri" w:cs="Calibri"/>
                <w:i/>
                <w:iCs/>
                <w:color w:val="000000"/>
              </w:rPr>
              <w:t>n utero</w:t>
            </w:r>
            <w:r w:rsidRPr="00B84568">
              <w:rPr>
                <w:rFonts w:ascii="Calibri" w:eastAsia="Times New Roman" w:hAnsi="Calibri" w:cs="Calibri"/>
                <w:color w:val="000000"/>
              </w:rPr>
              <w:t xml:space="preserve"> ARV</w:t>
            </w:r>
            <w:r>
              <w:rPr>
                <w:rFonts w:ascii="Calibri" w:eastAsia="Times New Roman" w:hAnsi="Calibri" w:cs="Calibri"/>
                <w:color w:val="000000"/>
              </w:rPr>
              <w:t xml:space="preserve"> </w:t>
            </w:r>
          </w:p>
          <w:p w14:paraId="55581AFA" w14:textId="77777777" w:rsidR="00AC3EB0" w:rsidRPr="00B84568" w:rsidRDefault="00AC3EB0" w:rsidP="00074A29">
            <w:pPr>
              <w:spacing w:after="0" w:line="480" w:lineRule="auto"/>
              <w:jc w:val="center"/>
              <w:rPr>
                <w:rFonts w:ascii="Calibri" w:eastAsia="Times New Roman" w:hAnsi="Calibri" w:cs="Calibri"/>
                <w:color w:val="000000"/>
              </w:rPr>
            </w:pPr>
            <w:r>
              <w:rPr>
                <w:rFonts w:ascii="Calibri" w:eastAsia="Times New Roman" w:hAnsi="Calibri" w:cs="Calibri"/>
                <w:color w:val="000000"/>
              </w:rPr>
              <w:t>Exposure</w:t>
            </w:r>
          </w:p>
        </w:tc>
        <w:tc>
          <w:tcPr>
            <w:tcW w:w="2594" w:type="dxa"/>
            <w:gridSpan w:val="2"/>
            <w:tcBorders>
              <w:top w:val="single" w:sz="4" w:space="0" w:color="000000"/>
              <w:left w:val="nil"/>
              <w:bottom w:val="single" w:sz="4" w:space="0" w:color="000000"/>
              <w:right w:val="nil"/>
            </w:tcBorders>
            <w:shd w:val="clear" w:color="auto" w:fill="auto"/>
            <w:vAlign w:val="bottom"/>
            <w:hideMark/>
          </w:tcPr>
          <w:p w14:paraId="300FDB16" w14:textId="77777777" w:rsidR="00AC3EB0" w:rsidRPr="00B84568" w:rsidRDefault="00AC3EB0" w:rsidP="00074A29">
            <w:pPr>
              <w:spacing w:after="0" w:line="480" w:lineRule="auto"/>
              <w:jc w:val="center"/>
              <w:rPr>
                <w:rFonts w:ascii="Calibri" w:eastAsia="Times New Roman" w:hAnsi="Calibri" w:cs="Calibri"/>
                <w:color w:val="000000"/>
              </w:rPr>
            </w:pPr>
            <w:r>
              <w:rPr>
                <w:rFonts w:ascii="Calibri" w:eastAsia="Times New Roman" w:hAnsi="Calibri" w:cs="Calibri"/>
                <w:color w:val="000000"/>
              </w:rPr>
              <w:t>L</w:t>
            </w:r>
            <w:r w:rsidRPr="00B84568">
              <w:rPr>
                <w:rFonts w:ascii="Calibri" w:eastAsia="Times New Roman" w:hAnsi="Calibri" w:cs="Calibri"/>
                <w:color w:val="000000"/>
              </w:rPr>
              <w:t>abor and delivery ARV</w:t>
            </w:r>
            <w:r>
              <w:rPr>
                <w:rFonts w:ascii="Calibri" w:eastAsia="Times New Roman" w:hAnsi="Calibri" w:cs="Calibri"/>
                <w:color w:val="000000"/>
              </w:rPr>
              <w:t xml:space="preserve"> exposure</w:t>
            </w:r>
          </w:p>
        </w:tc>
        <w:tc>
          <w:tcPr>
            <w:tcW w:w="2400" w:type="dxa"/>
            <w:gridSpan w:val="2"/>
            <w:tcBorders>
              <w:top w:val="single" w:sz="4" w:space="0" w:color="000000"/>
              <w:left w:val="nil"/>
              <w:bottom w:val="single" w:sz="4" w:space="0" w:color="000000"/>
              <w:right w:val="nil"/>
            </w:tcBorders>
            <w:shd w:val="clear" w:color="auto" w:fill="auto"/>
            <w:noWrap/>
            <w:vAlign w:val="bottom"/>
            <w:hideMark/>
          </w:tcPr>
          <w:p w14:paraId="6B54B4E7" w14:textId="77777777" w:rsidR="00AC3EB0" w:rsidRDefault="00AC3EB0" w:rsidP="00074A29">
            <w:pPr>
              <w:spacing w:after="0" w:line="480" w:lineRule="auto"/>
              <w:jc w:val="center"/>
              <w:rPr>
                <w:rFonts w:ascii="Calibri" w:eastAsia="Times New Roman" w:hAnsi="Calibri" w:cs="Calibri"/>
                <w:color w:val="000000"/>
              </w:rPr>
            </w:pPr>
            <w:r>
              <w:rPr>
                <w:rFonts w:ascii="Calibri" w:eastAsia="Times New Roman" w:hAnsi="Calibri" w:cs="Calibri"/>
                <w:color w:val="000000"/>
              </w:rPr>
              <w:t>P</w:t>
            </w:r>
            <w:r w:rsidRPr="00B84568">
              <w:rPr>
                <w:rFonts w:ascii="Calibri" w:eastAsia="Times New Roman" w:hAnsi="Calibri" w:cs="Calibri"/>
                <w:color w:val="000000"/>
              </w:rPr>
              <w:t>ostnatal ARV</w:t>
            </w:r>
          </w:p>
          <w:p w14:paraId="2BAD00EC" w14:textId="77777777" w:rsidR="00AC3EB0" w:rsidRPr="00B84568" w:rsidRDefault="00AC3EB0" w:rsidP="00074A29">
            <w:pPr>
              <w:spacing w:after="0" w:line="480" w:lineRule="auto"/>
              <w:jc w:val="center"/>
              <w:rPr>
                <w:rFonts w:ascii="Calibri" w:eastAsia="Times New Roman" w:hAnsi="Calibri" w:cs="Calibri"/>
                <w:color w:val="000000"/>
              </w:rPr>
            </w:pPr>
            <w:r>
              <w:rPr>
                <w:rFonts w:ascii="Calibri" w:eastAsia="Times New Roman" w:hAnsi="Calibri" w:cs="Calibri"/>
                <w:color w:val="000000"/>
              </w:rPr>
              <w:t>exposure</w:t>
            </w:r>
          </w:p>
        </w:tc>
      </w:tr>
      <w:tr w:rsidR="00AC3EB0" w:rsidRPr="00B84568" w14:paraId="036AC2C4" w14:textId="77777777" w:rsidTr="00074A29">
        <w:trPr>
          <w:trHeight w:val="271"/>
        </w:trPr>
        <w:tc>
          <w:tcPr>
            <w:tcW w:w="1874" w:type="dxa"/>
            <w:vMerge/>
            <w:tcBorders>
              <w:top w:val="single" w:sz="4" w:space="0" w:color="000000"/>
              <w:left w:val="nil"/>
              <w:bottom w:val="single" w:sz="4" w:space="0" w:color="000000"/>
              <w:right w:val="nil"/>
            </w:tcBorders>
            <w:vAlign w:val="center"/>
            <w:hideMark/>
          </w:tcPr>
          <w:p w14:paraId="26F95BD6" w14:textId="77777777" w:rsidR="00AC3EB0" w:rsidRPr="00B84568" w:rsidRDefault="00AC3EB0" w:rsidP="00074A29">
            <w:pPr>
              <w:spacing w:after="0" w:line="480" w:lineRule="auto"/>
              <w:rPr>
                <w:rFonts w:ascii="Calibri" w:eastAsia="Times New Roman" w:hAnsi="Calibri" w:cs="Calibri"/>
                <w:color w:val="000000"/>
              </w:rPr>
            </w:pPr>
          </w:p>
        </w:tc>
        <w:tc>
          <w:tcPr>
            <w:tcW w:w="1361" w:type="dxa"/>
            <w:vMerge/>
            <w:tcBorders>
              <w:top w:val="single" w:sz="4" w:space="0" w:color="000000"/>
              <w:left w:val="nil"/>
              <w:bottom w:val="single" w:sz="4" w:space="0" w:color="000000"/>
              <w:right w:val="nil"/>
            </w:tcBorders>
            <w:vAlign w:val="center"/>
            <w:hideMark/>
          </w:tcPr>
          <w:p w14:paraId="4744E4DA" w14:textId="77777777" w:rsidR="00AC3EB0" w:rsidRPr="00B84568" w:rsidRDefault="00AC3EB0" w:rsidP="00074A29">
            <w:pPr>
              <w:spacing w:after="0" w:line="480" w:lineRule="auto"/>
              <w:rPr>
                <w:rFonts w:ascii="Calibri" w:eastAsia="Times New Roman" w:hAnsi="Calibri" w:cs="Calibri"/>
                <w:color w:val="000000"/>
              </w:rPr>
            </w:pPr>
          </w:p>
        </w:tc>
        <w:tc>
          <w:tcPr>
            <w:tcW w:w="1393" w:type="dxa"/>
            <w:vMerge/>
            <w:tcBorders>
              <w:top w:val="single" w:sz="4" w:space="0" w:color="000000"/>
              <w:left w:val="nil"/>
              <w:bottom w:val="single" w:sz="4" w:space="0" w:color="000000"/>
              <w:right w:val="nil"/>
            </w:tcBorders>
            <w:vAlign w:val="center"/>
            <w:hideMark/>
          </w:tcPr>
          <w:p w14:paraId="390C5D4E" w14:textId="77777777" w:rsidR="00AC3EB0" w:rsidRPr="00B84568" w:rsidRDefault="00AC3EB0" w:rsidP="00074A29">
            <w:pPr>
              <w:spacing w:after="0" w:line="480" w:lineRule="auto"/>
              <w:rPr>
                <w:rFonts w:ascii="Calibri" w:eastAsia="Times New Roman" w:hAnsi="Calibri" w:cs="Calibri"/>
                <w:color w:val="000000"/>
              </w:rPr>
            </w:pPr>
          </w:p>
        </w:tc>
        <w:tc>
          <w:tcPr>
            <w:tcW w:w="831" w:type="dxa"/>
            <w:tcBorders>
              <w:top w:val="nil"/>
              <w:left w:val="nil"/>
              <w:bottom w:val="single" w:sz="4" w:space="0" w:color="000000"/>
              <w:right w:val="nil"/>
            </w:tcBorders>
            <w:shd w:val="clear" w:color="auto" w:fill="auto"/>
            <w:noWrap/>
            <w:vAlign w:val="bottom"/>
            <w:hideMark/>
          </w:tcPr>
          <w:p w14:paraId="2A645892" w14:textId="77777777" w:rsidR="00AC3EB0" w:rsidRPr="00B84568" w:rsidRDefault="00AC3EB0" w:rsidP="00074A29">
            <w:pPr>
              <w:spacing w:after="0" w:line="480" w:lineRule="auto"/>
              <w:jc w:val="center"/>
              <w:rPr>
                <w:rFonts w:ascii="Calibri" w:eastAsia="Times New Roman" w:hAnsi="Calibri" w:cs="Calibri"/>
                <w:color w:val="000000"/>
              </w:rPr>
            </w:pPr>
            <w:r>
              <w:rPr>
                <w:rFonts w:ascii="Calibri" w:eastAsia="Times New Roman" w:hAnsi="Calibri" w:cs="Calibri"/>
                <w:color w:val="000000"/>
              </w:rPr>
              <w:t>Y</w:t>
            </w:r>
            <w:r w:rsidRPr="00B84568">
              <w:rPr>
                <w:rFonts w:ascii="Calibri" w:eastAsia="Times New Roman" w:hAnsi="Calibri" w:cs="Calibri"/>
                <w:color w:val="000000"/>
              </w:rPr>
              <w:t xml:space="preserve">es </w:t>
            </w:r>
          </w:p>
        </w:tc>
        <w:tc>
          <w:tcPr>
            <w:tcW w:w="1596" w:type="dxa"/>
            <w:tcBorders>
              <w:top w:val="nil"/>
              <w:left w:val="nil"/>
              <w:bottom w:val="single" w:sz="4" w:space="0" w:color="000000"/>
              <w:right w:val="nil"/>
            </w:tcBorders>
            <w:shd w:val="clear" w:color="auto" w:fill="auto"/>
            <w:noWrap/>
            <w:vAlign w:val="bottom"/>
            <w:hideMark/>
          </w:tcPr>
          <w:p w14:paraId="66A6ADB5" w14:textId="77777777" w:rsidR="00AC3EB0" w:rsidRPr="00B84568" w:rsidRDefault="00AC3EB0" w:rsidP="00074A29">
            <w:pPr>
              <w:spacing w:after="0" w:line="480" w:lineRule="auto"/>
              <w:jc w:val="center"/>
              <w:rPr>
                <w:rFonts w:ascii="Calibri" w:eastAsia="Times New Roman" w:hAnsi="Calibri" w:cs="Calibri"/>
                <w:color w:val="000000"/>
              </w:rPr>
            </w:pPr>
            <w:r>
              <w:rPr>
                <w:rFonts w:ascii="Calibri" w:eastAsia="Times New Roman" w:hAnsi="Calibri" w:cs="Calibri"/>
                <w:color w:val="000000"/>
              </w:rPr>
              <w:t>U</w:t>
            </w:r>
            <w:r w:rsidRPr="00B84568">
              <w:rPr>
                <w:rFonts w:ascii="Calibri" w:eastAsia="Times New Roman" w:hAnsi="Calibri" w:cs="Calibri"/>
                <w:color w:val="000000"/>
              </w:rPr>
              <w:t xml:space="preserve">nknown/no </w:t>
            </w:r>
          </w:p>
        </w:tc>
        <w:tc>
          <w:tcPr>
            <w:tcW w:w="850" w:type="dxa"/>
            <w:tcBorders>
              <w:top w:val="nil"/>
              <w:left w:val="nil"/>
              <w:bottom w:val="single" w:sz="4" w:space="0" w:color="000000"/>
              <w:right w:val="nil"/>
            </w:tcBorders>
            <w:shd w:val="clear" w:color="auto" w:fill="auto"/>
            <w:noWrap/>
            <w:vAlign w:val="bottom"/>
            <w:hideMark/>
          </w:tcPr>
          <w:p w14:paraId="2362DC56"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Yes</w:t>
            </w:r>
          </w:p>
        </w:tc>
        <w:tc>
          <w:tcPr>
            <w:tcW w:w="1743" w:type="dxa"/>
            <w:tcBorders>
              <w:top w:val="nil"/>
              <w:left w:val="nil"/>
              <w:bottom w:val="single" w:sz="4" w:space="0" w:color="000000"/>
              <w:right w:val="nil"/>
            </w:tcBorders>
            <w:shd w:val="clear" w:color="auto" w:fill="auto"/>
            <w:noWrap/>
            <w:vAlign w:val="bottom"/>
            <w:hideMark/>
          </w:tcPr>
          <w:p w14:paraId="22AB9215" w14:textId="77777777" w:rsidR="00AC3EB0" w:rsidRPr="00B84568" w:rsidRDefault="00AC3EB0" w:rsidP="00074A29">
            <w:pPr>
              <w:spacing w:after="0" w:line="480" w:lineRule="auto"/>
              <w:jc w:val="center"/>
              <w:rPr>
                <w:rFonts w:ascii="Calibri" w:eastAsia="Times New Roman" w:hAnsi="Calibri" w:cs="Calibri"/>
                <w:color w:val="000000"/>
              </w:rPr>
            </w:pPr>
            <w:r>
              <w:rPr>
                <w:rFonts w:ascii="Calibri" w:eastAsia="Times New Roman" w:hAnsi="Calibri" w:cs="Calibri"/>
                <w:color w:val="000000"/>
              </w:rPr>
              <w:t>U</w:t>
            </w:r>
            <w:r w:rsidRPr="00B84568">
              <w:rPr>
                <w:rFonts w:ascii="Calibri" w:eastAsia="Times New Roman" w:hAnsi="Calibri" w:cs="Calibri"/>
                <w:color w:val="000000"/>
              </w:rPr>
              <w:t xml:space="preserve">nknown/no </w:t>
            </w:r>
          </w:p>
        </w:tc>
        <w:tc>
          <w:tcPr>
            <w:tcW w:w="831" w:type="dxa"/>
            <w:tcBorders>
              <w:top w:val="nil"/>
              <w:left w:val="nil"/>
              <w:bottom w:val="single" w:sz="4" w:space="0" w:color="000000"/>
              <w:right w:val="nil"/>
            </w:tcBorders>
            <w:shd w:val="clear" w:color="auto" w:fill="auto"/>
            <w:noWrap/>
            <w:vAlign w:val="bottom"/>
            <w:hideMark/>
          </w:tcPr>
          <w:p w14:paraId="2B0FE401" w14:textId="77777777" w:rsidR="00AC3EB0" w:rsidRPr="00B84568" w:rsidRDefault="00AC3EB0" w:rsidP="00074A29">
            <w:pPr>
              <w:spacing w:after="0" w:line="480" w:lineRule="auto"/>
              <w:jc w:val="center"/>
              <w:rPr>
                <w:rFonts w:ascii="Calibri" w:eastAsia="Times New Roman" w:hAnsi="Calibri" w:cs="Calibri"/>
                <w:color w:val="000000"/>
              </w:rPr>
            </w:pPr>
            <w:r>
              <w:rPr>
                <w:rFonts w:ascii="Calibri" w:eastAsia="Times New Roman" w:hAnsi="Calibri" w:cs="Calibri"/>
                <w:color w:val="000000"/>
              </w:rPr>
              <w:t>Y</w:t>
            </w:r>
            <w:r w:rsidRPr="00B84568">
              <w:rPr>
                <w:rFonts w:ascii="Calibri" w:eastAsia="Times New Roman" w:hAnsi="Calibri" w:cs="Calibri"/>
                <w:color w:val="000000"/>
              </w:rPr>
              <w:t xml:space="preserve">es </w:t>
            </w:r>
          </w:p>
        </w:tc>
        <w:tc>
          <w:tcPr>
            <w:tcW w:w="1568" w:type="dxa"/>
            <w:tcBorders>
              <w:top w:val="nil"/>
              <w:left w:val="nil"/>
              <w:bottom w:val="single" w:sz="4" w:space="0" w:color="000000"/>
              <w:right w:val="nil"/>
            </w:tcBorders>
            <w:shd w:val="clear" w:color="auto" w:fill="auto"/>
            <w:noWrap/>
            <w:vAlign w:val="bottom"/>
            <w:hideMark/>
          </w:tcPr>
          <w:p w14:paraId="1BAAD2EE" w14:textId="77777777" w:rsidR="00AC3EB0" w:rsidRPr="00B84568" w:rsidRDefault="00AC3EB0" w:rsidP="00074A29">
            <w:pPr>
              <w:spacing w:after="0" w:line="480" w:lineRule="auto"/>
              <w:jc w:val="center"/>
              <w:rPr>
                <w:rFonts w:ascii="Calibri" w:eastAsia="Times New Roman" w:hAnsi="Calibri" w:cs="Calibri"/>
                <w:color w:val="000000"/>
              </w:rPr>
            </w:pPr>
            <w:r>
              <w:rPr>
                <w:rFonts w:ascii="Calibri" w:eastAsia="Times New Roman" w:hAnsi="Calibri" w:cs="Calibri"/>
                <w:color w:val="000000"/>
              </w:rPr>
              <w:t>U</w:t>
            </w:r>
            <w:r w:rsidRPr="00B84568">
              <w:rPr>
                <w:rFonts w:ascii="Calibri" w:eastAsia="Times New Roman" w:hAnsi="Calibri" w:cs="Calibri"/>
                <w:color w:val="000000"/>
              </w:rPr>
              <w:t xml:space="preserve">nknown/no </w:t>
            </w:r>
          </w:p>
        </w:tc>
      </w:tr>
      <w:tr w:rsidR="00AC3EB0" w:rsidRPr="00B84568" w14:paraId="022AFACF" w14:textId="77777777" w:rsidTr="00074A29">
        <w:trPr>
          <w:trHeight w:val="228"/>
        </w:trPr>
        <w:tc>
          <w:tcPr>
            <w:tcW w:w="1874" w:type="dxa"/>
            <w:tcBorders>
              <w:top w:val="nil"/>
              <w:left w:val="nil"/>
              <w:bottom w:val="nil"/>
              <w:right w:val="nil"/>
            </w:tcBorders>
            <w:shd w:val="clear" w:color="auto" w:fill="auto"/>
            <w:noWrap/>
            <w:vAlign w:val="bottom"/>
            <w:hideMark/>
          </w:tcPr>
          <w:p w14:paraId="31BE8590" w14:textId="77777777" w:rsidR="00AC3EB0" w:rsidRPr="00B84568" w:rsidRDefault="00AC3EB0" w:rsidP="00074A29">
            <w:pPr>
              <w:spacing w:after="0" w:line="480" w:lineRule="auto"/>
              <w:rPr>
                <w:rFonts w:ascii="Calibri" w:eastAsia="Times New Roman" w:hAnsi="Calibri" w:cs="Calibri"/>
                <w:color w:val="000000"/>
              </w:rPr>
            </w:pPr>
            <w:r w:rsidRPr="00B84568">
              <w:rPr>
                <w:rFonts w:ascii="Calibri" w:eastAsia="Times New Roman" w:hAnsi="Calibri" w:cs="Calibri"/>
                <w:color w:val="000000"/>
              </w:rPr>
              <w:t>Connecticut</w:t>
            </w:r>
          </w:p>
        </w:tc>
        <w:tc>
          <w:tcPr>
            <w:tcW w:w="1361" w:type="dxa"/>
            <w:tcBorders>
              <w:top w:val="nil"/>
              <w:left w:val="nil"/>
              <w:bottom w:val="nil"/>
              <w:right w:val="nil"/>
            </w:tcBorders>
            <w:shd w:val="clear" w:color="auto" w:fill="auto"/>
            <w:vAlign w:val="bottom"/>
            <w:hideMark/>
          </w:tcPr>
          <w:p w14:paraId="7516AD2A"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41</w:t>
            </w:r>
            <w:r>
              <w:rPr>
                <w:rFonts w:ascii="Calibri" w:eastAsia="Times New Roman" w:hAnsi="Calibri" w:cs="Calibri"/>
                <w:color w:val="000000"/>
              </w:rPr>
              <w:t>4</w:t>
            </w:r>
          </w:p>
        </w:tc>
        <w:tc>
          <w:tcPr>
            <w:tcW w:w="1393" w:type="dxa"/>
            <w:tcBorders>
              <w:top w:val="nil"/>
              <w:left w:val="nil"/>
              <w:bottom w:val="nil"/>
              <w:right w:val="nil"/>
            </w:tcBorders>
            <w:shd w:val="clear" w:color="auto" w:fill="auto"/>
            <w:noWrap/>
            <w:vAlign w:val="bottom"/>
            <w:hideMark/>
          </w:tcPr>
          <w:p w14:paraId="01FE2BE2"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2,584</w:t>
            </w:r>
          </w:p>
        </w:tc>
        <w:tc>
          <w:tcPr>
            <w:tcW w:w="831" w:type="dxa"/>
            <w:tcBorders>
              <w:top w:val="nil"/>
              <w:left w:val="nil"/>
              <w:bottom w:val="nil"/>
              <w:right w:val="nil"/>
            </w:tcBorders>
            <w:shd w:val="clear" w:color="auto" w:fill="auto"/>
            <w:noWrap/>
            <w:vAlign w:val="bottom"/>
            <w:hideMark/>
          </w:tcPr>
          <w:p w14:paraId="0EE627E4"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97.6%</w:t>
            </w:r>
          </w:p>
        </w:tc>
        <w:tc>
          <w:tcPr>
            <w:tcW w:w="1596" w:type="dxa"/>
            <w:tcBorders>
              <w:top w:val="nil"/>
              <w:left w:val="nil"/>
              <w:bottom w:val="nil"/>
              <w:right w:val="nil"/>
            </w:tcBorders>
            <w:shd w:val="clear" w:color="auto" w:fill="auto"/>
            <w:noWrap/>
            <w:vAlign w:val="bottom"/>
            <w:hideMark/>
          </w:tcPr>
          <w:p w14:paraId="2E94FE71"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2.4%</w:t>
            </w:r>
          </w:p>
        </w:tc>
        <w:tc>
          <w:tcPr>
            <w:tcW w:w="850" w:type="dxa"/>
            <w:tcBorders>
              <w:top w:val="nil"/>
              <w:left w:val="nil"/>
              <w:bottom w:val="nil"/>
              <w:right w:val="nil"/>
            </w:tcBorders>
            <w:shd w:val="clear" w:color="auto" w:fill="auto"/>
            <w:noWrap/>
            <w:vAlign w:val="bottom"/>
            <w:hideMark/>
          </w:tcPr>
          <w:p w14:paraId="24F210C4"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83.2%</w:t>
            </w:r>
          </w:p>
        </w:tc>
        <w:tc>
          <w:tcPr>
            <w:tcW w:w="1743" w:type="dxa"/>
            <w:tcBorders>
              <w:top w:val="nil"/>
              <w:left w:val="nil"/>
              <w:bottom w:val="nil"/>
              <w:right w:val="nil"/>
            </w:tcBorders>
            <w:shd w:val="clear" w:color="auto" w:fill="auto"/>
            <w:noWrap/>
            <w:vAlign w:val="bottom"/>
            <w:hideMark/>
          </w:tcPr>
          <w:p w14:paraId="7579EF44"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16.8%</w:t>
            </w:r>
          </w:p>
        </w:tc>
        <w:tc>
          <w:tcPr>
            <w:tcW w:w="831" w:type="dxa"/>
            <w:tcBorders>
              <w:top w:val="nil"/>
              <w:left w:val="nil"/>
              <w:bottom w:val="nil"/>
              <w:right w:val="nil"/>
            </w:tcBorders>
            <w:shd w:val="clear" w:color="auto" w:fill="auto"/>
            <w:noWrap/>
            <w:vAlign w:val="bottom"/>
            <w:hideMark/>
          </w:tcPr>
          <w:p w14:paraId="61DCE928"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n/a</w:t>
            </w:r>
          </w:p>
        </w:tc>
        <w:tc>
          <w:tcPr>
            <w:tcW w:w="1568" w:type="dxa"/>
            <w:tcBorders>
              <w:top w:val="nil"/>
              <w:left w:val="nil"/>
              <w:bottom w:val="nil"/>
              <w:right w:val="nil"/>
            </w:tcBorders>
            <w:shd w:val="clear" w:color="auto" w:fill="auto"/>
            <w:noWrap/>
            <w:vAlign w:val="bottom"/>
            <w:hideMark/>
          </w:tcPr>
          <w:p w14:paraId="72E97B45"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n/a</w:t>
            </w:r>
          </w:p>
        </w:tc>
      </w:tr>
      <w:tr w:rsidR="00AC3EB0" w:rsidRPr="00B84568" w14:paraId="010822B2" w14:textId="77777777" w:rsidTr="00074A29">
        <w:trPr>
          <w:trHeight w:val="228"/>
        </w:trPr>
        <w:tc>
          <w:tcPr>
            <w:tcW w:w="1874" w:type="dxa"/>
            <w:tcBorders>
              <w:top w:val="nil"/>
              <w:left w:val="nil"/>
              <w:bottom w:val="nil"/>
              <w:right w:val="nil"/>
            </w:tcBorders>
            <w:shd w:val="clear" w:color="auto" w:fill="auto"/>
            <w:vAlign w:val="bottom"/>
            <w:hideMark/>
          </w:tcPr>
          <w:p w14:paraId="45E48AAD" w14:textId="77777777" w:rsidR="00AC3EB0" w:rsidRPr="00B84568" w:rsidRDefault="00AC3EB0" w:rsidP="00074A29">
            <w:pPr>
              <w:spacing w:after="0" w:line="480" w:lineRule="auto"/>
              <w:rPr>
                <w:rFonts w:ascii="Calibri" w:eastAsia="Times New Roman" w:hAnsi="Calibri" w:cs="Calibri"/>
                <w:color w:val="000000"/>
              </w:rPr>
            </w:pPr>
            <w:r w:rsidRPr="00B84568">
              <w:rPr>
                <w:rFonts w:ascii="Calibri" w:eastAsia="Times New Roman" w:hAnsi="Calibri" w:cs="Calibri"/>
                <w:color w:val="000000"/>
              </w:rPr>
              <w:t xml:space="preserve">Georgia </w:t>
            </w:r>
          </w:p>
        </w:tc>
        <w:tc>
          <w:tcPr>
            <w:tcW w:w="1361" w:type="dxa"/>
            <w:tcBorders>
              <w:top w:val="nil"/>
              <w:left w:val="nil"/>
              <w:bottom w:val="nil"/>
              <w:right w:val="nil"/>
            </w:tcBorders>
            <w:shd w:val="clear" w:color="auto" w:fill="auto"/>
            <w:vAlign w:val="bottom"/>
            <w:hideMark/>
          </w:tcPr>
          <w:p w14:paraId="6BA8E085"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6</w:t>
            </w:r>
            <w:r>
              <w:rPr>
                <w:rFonts w:ascii="Calibri" w:eastAsia="Times New Roman" w:hAnsi="Calibri" w:cs="Calibri"/>
                <w:color w:val="000000"/>
              </w:rPr>
              <w:t>66</w:t>
            </w:r>
          </w:p>
        </w:tc>
        <w:tc>
          <w:tcPr>
            <w:tcW w:w="1393" w:type="dxa"/>
            <w:tcBorders>
              <w:top w:val="nil"/>
              <w:left w:val="nil"/>
              <w:bottom w:val="nil"/>
              <w:right w:val="nil"/>
            </w:tcBorders>
            <w:shd w:val="clear" w:color="auto" w:fill="auto"/>
            <w:noWrap/>
            <w:vAlign w:val="bottom"/>
            <w:hideMark/>
          </w:tcPr>
          <w:p w14:paraId="48BA3EB5"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2,242</w:t>
            </w:r>
          </w:p>
        </w:tc>
        <w:tc>
          <w:tcPr>
            <w:tcW w:w="831" w:type="dxa"/>
            <w:tcBorders>
              <w:top w:val="nil"/>
              <w:left w:val="nil"/>
              <w:bottom w:val="nil"/>
              <w:right w:val="nil"/>
            </w:tcBorders>
            <w:shd w:val="clear" w:color="auto" w:fill="auto"/>
            <w:noWrap/>
            <w:vAlign w:val="bottom"/>
            <w:hideMark/>
          </w:tcPr>
          <w:p w14:paraId="2C049147"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81.7%</w:t>
            </w:r>
          </w:p>
        </w:tc>
        <w:tc>
          <w:tcPr>
            <w:tcW w:w="1596" w:type="dxa"/>
            <w:tcBorders>
              <w:top w:val="nil"/>
              <w:left w:val="nil"/>
              <w:bottom w:val="nil"/>
              <w:right w:val="nil"/>
            </w:tcBorders>
            <w:shd w:val="clear" w:color="auto" w:fill="auto"/>
            <w:noWrap/>
            <w:vAlign w:val="bottom"/>
            <w:hideMark/>
          </w:tcPr>
          <w:p w14:paraId="46461D5F"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18.3%</w:t>
            </w:r>
          </w:p>
        </w:tc>
        <w:tc>
          <w:tcPr>
            <w:tcW w:w="850" w:type="dxa"/>
            <w:tcBorders>
              <w:top w:val="nil"/>
              <w:left w:val="nil"/>
              <w:bottom w:val="nil"/>
              <w:right w:val="nil"/>
            </w:tcBorders>
            <w:shd w:val="clear" w:color="auto" w:fill="auto"/>
            <w:noWrap/>
            <w:vAlign w:val="bottom"/>
            <w:hideMark/>
          </w:tcPr>
          <w:p w14:paraId="0AE1916B"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84.0%</w:t>
            </w:r>
          </w:p>
        </w:tc>
        <w:tc>
          <w:tcPr>
            <w:tcW w:w="1743" w:type="dxa"/>
            <w:tcBorders>
              <w:top w:val="nil"/>
              <w:left w:val="nil"/>
              <w:bottom w:val="nil"/>
              <w:right w:val="nil"/>
            </w:tcBorders>
            <w:shd w:val="clear" w:color="auto" w:fill="auto"/>
            <w:noWrap/>
            <w:vAlign w:val="bottom"/>
            <w:hideMark/>
          </w:tcPr>
          <w:p w14:paraId="0A94696D"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16.0%</w:t>
            </w:r>
          </w:p>
        </w:tc>
        <w:tc>
          <w:tcPr>
            <w:tcW w:w="831" w:type="dxa"/>
            <w:tcBorders>
              <w:top w:val="nil"/>
              <w:left w:val="nil"/>
              <w:bottom w:val="nil"/>
              <w:right w:val="nil"/>
            </w:tcBorders>
            <w:shd w:val="clear" w:color="auto" w:fill="auto"/>
            <w:noWrap/>
            <w:vAlign w:val="bottom"/>
            <w:hideMark/>
          </w:tcPr>
          <w:p w14:paraId="7A9D2CDF"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n/a</w:t>
            </w:r>
          </w:p>
        </w:tc>
        <w:tc>
          <w:tcPr>
            <w:tcW w:w="1568" w:type="dxa"/>
            <w:tcBorders>
              <w:top w:val="nil"/>
              <w:left w:val="nil"/>
              <w:bottom w:val="nil"/>
              <w:right w:val="nil"/>
            </w:tcBorders>
            <w:shd w:val="clear" w:color="auto" w:fill="auto"/>
            <w:noWrap/>
            <w:vAlign w:val="bottom"/>
            <w:hideMark/>
          </w:tcPr>
          <w:p w14:paraId="7ACF62A4"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n/a</w:t>
            </w:r>
          </w:p>
        </w:tc>
      </w:tr>
      <w:tr w:rsidR="00AC3EB0" w:rsidRPr="00B84568" w14:paraId="27E4915D" w14:textId="77777777" w:rsidTr="00074A29">
        <w:trPr>
          <w:trHeight w:val="228"/>
        </w:trPr>
        <w:tc>
          <w:tcPr>
            <w:tcW w:w="1874" w:type="dxa"/>
            <w:tcBorders>
              <w:top w:val="nil"/>
              <w:left w:val="nil"/>
              <w:bottom w:val="nil"/>
              <w:right w:val="nil"/>
            </w:tcBorders>
            <w:shd w:val="clear" w:color="auto" w:fill="auto"/>
            <w:vAlign w:val="bottom"/>
            <w:hideMark/>
          </w:tcPr>
          <w:p w14:paraId="3027B68B" w14:textId="77777777" w:rsidR="00AC3EB0" w:rsidRPr="00B84568" w:rsidRDefault="00AC3EB0" w:rsidP="00074A29">
            <w:pPr>
              <w:spacing w:after="0" w:line="480" w:lineRule="auto"/>
              <w:rPr>
                <w:rFonts w:ascii="Calibri" w:eastAsia="Times New Roman" w:hAnsi="Calibri" w:cs="Calibri"/>
                <w:color w:val="000000"/>
              </w:rPr>
            </w:pPr>
            <w:r w:rsidRPr="00B84568">
              <w:rPr>
                <w:rFonts w:ascii="Calibri" w:eastAsia="Times New Roman" w:hAnsi="Calibri" w:cs="Calibri"/>
                <w:color w:val="000000"/>
              </w:rPr>
              <w:t>Louisiana</w:t>
            </w:r>
          </w:p>
        </w:tc>
        <w:tc>
          <w:tcPr>
            <w:tcW w:w="1361" w:type="dxa"/>
            <w:tcBorders>
              <w:top w:val="nil"/>
              <w:left w:val="nil"/>
              <w:bottom w:val="nil"/>
              <w:right w:val="nil"/>
            </w:tcBorders>
            <w:shd w:val="clear" w:color="auto" w:fill="auto"/>
            <w:vAlign w:val="bottom"/>
            <w:hideMark/>
          </w:tcPr>
          <w:p w14:paraId="7E92CEF5"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4,015</w:t>
            </w:r>
          </w:p>
        </w:tc>
        <w:tc>
          <w:tcPr>
            <w:tcW w:w="1393" w:type="dxa"/>
            <w:tcBorders>
              <w:top w:val="nil"/>
              <w:left w:val="nil"/>
              <w:bottom w:val="nil"/>
              <w:right w:val="nil"/>
            </w:tcBorders>
            <w:shd w:val="clear" w:color="auto" w:fill="auto"/>
            <w:noWrap/>
            <w:vAlign w:val="bottom"/>
            <w:hideMark/>
          </w:tcPr>
          <w:p w14:paraId="611A77E3"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48,595</w:t>
            </w:r>
          </w:p>
        </w:tc>
        <w:tc>
          <w:tcPr>
            <w:tcW w:w="831" w:type="dxa"/>
            <w:tcBorders>
              <w:top w:val="nil"/>
              <w:left w:val="nil"/>
              <w:bottom w:val="nil"/>
              <w:right w:val="nil"/>
            </w:tcBorders>
            <w:shd w:val="clear" w:color="auto" w:fill="auto"/>
            <w:noWrap/>
            <w:vAlign w:val="bottom"/>
            <w:hideMark/>
          </w:tcPr>
          <w:p w14:paraId="4F7630D5"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95.3%</w:t>
            </w:r>
          </w:p>
        </w:tc>
        <w:tc>
          <w:tcPr>
            <w:tcW w:w="1596" w:type="dxa"/>
            <w:tcBorders>
              <w:top w:val="nil"/>
              <w:left w:val="nil"/>
              <w:bottom w:val="nil"/>
              <w:right w:val="nil"/>
            </w:tcBorders>
            <w:shd w:val="clear" w:color="auto" w:fill="auto"/>
            <w:noWrap/>
            <w:vAlign w:val="bottom"/>
            <w:hideMark/>
          </w:tcPr>
          <w:p w14:paraId="043C2E67"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4.7%</w:t>
            </w:r>
          </w:p>
        </w:tc>
        <w:tc>
          <w:tcPr>
            <w:tcW w:w="850" w:type="dxa"/>
            <w:tcBorders>
              <w:top w:val="nil"/>
              <w:left w:val="nil"/>
              <w:bottom w:val="nil"/>
              <w:right w:val="nil"/>
            </w:tcBorders>
            <w:shd w:val="clear" w:color="auto" w:fill="auto"/>
            <w:noWrap/>
            <w:vAlign w:val="bottom"/>
            <w:hideMark/>
          </w:tcPr>
          <w:p w14:paraId="13CCE2CA"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78.8%</w:t>
            </w:r>
          </w:p>
        </w:tc>
        <w:tc>
          <w:tcPr>
            <w:tcW w:w="1743" w:type="dxa"/>
            <w:tcBorders>
              <w:top w:val="nil"/>
              <w:left w:val="nil"/>
              <w:bottom w:val="nil"/>
              <w:right w:val="nil"/>
            </w:tcBorders>
            <w:shd w:val="clear" w:color="auto" w:fill="auto"/>
            <w:noWrap/>
            <w:vAlign w:val="bottom"/>
            <w:hideMark/>
          </w:tcPr>
          <w:p w14:paraId="362509CB"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21.2%</w:t>
            </w:r>
          </w:p>
        </w:tc>
        <w:tc>
          <w:tcPr>
            <w:tcW w:w="831" w:type="dxa"/>
            <w:tcBorders>
              <w:top w:val="nil"/>
              <w:left w:val="nil"/>
              <w:bottom w:val="nil"/>
              <w:right w:val="nil"/>
            </w:tcBorders>
            <w:shd w:val="clear" w:color="auto" w:fill="auto"/>
            <w:noWrap/>
            <w:vAlign w:val="bottom"/>
            <w:hideMark/>
          </w:tcPr>
          <w:p w14:paraId="45F5833E"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99.0%</w:t>
            </w:r>
          </w:p>
        </w:tc>
        <w:tc>
          <w:tcPr>
            <w:tcW w:w="1568" w:type="dxa"/>
            <w:tcBorders>
              <w:top w:val="nil"/>
              <w:left w:val="nil"/>
              <w:bottom w:val="nil"/>
              <w:right w:val="nil"/>
            </w:tcBorders>
            <w:shd w:val="clear" w:color="auto" w:fill="auto"/>
            <w:noWrap/>
            <w:vAlign w:val="bottom"/>
            <w:hideMark/>
          </w:tcPr>
          <w:p w14:paraId="76B8BAD6"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1.0%</w:t>
            </w:r>
          </w:p>
        </w:tc>
      </w:tr>
      <w:tr w:rsidR="00AC3EB0" w:rsidRPr="00B84568" w14:paraId="4AC3F99E" w14:textId="77777777" w:rsidTr="00074A29">
        <w:trPr>
          <w:trHeight w:val="228"/>
        </w:trPr>
        <w:tc>
          <w:tcPr>
            <w:tcW w:w="1874" w:type="dxa"/>
            <w:tcBorders>
              <w:top w:val="nil"/>
              <w:left w:val="nil"/>
              <w:bottom w:val="nil"/>
              <w:right w:val="nil"/>
            </w:tcBorders>
            <w:shd w:val="clear" w:color="auto" w:fill="auto"/>
            <w:vAlign w:val="bottom"/>
            <w:hideMark/>
          </w:tcPr>
          <w:p w14:paraId="06A96CBD" w14:textId="77777777" w:rsidR="00AC3EB0" w:rsidRPr="00B84568" w:rsidRDefault="00AC3EB0" w:rsidP="00074A29">
            <w:pPr>
              <w:spacing w:after="0" w:line="480" w:lineRule="auto"/>
              <w:rPr>
                <w:rFonts w:ascii="Calibri" w:eastAsia="Times New Roman" w:hAnsi="Calibri" w:cs="Calibri"/>
                <w:color w:val="000000"/>
              </w:rPr>
            </w:pPr>
            <w:r w:rsidRPr="00B84568">
              <w:rPr>
                <w:rFonts w:ascii="Calibri" w:eastAsia="Times New Roman" w:hAnsi="Calibri" w:cs="Calibri"/>
                <w:color w:val="000000"/>
              </w:rPr>
              <w:t>Michigan</w:t>
            </w:r>
          </w:p>
        </w:tc>
        <w:tc>
          <w:tcPr>
            <w:tcW w:w="1361" w:type="dxa"/>
            <w:tcBorders>
              <w:top w:val="nil"/>
              <w:left w:val="nil"/>
              <w:bottom w:val="nil"/>
              <w:right w:val="nil"/>
            </w:tcBorders>
            <w:shd w:val="clear" w:color="auto" w:fill="auto"/>
            <w:vAlign w:val="bottom"/>
            <w:hideMark/>
          </w:tcPr>
          <w:p w14:paraId="2CBD3ADF"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w:t>
            </w:r>
            <w:r>
              <w:rPr>
                <w:rFonts w:ascii="Calibri" w:eastAsia="Times New Roman" w:hAnsi="Calibri" w:cs="Calibri"/>
                <w:color w:val="000000"/>
              </w:rPr>
              <w:t>428</w:t>
            </w:r>
          </w:p>
        </w:tc>
        <w:tc>
          <w:tcPr>
            <w:tcW w:w="1393" w:type="dxa"/>
            <w:tcBorders>
              <w:top w:val="nil"/>
              <w:left w:val="nil"/>
              <w:bottom w:val="nil"/>
              <w:right w:val="nil"/>
            </w:tcBorders>
            <w:shd w:val="clear" w:color="auto" w:fill="auto"/>
            <w:noWrap/>
            <w:vAlign w:val="bottom"/>
            <w:hideMark/>
          </w:tcPr>
          <w:p w14:paraId="728836EE"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20,867</w:t>
            </w:r>
          </w:p>
        </w:tc>
        <w:tc>
          <w:tcPr>
            <w:tcW w:w="831" w:type="dxa"/>
            <w:tcBorders>
              <w:top w:val="nil"/>
              <w:left w:val="nil"/>
              <w:bottom w:val="nil"/>
              <w:right w:val="nil"/>
            </w:tcBorders>
            <w:shd w:val="clear" w:color="auto" w:fill="auto"/>
            <w:noWrap/>
            <w:vAlign w:val="bottom"/>
            <w:hideMark/>
          </w:tcPr>
          <w:p w14:paraId="6EB031F5"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50.6%</w:t>
            </w:r>
          </w:p>
        </w:tc>
        <w:tc>
          <w:tcPr>
            <w:tcW w:w="1596" w:type="dxa"/>
            <w:tcBorders>
              <w:top w:val="nil"/>
              <w:left w:val="nil"/>
              <w:bottom w:val="nil"/>
              <w:right w:val="nil"/>
            </w:tcBorders>
            <w:shd w:val="clear" w:color="auto" w:fill="auto"/>
            <w:noWrap/>
            <w:vAlign w:val="bottom"/>
            <w:hideMark/>
          </w:tcPr>
          <w:p w14:paraId="78797A9D"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49.4%</w:t>
            </w:r>
          </w:p>
        </w:tc>
        <w:tc>
          <w:tcPr>
            <w:tcW w:w="850" w:type="dxa"/>
            <w:tcBorders>
              <w:top w:val="nil"/>
              <w:left w:val="nil"/>
              <w:bottom w:val="nil"/>
              <w:right w:val="nil"/>
            </w:tcBorders>
            <w:shd w:val="clear" w:color="auto" w:fill="auto"/>
            <w:noWrap/>
            <w:vAlign w:val="bottom"/>
            <w:hideMark/>
          </w:tcPr>
          <w:p w14:paraId="6761C78D"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38.7%</w:t>
            </w:r>
          </w:p>
        </w:tc>
        <w:tc>
          <w:tcPr>
            <w:tcW w:w="1743" w:type="dxa"/>
            <w:tcBorders>
              <w:top w:val="nil"/>
              <w:left w:val="nil"/>
              <w:bottom w:val="nil"/>
              <w:right w:val="nil"/>
            </w:tcBorders>
            <w:shd w:val="clear" w:color="auto" w:fill="auto"/>
            <w:noWrap/>
            <w:vAlign w:val="bottom"/>
            <w:hideMark/>
          </w:tcPr>
          <w:p w14:paraId="2D31696E"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61.3%</w:t>
            </w:r>
          </w:p>
        </w:tc>
        <w:tc>
          <w:tcPr>
            <w:tcW w:w="831" w:type="dxa"/>
            <w:tcBorders>
              <w:top w:val="nil"/>
              <w:left w:val="nil"/>
              <w:bottom w:val="nil"/>
              <w:right w:val="nil"/>
            </w:tcBorders>
            <w:shd w:val="clear" w:color="auto" w:fill="auto"/>
            <w:noWrap/>
            <w:vAlign w:val="bottom"/>
            <w:hideMark/>
          </w:tcPr>
          <w:p w14:paraId="5BA66871"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57.9%</w:t>
            </w:r>
          </w:p>
        </w:tc>
        <w:tc>
          <w:tcPr>
            <w:tcW w:w="1568" w:type="dxa"/>
            <w:tcBorders>
              <w:top w:val="nil"/>
              <w:left w:val="nil"/>
              <w:bottom w:val="nil"/>
              <w:right w:val="nil"/>
            </w:tcBorders>
            <w:shd w:val="clear" w:color="auto" w:fill="auto"/>
            <w:noWrap/>
            <w:vAlign w:val="bottom"/>
            <w:hideMark/>
          </w:tcPr>
          <w:p w14:paraId="1A019BD5"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42.1%</w:t>
            </w:r>
          </w:p>
        </w:tc>
      </w:tr>
      <w:tr w:rsidR="00AC3EB0" w:rsidRPr="00B84568" w14:paraId="534C50B3" w14:textId="77777777" w:rsidTr="00074A29">
        <w:trPr>
          <w:trHeight w:val="228"/>
        </w:trPr>
        <w:tc>
          <w:tcPr>
            <w:tcW w:w="1874" w:type="dxa"/>
            <w:tcBorders>
              <w:top w:val="nil"/>
              <w:left w:val="nil"/>
              <w:bottom w:val="nil"/>
              <w:right w:val="nil"/>
            </w:tcBorders>
            <w:shd w:val="clear" w:color="auto" w:fill="auto"/>
            <w:vAlign w:val="bottom"/>
            <w:hideMark/>
          </w:tcPr>
          <w:p w14:paraId="5B4C07ED" w14:textId="77777777" w:rsidR="00AC3EB0" w:rsidRPr="00B84568" w:rsidRDefault="00AC3EB0" w:rsidP="00074A29">
            <w:pPr>
              <w:spacing w:after="0" w:line="480" w:lineRule="auto"/>
              <w:rPr>
                <w:rFonts w:ascii="Calibri" w:eastAsia="Times New Roman" w:hAnsi="Calibri" w:cs="Calibri"/>
                <w:color w:val="000000"/>
              </w:rPr>
            </w:pPr>
            <w:r w:rsidRPr="00B84568">
              <w:rPr>
                <w:rFonts w:ascii="Calibri" w:eastAsia="Times New Roman" w:hAnsi="Calibri" w:cs="Calibri"/>
                <w:color w:val="000000"/>
              </w:rPr>
              <w:t>Puerto Rico</w:t>
            </w:r>
          </w:p>
        </w:tc>
        <w:tc>
          <w:tcPr>
            <w:tcW w:w="1361" w:type="dxa"/>
            <w:tcBorders>
              <w:top w:val="nil"/>
              <w:left w:val="nil"/>
              <w:bottom w:val="nil"/>
              <w:right w:val="nil"/>
            </w:tcBorders>
            <w:shd w:val="clear" w:color="auto" w:fill="auto"/>
            <w:vAlign w:val="bottom"/>
            <w:hideMark/>
          </w:tcPr>
          <w:p w14:paraId="0ED8EDA9" w14:textId="77777777" w:rsidR="00AC3EB0" w:rsidRPr="00B84568" w:rsidRDefault="00AC3EB0" w:rsidP="00074A29">
            <w:pPr>
              <w:spacing w:after="0" w:line="480" w:lineRule="auto"/>
              <w:jc w:val="center"/>
              <w:rPr>
                <w:rFonts w:ascii="Calibri" w:eastAsia="Times New Roman" w:hAnsi="Calibri" w:cs="Calibri"/>
                <w:color w:val="000000"/>
              </w:rPr>
            </w:pPr>
            <w:r>
              <w:rPr>
                <w:rFonts w:ascii="Calibri" w:eastAsia="Times New Roman" w:hAnsi="Calibri" w:cs="Calibri"/>
                <w:color w:val="000000"/>
              </w:rPr>
              <w:t>124</w:t>
            </w:r>
          </w:p>
        </w:tc>
        <w:tc>
          <w:tcPr>
            <w:tcW w:w="1393" w:type="dxa"/>
            <w:tcBorders>
              <w:top w:val="nil"/>
              <w:left w:val="nil"/>
              <w:bottom w:val="nil"/>
              <w:right w:val="nil"/>
            </w:tcBorders>
            <w:shd w:val="clear" w:color="auto" w:fill="auto"/>
            <w:noWrap/>
            <w:vAlign w:val="bottom"/>
            <w:hideMark/>
          </w:tcPr>
          <w:p w14:paraId="332228B7"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1,752</w:t>
            </w:r>
          </w:p>
        </w:tc>
        <w:tc>
          <w:tcPr>
            <w:tcW w:w="831" w:type="dxa"/>
            <w:tcBorders>
              <w:top w:val="nil"/>
              <w:left w:val="nil"/>
              <w:bottom w:val="nil"/>
              <w:right w:val="nil"/>
            </w:tcBorders>
            <w:shd w:val="clear" w:color="auto" w:fill="auto"/>
            <w:noWrap/>
            <w:vAlign w:val="bottom"/>
            <w:hideMark/>
          </w:tcPr>
          <w:p w14:paraId="4080B06C"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13.8%</w:t>
            </w:r>
          </w:p>
        </w:tc>
        <w:tc>
          <w:tcPr>
            <w:tcW w:w="1596" w:type="dxa"/>
            <w:tcBorders>
              <w:top w:val="nil"/>
              <w:left w:val="nil"/>
              <w:bottom w:val="nil"/>
              <w:right w:val="nil"/>
            </w:tcBorders>
            <w:shd w:val="clear" w:color="auto" w:fill="auto"/>
            <w:noWrap/>
            <w:vAlign w:val="bottom"/>
            <w:hideMark/>
          </w:tcPr>
          <w:p w14:paraId="23FD0510"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86.2%</w:t>
            </w:r>
          </w:p>
        </w:tc>
        <w:tc>
          <w:tcPr>
            <w:tcW w:w="850" w:type="dxa"/>
            <w:tcBorders>
              <w:top w:val="nil"/>
              <w:left w:val="nil"/>
              <w:bottom w:val="nil"/>
              <w:right w:val="nil"/>
            </w:tcBorders>
            <w:shd w:val="clear" w:color="auto" w:fill="auto"/>
            <w:noWrap/>
            <w:vAlign w:val="bottom"/>
            <w:hideMark/>
          </w:tcPr>
          <w:p w14:paraId="3CB80AE2"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12.2%</w:t>
            </w:r>
          </w:p>
        </w:tc>
        <w:tc>
          <w:tcPr>
            <w:tcW w:w="1743" w:type="dxa"/>
            <w:tcBorders>
              <w:top w:val="nil"/>
              <w:left w:val="nil"/>
              <w:bottom w:val="nil"/>
              <w:right w:val="nil"/>
            </w:tcBorders>
            <w:shd w:val="clear" w:color="auto" w:fill="auto"/>
            <w:noWrap/>
            <w:vAlign w:val="bottom"/>
            <w:hideMark/>
          </w:tcPr>
          <w:p w14:paraId="7B86524B"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87.8%</w:t>
            </w:r>
          </w:p>
        </w:tc>
        <w:tc>
          <w:tcPr>
            <w:tcW w:w="831" w:type="dxa"/>
            <w:tcBorders>
              <w:top w:val="nil"/>
              <w:left w:val="nil"/>
              <w:bottom w:val="nil"/>
              <w:right w:val="nil"/>
            </w:tcBorders>
            <w:shd w:val="clear" w:color="auto" w:fill="auto"/>
            <w:noWrap/>
            <w:vAlign w:val="bottom"/>
            <w:hideMark/>
          </w:tcPr>
          <w:p w14:paraId="6B101169"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n/a</w:t>
            </w:r>
          </w:p>
        </w:tc>
        <w:tc>
          <w:tcPr>
            <w:tcW w:w="1568" w:type="dxa"/>
            <w:tcBorders>
              <w:top w:val="nil"/>
              <w:left w:val="nil"/>
              <w:bottom w:val="nil"/>
              <w:right w:val="nil"/>
            </w:tcBorders>
            <w:shd w:val="clear" w:color="auto" w:fill="auto"/>
            <w:noWrap/>
            <w:vAlign w:val="bottom"/>
            <w:hideMark/>
          </w:tcPr>
          <w:p w14:paraId="6278E73F"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n/a</w:t>
            </w:r>
          </w:p>
        </w:tc>
      </w:tr>
      <w:tr w:rsidR="00AC3EB0" w:rsidRPr="00B84568" w14:paraId="30E5BF80" w14:textId="77777777" w:rsidTr="00074A29">
        <w:trPr>
          <w:trHeight w:val="228"/>
        </w:trPr>
        <w:tc>
          <w:tcPr>
            <w:tcW w:w="1874" w:type="dxa"/>
            <w:tcBorders>
              <w:top w:val="nil"/>
              <w:left w:val="nil"/>
              <w:bottom w:val="single" w:sz="4" w:space="0" w:color="000000"/>
              <w:right w:val="nil"/>
            </w:tcBorders>
            <w:shd w:val="clear" w:color="auto" w:fill="auto"/>
            <w:vAlign w:val="bottom"/>
            <w:hideMark/>
          </w:tcPr>
          <w:p w14:paraId="31C0C3B0" w14:textId="77777777" w:rsidR="00AC3EB0" w:rsidRPr="00B84568" w:rsidRDefault="00AC3EB0" w:rsidP="00074A29">
            <w:pPr>
              <w:spacing w:after="0" w:line="480" w:lineRule="auto"/>
              <w:rPr>
                <w:rFonts w:ascii="Calibri" w:eastAsia="Times New Roman" w:hAnsi="Calibri" w:cs="Calibri"/>
                <w:color w:val="000000"/>
              </w:rPr>
            </w:pPr>
            <w:r w:rsidRPr="00B84568">
              <w:rPr>
                <w:rFonts w:ascii="Calibri" w:eastAsia="Times New Roman" w:hAnsi="Calibri" w:cs="Calibri"/>
                <w:color w:val="000000"/>
              </w:rPr>
              <w:t>Texas</w:t>
            </w:r>
          </w:p>
        </w:tc>
        <w:tc>
          <w:tcPr>
            <w:tcW w:w="1361" w:type="dxa"/>
            <w:tcBorders>
              <w:top w:val="nil"/>
              <w:left w:val="nil"/>
              <w:bottom w:val="single" w:sz="4" w:space="0" w:color="000000"/>
              <w:right w:val="nil"/>
            </w:tcBorders>
            <w:shd w:val="clear" w:color="auto" w:fill="auto"/>
            <w:vAlign w:val="bottom"/>
            <w:hideMark/>
          </w:tcPr>
          <w:p w14:paraId="4B1FF68D"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6,</w:t>
            </w:r>
            <w:r>
              <w:rPr>
                <w:rFonts w:ascii="Calibri" w:eastAsia="Times New Roman" w:hAnsi="Calibri" w:cs="Calibri"/>
                <w:color w:val="000000"/>
              </w:rPr>
              <w:t>970</w:t>
            </w:r>
          </w:p>
        </w:tc>
        <w:tc>
          <w:tcPr>
            <w:tcW w:w="1393" w:type="dxa"/>
            <w:tcBorders>
              <w:top w:val="nil"/>
              <w:left w:val="nil"/>
              <w:bottom w:val="single" w:sz="4" w:space="0" w:color="000000"/>
              <w:right w:val="nil"/>
            </w:tcBorders>
            <w:shd w:val="clear" w:color="auto" w:fill="auto"/>
            <w:noWrap/>
            <w:vAlign w:val="bottom"/>
            <w:hideMark/>
          </w:tcPr>
          <w:p w14:paraId="2442613B"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6107</w:t>
            </w:r>
            <w:r>
              <w:rPr>
                <w:rFonts w:ascii="Calibri" w:eastAsia="Times New Roman" w:hAnsi="Calibri" w:cs="Calibri"/>
                <w:color w:val="000000"/>
              </w:rPr>
              <w:t>1</w:t>
            </w:r>
          </w:p>
        </w:tc>
        <w:tc>
          <w:tcPr>
            <w:tcW w:w="831" w:type="dxa"/>
            <w:tcBorders>
              <w:top w:val="nil"/>
              <w:left w:val="nil"/>
              <w:bottom w:val="single" w:sz="4" w:space="0" w:color="000000"/>
              <w:right w:val="nil"/>
            </w:tcBorders>
            <w:shd w:val="clear" w:color="auto" w:fill="auto"/>
            <w:noWrap/>
            <w:vAlign w:val="bottom"/>
            <w:hideMark/>
          </w:tcPr>
          <w:p w14:paraId="2198DE64"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81.6%</w:t>
            </w:r>
          </w:p>
        </w:tc>
        <w:tc>
          <w:tcPr>
            <w:tcW w:w="1596" w:type="dxa"/>
            <w:tcBorders>
              <w:top w:val="nil"/>
              <w:left w:val="nil"/>
              <w:bottom w:val="single" w:sz="4" w:space="0" w:color="000000"/>
              <w:right w:val="nil"/>
            </w:tcBorders>
            <w:shd w:val="clear" w:color="auto" w:fill="auto"/>
            <w:noWrap/>
            <w:vAlign w:val="bottom"/>
            <w:hideMark/>
          </w:tcPr>
          <w:p w14:paraId="00986086"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18.4%</w:t>
            </w:r>
          </w:p>
        </w:tc>
        <w:tc>
          <w:tcPr>
            <w:tcW w:w="850" w:type="dxa"/>
            <w:tcBorders>
              <w:top w:val="nil"/>
              <w:left w:val="nil"/>
              <w:bottom w:val="single" w:sz="4" w:space="0" w:color="000000"/>
              <w:right w:val="nil"/>
            </w:tcBorders>
            <w:shd w:val="clear" w:color="auto" w:fill="auto"/>
            <w:noWrap/>
            <w:vAlign w:val="bottom"/>
            <w:hideMark/>
          </w:tcPr>
          <w:p w14:paraId="70BB9F03"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87.2%</w:t>
            </w:r>
          </w:p>
        </w:tc>
        <w:tc>
          <w:tcPr>
            <w:tcW w:w="1743" w:type="dxa"/>
            <w:tcBorders>
              <w:top w:val="nil"/>
              <w:left w:val="nil"/>
              <w:bottom w:val="single" w:sz="4" w:space="0" w:color="000000"/>
              <w:right w:val="nil"/>
            </w:tcBorders>
            <w:shd w:val="clear" w:color="auto" w:fill="auto"/>
            <w:noWrap/>
            <w:vAlign w:val="bottom"/>
            <w:hideMark/>
          </w:tcPr>
          <w:p w14:paraId="68D027FB"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12.8%</w:t>
            </w:r>
          </w:p>
        </w:tc>
        <w:tc>
          <w:tcPr>
            <w:tcW w:w="831" w:type="dxa"/>
            <w:tcBorders>
              <w:top w:val="nil"/>
              <w:left w:val="nil"/>
              <w:bottom w:val="single" w:sz="4" w:space="0" w:color="000000"/>
              <w:right w:val="nil"/>
            </w:tcBorders>
            <w:shd w:val="clear" w:color="auto" w:fill="auto"/>
            <w:noWrap/>
            <w:vAlign w:val="bottom"/>
            <w:hideMark/>
          </w:tcPr>
          <w:p w14:paraId="149AB129"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92.2%</w:t>
            </w:r>
          </w:p>
        </w:tc>
        <w:tc>
          <w:tcPr>
            <w:tcW w:w="1568" w:type="dxa"/>
            <w:tcBorders>
              <w:top w:val="nil"/>
              <w:left w:val="nil"/>
              <w:bottom w:val="single" w:sz="4" w:space="0" w:color="000000"/>
              <w:right w:val="nil"/>
            </w:tcBorders>
            <w:shd w:val="clear" w:color="auto" w:fill="auto"/>
            <w:noWrap/>
            <w:vAlign w:val="bottom"/>
            <w:hideMark/>
          </w:tcPr>
          <w:p w14:paraId="0D8B37BB"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7.8%</w:t>
            </w:r>
          </w:p>
        </w:tc>
      </w:tr>
      <w:tr w:rsidR="00AC3EB0" w:rsidRPr="00B84568" w14:paraId="173116BD" w14:textId="77777777" w:rsidTr="00074A29">
        <w:trPr>
          <w:trHeight w:val="228"/>
        </w:trPr>
        <w:tc>
          <w:tcPr>
            <w:tcW w:w="1874" w:type="dxa"/>
            <w:tcBorders>
              <w:top w:val="nil"/>
              <w:left w:val="nil"/>
              <w:bottom w:val="single" w:sz="4" w:space="0" w:color="auto"/>
              <w:right w:val="nil"/>
            </w:tcBorders>
            <w:shd w:val="clear" w:color="auto" w:fill="auto"/>
            <w:vAlign w:val="bottom"/>
            <w:hideMark/>
          </w:tcPr>
          <w:p w14:paraId="78F05EAC" w14:textId="77777777" w:rsidR="00AC3EB0" w:rsidRPr="00B84568" w:rsidRDefault="00AC3EB0" w:rsidP="00074A29">
            <w:pPr>
              <w:spacing w:after="0" w:line="480" w:lineRule="auto"/>
              <w:rPr>
                <w:rFonts w:ascii="Calibri" w:eastAsia="Times New Roman" w:hAnsi="Calibri" w:cs="Calibri"/>
                <w:color w:val="000000"/>
              </w:rPr>
            </w:pPr>
            <w:r w:rsidRPr="00B84568">
              <w:rPr>
                <w:rFonts w:ascii="Calibri" w:eastAsia="Times New Roman" w:hAnsi="Calibri" w:cs="Calibri"/>
                <w:color w:val="000000"/>
              </w:rPr>
              <w:t xml:space="preserve">Total </w:t>
            </w:r>
          </w:p>
        </w:tc>
        <w:tc>
          <w:tcPr>
            <w:tcW w:w="1361" w:type="dxa"/>
            <w:tcBorders>
              <w:top w:val="nil"/>
              <w:left w:val="nil"/>
              <w:bottom w:val="single" w:sz="4" w:space="0" w:color="auto"/>
              <w:right w:val="nil"/>
            </w:tcBorders>
            <w:shd w:val="clear" w:color="auto" w:fill="auto"/>
            <w:vAlign w:val="bottom"/>
            <w:hideMark/>
          </w:tcPr>
          <w:p w14:paraId="386CF022"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13,</w:t>
            </w:r>
            <w:r>
              <w:rPr>
                <w:rFonts w:ascii="Calibri" w:eastAsia="Times New Roman" w:hAnsi="Calibri" w:cs="Calibri"/>
                <w:color w:val="000000"/>
              </w:rPr>
              <w:t>617</w:t>
            </w:r>
          </w:p>
        </w:tc>
        <w:tc>
          <w:tcPr>
            <w:tcW w:w="1393" w:type="dxa"/>
            <w:tcBorders>
              <w:top w:val="nil"/>
              <w:left w:val="nil"/>
              <w:bottom w:val="single" w:sz="4" w:space="0" w:color="auto"/>
              <w:right w:val="nil"/>
            </w:tcBorders>
            <w:shd w:val="clear" w:color="auto" w:fill="auto"/>
            <w:noWrap/>
            <w:vAlign w:val="bottom"/>
            <w:hideMark/>
          </w:tcPr>
          <w:p w14:paraId="464527BC" w14:textId="77777777" w:rsidR="00AC3EB0" w:rsidRPr="00B84568" w:rsidRDefault="00AC3EB0" w:rsidP="00074A29">
            <w:pPr>
              <w:spacing w:after="0" w:line="480" w:lineRule="auto"/>
              <w:jc w:val="center"/>
              <w:rPr>
                <w:rFonts w:ascii="Calibri" w:eastAsia="Times New Roman" w:hAnsi="Calibri" w:cs="Calibri"/>
                <w:color w:val="000000"/>
              </w:rPr>
            </w:pPr>
            <w:r>
              <w:t>133,667</w:t>
            </w:r>
          </w:p>
        </w:tc>
        <w:tc>
          <w:tcPr>
            <w:tcW w:w="831" w:type="dxa"/>
            <w:tcBorders>
              <w:top w:val="nil"/>
              <w:left w:val="nil"/>
              <w:bottom w:val="single" w:sz="4" w:space="0" w:color="auto"/>
              <w:right w:val="nil"/>
            </w:tcBorders>
            <w:shd w:val="clear" w:color="auto" w:fill="auto"/>
            <w:noWrap/>
            <w:vAlign w:val="bottom"/>
            <w:hideMark/>
          </w:tcPr>
          <w:p w14:paraId="661239E7"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81.2%</w:t>
            </w:r>
          </w:p>
        </w:tc>
        <w:tc>
          <w:tcPr>
            <w:tcW w:w="1596" w:type="dxa"/>
            <w:tcBorders>
              <w:top w:val="nil"/>
              <w:left w:val="nil"/>
              <w:bottom w:val="single" w:sz="4" w:space="0" w:color="auto"/>
              <w:right w:val="nil"/>
            </w:tcBorders>
            <w:shd w:val="clear" w:color="auto" w:fill="auto"/>
            <w:noWrap/>
            <w:vAlign w:val="bottom"/>
            <w:hideMark/>
          </w:tcPr>
          <w:p w14:paraId="64442E41"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18.8%</w:t>
            </w:r>
          </w:p>
        </w:tc>
        <w:tc>
          <w:tcPr>
            <w:tcW w:w="850" w:type="dxa"/>
            <w:tcBorders>
              <w:top w:val="nil"/>
              <w:left w:val="nil"/>
              <w:bottom w:val="single" w:sz="4" w:space="0" w:color="auto"/>
              <w:right w:val="nil"/>
            </w:tcBorders>
            <w:shd w:val="clear" w:color="auto" w:fill="auto"/>
            <w:noWrap/>
            <w:vAlign w:val="bottom"/>
            <w:hideMark/>
          </w:tcPr>
          <w:p w14:paraId="26AF5D90"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75.7%</w:t>
            </w:r>
          </w:p>
        </w:tc>
        <w:tc>
          <w:tcPr>
            <w:tcW w:w="1743" w:type="dxa"/>
            <w:tcBorders>
              <w:top w:val="nil"/>
              <w:left w:val="nil"/>
              <w:bottom w:val="single" w:sz="4" w:space="0" w:color="auto"/>
              <w:right w:val="nil"/>
            </w:tcBorders>
            <w:shd w:val="clear" w:color="auto" w:fill="auto"/>
            <w:noWrap/>
            <w:vAlign w:val="bottom"/>
            <w:hideMark/>
          </w:tcPr>
          <w:p w14:paraId="30A53102"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24.3%</w:t>
            </w:r>
          </w:p>
        </w:tc>
        <w:tc>
          <w:tcPr>
            <w:tcW w:w="831" w:type="dxa"/>
            <w:tcBorders>
              <w:top w:val="nil"/>
              <w:left w:val="nil"/>
              <w:bottom w:val="single" w:sz="4" w:space="0" w:color="auto"/>
              <w:right w:val="nil"/>
            </w:tcBorders>
            <w:shd w:val="clear" w:color="auto" w:fill="auto"/>
            <w:noWrap/>
            <w:vAlign w:val="bottom"/>
            <w:hideMark/>
          </w:tcPr>
          <w:p w14:paraId="4C55EF72"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n/a</w:t>
            </w:r>
          </w:p>
        </w:tc>
        <w:tc>
          <w:tcPr>
            <w:tcW w:w="1568" w:type="dxa"/>
            <w:tcBorders>
              <w:top w:val="nil"/>
              <w:left w:val="nil"/>
              <w:bottom w:val="single" w:sz="4" w:space="0" w:color="auto"/>
              <w:right w:val="nil"/>
            </w:tcBorders>
            <w:shd w:val="clear" w:color="auto" w:fill="auto"/>
            <w:noWrap/>
            <w:vAlign w:val="bottom"/>
            <w:hideMark/>
          </w:tcPr>
          <w:p w14:paraId="17CFBA77" w14:textId="77777777" w:rsidR="00AC3EB0" w:rsidRPr="00B84568" w:rsidRDefault="00AC3EB0" w:rsidP="00074A29">
            <w:pPr>
              <w:spacing w:after="0" w:line="480" w:lineRule="auto"/>
              <w:jc w:val="center"/>
              <w:rPr>
                <w:rFonts w:ascii="Calibri" w:eastAsia="Times New Roman" w:hAnsi="Calibri" w:cs="Calibri"/>
                <w:color w:val="000000"/>
              </w:rPr>
            </w:pPr>
            <w:r w:rsidRPr="00B84568">
              <w:rPr>
                <w:rFonts w:ascii="Calibri" w:eastAsia="Times New Roman" w:hAnsi="Calibri" w:cs="Calibri"/>
                <w:color w:val="000000"/>
              </w:rPr>
              <w:t>n/a</w:t>
            </w:r>
          </w:p>
        </w:tc>
      </w:tr>
    </w:tbl>
    <w:p w14:paraId="1A50B750" w14:textId="51A0586E" w:rsidR="00AC3EB0" w:rsidRPr="00AC3EB0" w:rsidRDefault="00AC3EB0" w:rsidP="00166205">
      <w:pPr>
        <w:spacing w:before="240" w:line="480" w:lineRule="auto"/>
      </w:pPr>
      <w:r w:rsidRPr="00C64368">
        <w:rPr>
          <w:sz w:val="20"/>
          <w:szCs w:val="20"/>
        </w:rPr>
        <w:t>HEU children were followed over the following calendar periods in 6 study regions: Connecticut (2006-2017), Georgia (2005-2010), Louisiana (1990-2017), Michigan (1990-2017), Puerto Rico (1990-2016), and Texas (1999-2017). HEU surveillance was complete in these regions over the periods indicated, except Georgia conducted only hospital-based surveillance in 7 centers, and Michigan had incomplete population-based HEU surveillance during 2013-2017.</w:t>
      </w:r>
      <w:r>
        <w:rPr>
          <w:sz w:val="20"/>
          <w:szCs w:val="20"/>
        </w:rPr>
        <w:t xml:space="preserve"> P</w:t>
      </w:r>
      <w:r w:rsidRPr="00C64368">
        <w:rPr>
          <w:sz w:val="20"/>
          <w:szCs w:val="20"/>
        </w:rPr>
        <w:t xml:space="preserve">ostnatal ARV use was not routinely collected by </w:t>
      </w:r>
      <w:r>
        <w:rPr>
          <w:sz w:val="20"/>
          <w:szCs w:val="20"/>
        </w:rPr>
        <w:t xml:space="preserve">all of the </w:t>
      </w:r>
      <w:r w:rsidRPr="00C64368">
        <w:rPr>
          <w:sz w:val="20"/>
          <w:szCs w:val="20"/>
        </w:rPr>
        <w:t>state health department</w:t>
      </w:r>
      <w:r>
        <w:rPr>
          <w:sz w:val="20"/>
          <w:szCs w:val="20"/>
        </w:rPr>
        <w:t xml:space="preserve">s. </w:t>
      </w:r>
      <w:r w:rsidRPr="00C64368">
        <w:rPr>
          <w:sz w:val="20"/>
          <w:szCs w:val="20"/>
        </w:rPr>
        <w:t>Abbreviations: ARV antiretroviral, HEU HIV-exposed uninfected, n/a not availabl</w:t>
      </w:r>
      <w:r w:rsidR="00166205">
        <w:rPr>
          <w:sz w:val="20"/>
          <w:szCs w:val="20"/>
        </w:rPr>
        <w:t>e</w:t>
      </w:r>
    </w:p>
    <w:sectPr w:rsidR="00AC3EB0" w:rsidRPr="00AC3EB0" w:rsidSect="0016620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271C" w14:textId="77777777" w:rsidR="00CB750F" w:rsidRDefault="00CB750F" w:rsidP="00166205">
      <w:pPr>
        <w:spacing w:after="0" w:line="240" w:lineRule="auto"/>
      </w:pPr>
      <w:r>
        <w:separator/>
      </w:r>
    </w:p>
  </w:endnote>
  <w:endnote w:type="continuationSeparator" w:id="0">
    <w:p w14:paraId="75F4A967" w14:textId="77777777" w:rsidR="00CB750F" w:rsidRDefault="00CB750F" w:rsidP="0016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009526"/>
      <w:docPartObj>
        <w:docPartGallery w:val="Page Numbers (Bottom of Page)"/>
        <w:docPartUnique/>
      </w:docPartObj>
    </w:sdtPr>
    <w:sdtEndPr>
      <w:rPr>
        <w:noProof/>
      </w:rPr>
    </w:sdtEndPr>
    <w:sdtContent>
      <w:p w14:paraId="75692BC5" w14:textId="3655BA4C" w:rsidR="00166205" w:rsidRDefault="00166205">
        <w:pPr>
          <w:pStyle w:val="Footer"/>
          <w:jc w:val="right"/>
        </w:pPr>
        <w:r>
          <w:t>Cancer Risk among HEU- Supplemental Materials-</w:t>
        </w:r>
        <w:r>
          <w:fldChar w:fldCharType="begin"/>
        </w:r>
        <w:r>
          <w:instrText xml:space="preserve"> PAGE   \* MERGEFORMAT </w:instrText>
        </w:r>
        <w:r>
          <w:fldChar w:fldCharType="separate"/>
        </w:r>
        <w:r>
          <w:rPr>
            <w:noProof/>
          </w:rPr>
          <w:t>2</w:t>
        </w:r>
        <w:r>
          <w:rPr>
            <w:noProof/>
          </w:rPr>
          <w:fldChar w:fldCharType="end"/>
        </w:r>
      </w:p>
    </w:sdtContent>
  </w:sdt>
  <w:p w14:paraId="4D48690B" w14:textId="77777777" w:rsidR="00166205" w:rsidRDefault="0016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26F3" w14:textId="77777777" w:rsidR="00CB750F" w:rsidRDefault="00CB750F" w:rsidP="00166205">
      <w:pPr>
        <w:spacing w:after="0" w:line="240" w:lineRule="auto"/>
      </w:pPr>
      <w:r>
        <w:separator/>
      </w:r>
    </w:p>
  </w:footnote>
  <w:footnote w:type="continuationSeparator" w:id="0">
    <w:p w14:paraId="41F3EE3A" w14:textId="77777777" w:rsidR="00CB750F" w:rsidRDefault="00CB750F" w:rsidP="00166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B0"/>
    <w:rsid w:val="000B04ED"/>
    <w:rsid w:val="00166205"/>
    <w:rsid w:val="004B7C8F"/>
    <w:rsid w:val="00535E4F"/>
    <w:rsid w:val="00AC3EB0"/>
    <w:rsid w:val="00CB750F"/>
    <w:rsid w:val="00E4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1E21"/>
  <w15:chartTrackingRefBased/>
  <w15:docId w15:val="{7A2DD6A4-A01D-4A16-8DA6-68BE09DB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E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EB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C3EB0"/>
    <w:rPr>
      <w:color w:val="0000FF"/>
      <w:u w:val="single"/>
    </w:rPr>
  </w:style>
  <w:style w:type="character" w:customStyle="1" w:styleId="normaltextrun">
    <w:name w:val="normaltextrun"/>
    <w:basedOn w:val="DefaultParagraphFont"/>
    <w:rsid w:val="00AC3EB0"/>
  </w:style>
  <w:style w:type="character" w:customStyle="1" w:styleId="Heading1Char">
    <w:name w:val="Heading 1 Char"/>
    <w:basedOn w:val="DefaultParagraphFont"/>
    <w:link w:val="Heading1"/>
    <w:uiPriority w:val="9"/>
    <w:rsid w:val="00AC3EB0"/>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166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66205"/>
  </w:style>
  <w:style w:type="character" w:customStyle="1" w:styleId="spellingerror">
    <w:name w:val="spellingerror"/>
    <w:basedOn w:val="DefaultParagraphFont"/>
    <w:rsid w:val="00166205"/>
  </w:style>
  <w:style w:type="paragraph" w:styleId="Header">
    <w:name w:val="header"/>
    <w:basedOn w:val="Normal"/>
    <w:link w:val="HeaderChar"/>
    <w:uiPriority w:val="99"/>
    <w:unhideWhenUsed/>
    <w:rsid w:val="00166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05"/>
  </w:style>
  <w:style w:type="paragraph" w:styleId="Footer">
    <w:name w:val="footer"/>
    <w:basedOn w:val="Normal"/>
    <w:link w:val="FooterChar"/>
    <w:uiPriority w:val="99"/>
    <w:unhideWhenUsed/>
    <w:rsid w:val="00166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11886">
      <w:bodyDiv w:val="1"/>
      <w:marLeft w:val="0"/>
      <w:marRight w:val="0"/>
      <w:marTop w:val="0"/>
      <w:marBottom w:val="0"/>
      <w:divBdr>
        <w:top w:val="none" w:sz="0" w:space="0" w:color="auto"/>
        <w:left w:val="none" w:sz="0" w:space="0" w:color="auto"/>
        <w:bottom w:val="none" w:sz="0" w:space="0" w:color="auto"/>
        <w:right w:val="none" w:sz="0" w:space="0" w:color="auto"/>
      </w:divBdr>
      <w:divsChild>
        <w:div w:id="316542724">
          <w:marLeft w:val="0"/>
          <w:marRight w:val="0"/>
          <w:marTop w:val="0"/>
          <w:marBottom w:val="0"/>
          <w:divBdr>
            <w:top w:val="none" w:sz="0" w:space="0" w:color="auto"/>
            <w:left w:val="none" w:sz="0" w:space="0" w:color="auto"/>
            <w:bottom w:val="none" w:sz="0" w:space="0" w:color="auto"/>
            <w:right w:val="none" w:sz="0" w:space="0" w:color="auto"/>
          </w:divBdr>
        </w:div>
        <w:div w:id="236136845">
          <w:marLeft w:val="0"/>
          <w:marRight w:val="0"/>
          <w:marTop w:val="0"/>
          <w:marBottom w:val="0"/>
          <w:divBdr>
            <w:top w:val="none" w:sz="0" w:space="0" w:color="auto"/>
            <w:left w:val="none" w:sz="0" w:space="0" w:color="auto"/>
            <w:bottom w:val="none" w:sz="0" w:space="0" w:color="auto"/>
            <w:right w:val="none" w:sz="0" w:space="0" w:color="auto"/>
          </w:divBdr>
        </w:div>
        <w:div w:id="265894900">
          <w:marLeft w:val="0"/>
          <w:marRight w:val="0"/>
          <w:marTop w:val="0"/>
          <w:marBottom w:val="0"/>
          <w:divBdr>
            <w:top w:val="none" w:sz="0" w:space="0" w:color="auto"/>
            <w:left w:val="none" w:sz="0" w:space="0" w:color="auto"/>
            <w:bottom w:val="none" w:sz="0" w:space="0" w:color="auto"/>
            <w:right w:val="none" w:sz="0" w:space="0" w:color="auto"/>
          </w:divBdr>
        </w:div>
        <w:div w:id="64416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hivmatch.canc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46f0e9-fe00-406f-ac91-4fe5157d77a6" xsi:nil="true"/>
    <lcf76f155ced4ddcb4097134ff3c332f xmlns="6b8669b0-6574-4d07-86da-697da70261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59E1B0E4BB8498EB525461DDF4905" ma:contentTypeVersion="12" ma:contentTypeDescription="Create a new document." ma:contentTypeScope="" ma:versionID="d80b47ee78020778baa14b0506dc9192">
  <xsd:schema xmlns:xsd="http://www.w3.org/2001/XMLSchema" xmlns:xs="http://www.w3.org/2001/XMLSchema" xmlns:p="http://schemas.microsoft.com/office/2006/metadata/properties" xmlns:ns2="6b8669b0-6574-4d07-86da-697da7026110" xmlns:ns3="8e46f0e9-fe00-406f-ac91-4fe5157d77a6" targetNamespace="http://schemas.microsoft.com/office/2006/metadata/properties" ma:root="true" ma:fieldsID="0a80eeff396abfee5a0288196730a126" ns2:_="" ns3:_="">
    <xsd:import namespace="6b8669b0-6574-4d07-86da-697da7026110"/>
    <xsd:import namespace="8e46f0e9-fe00-406f-ac91-4fe5157d77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69b0-6574-4d07-86da-697da7026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46f0e9-fe00-406f-ac91-4fe5157d77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2643a5a-a293-4224-823d-b90b89a41f67}" ma:internalName="TaxCatchAll" ma:showField="CatchAllData" ma:web="8e46f0e9-fe00-406f-ac91-4fe5157d77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D37C4-1856-4D01-BFD1-C4A02BB2B5DF}">
  <ds:schemaRefs>
    <ds:schemaRef ds:uri="http://schemas.microsoft.com/sharepoint/v3/contenttype/forms"/>
  </ds:schemaRefs>
</ds:datastoreItem>
</file>

<file path=customXml/itemProps2.xml><?xml version="1.0" encoding="utf-8"?>
<ds:datastoreItem xmlns:ds="http://schemas.openxmlformats.org/officeDocument/2006/customXml" ds:itemID="{50E8CDCB-49E3-4C55-8D36-AB6265907B3B}">
  <ds:schemaRefs>
    <ds:schemaRef ds:uri="http://schemas.microsoft.com/office/2006/metadata/properties"/>
    <ds:schemaRef ds:uri="http://schemas.microsoft.com/office/infopath/2007/PartnerControls"/>
    <ds:schemaRef ds:uri="8e46f0e9-fe00-406f-ac91-4fe5157d77a6"/>
    <ds:schemaRef ds:uri="6b8669b0-6574-4d07-86da-697da7026110"/>
  </ds:schemaRefs>
</ds:datastoreItem>
</file>

<file path=customXml/itemProps3.xml><?xml version="1.0" encoding="utf-8"?>
<ds:datastoreItem xmlns:ds="http://schemas.openxmlformats.org/officeDocument/2006/customXml" ds:itemID="{1DA4814C-2342-4920-A81E-E0CD59366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69b0-6574-4d07-86da-697da7026110"/>
    <ds:schemaRef ds:uri="8e46f0e9-fe00-406f-ac91-4fe5157d7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Horner, Marie Josephe (NIH/NCI) [E]</dc:creator>
  <cp:keywords/>
  <dc:description/>
  <cp:lastModifiedBy>Horner, Marie Josephe (NIH/NCI) [E]</cp:lastModifiedBy>
  <cp:revision>2</cp:revision>
  <dcterms:created xsi:type="dcterms:W3CDTF">2022-11-23T21:23:00Z</dcterms:created>
  <dcterms:modified xsi:type="dcterms:W3CDTF">2022-11-23T21:23:00Z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0x01010009559E1B0E4BB8498EB525461DDF4905</vt:lpwstr>
  </property>
</Properties>
</file>