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3E6A5" w14:textId="087F5D39" w:rsidR="00CB2B6F" w:rsidRPr="006C549B" w:rsidRDefault="00F7778C" w:rsidP="008807A9">
      <w:pPr>
        <w:spacing w:after="0" w:line="240" w:lineRule="auto"/>
        <w:rPr>
          <w:rFonts w:ascii="Arial" w:hAnsi="Arial" w:cs="Arial"/>
          <w:b/>
          <w:bCs/>
        </w:rPr>
      </w:pPr>
      <w:r w:rsidRPr="006C549B">
        <w:rPr>
          <w:rFonts w:ascii="Arial" w:hAnsi="Arial" w:cs="Arial"/>
          <w:b/>
          <w:bCs/>
        </w:rPr>
        <w:t>SUPPLEMENTARY MATERIAL</w:t>
      </w:r>
    </w:p>
    <w:p w14:paraId="79041A5C" w14:textId="77777777" w:rsidR="00CB2B6F" w:rsidRPr="006C549B" w:rsidRDefault="00CB2B6F" w:rsidP="008807A9">
      <w:pPr>
        <w:spacing w:after="0" w:line="240" w:lineRule="auto"/>
        <w:rPr>
          <w:rFonts w:ascii="Arial" w:hAnsi="Arial" w:cs="Arial"/>
          <w:b/>
          <w:bCs/>
        </w:rPr>
      </w:pPr>
    </w:p>
    <w:p w14:paraId="378CF8CF" w14:textId="50D96C5B" w:rsidR="00776440" w:rsidRPr="006C549B" w:rsidRDefault="00F7778C" w:rsidP="00776440">
      <w:pPr>
        <w:spacing w:after="0" w:line="240" w:lineRule="auto"/>
        <w:rPr>
          <w:rFonts w:ascii="Arial" w:hAnsi="Arial" w:cs="Arial"/>
          <w:b/>
          <w:bCs/>
        </w:rPr>
      </w:pPr>
      <w:r>
        <w:rPr>
          <w:rFonts w:ascii="Arial" w:hAnsi="Arial" w:cs="Arial"/>
          <w:b/>
          <w:bCs/>
        </w:rPr>
        <w:t xml:space="preserve">Supplementary </w:t>
      </w:r>
      <w:r w:rsidR="00776440" w:rsidRPr="006C549B">
        <w:rPr>
          <w:rFonts w:ascii="Arial" w:hAnsi="Arial" w:cs="Arial"/>
          <w:b/>
          <w:bCs/>
        </w:rPr>
        <w:t>Methods</w:t>
      </w:r>
    </w:p>
    <w:p w14:paraId="090BF7C5" w14:textId="76B934F0" w:rsidR="00776440" w:rsidRPr="006C549B" w:rsidRDefault="00776440" w:rsidP="00776440">
      <w:pPr>
        <w:spacing w:after="0" w:line="240" w:lineRule="auto"/>
        <w:rPr>
          <w:rFonts w:ascii="Arial" w:hAnsi="Arial" w:cs="Arial"/>
        </w:rPr>
      </w:pPr>
      <w:r w:rsidRPr="006C549B">
        <w:rPr>
          <w:rFonts w:ascii="Arial" w:hAnsi="Arial" w:cs="Arial"/>
        </w:rPr>
        <w:t>Outcomes</w:t>
      </w:r>
    </w:p>
    <w:p w14:paraId="7EDCCDB0" w14:textId="7E1E4B5A" w:rsidR="00776440" w:rsidRPr="006C549B" w:rsidRDefault="00776440" w:rsidP="00776440">
      <w:pPr>
        <w:spacing w:after="0" w:line="240" w:lineRule="auto"/>
        <w:rPr>
          <w:rFonts w:ascii="Arial" w:hAnsi="Arial" w:cs="Arial"/>
        </w:rPr>
      </w:pPr>
      <w:r w:rsidRPr="006C549B">
        <w:rPr>
          <w:rFonts w:ascii="Arial" w:hAnsi="Arial" w:cs="Arial"/>
        </w:rPr>
        <w:t>Pain indication and cancer history groupings</w:t>
      </w:r>
    </w:p>
    <w:p w14:paraId="4A8AD842" w14:textId="5878370C" w:rsidR="00776440" w:rsidRDefault="00776440" w:rsidP="00776440">
      <w:pPr>
        <w:spacing w:after="0" w:line="240" w:lineRule="auto"/>
        <w:rPr>
          <w:rFonts w:ascii="Arial" w:hAnsi="Arial" w:cs="Arial"/>
        </w:rPr>
      </w:pPr>
      <w:r w:rsidRPr="006C549B">
        <w:rPr>
          <w:rFonts w:ascii="Arial" w:hAnsi="Arial" w:cs="Arial"/>
        </w:rPr>
        <w:t>Statistical analyses</w:t>
      </w:r>
    </w:p>
    <w:p w14:paraId="16E4A420" w14:textId="5C790E27" w:rsidR="008E7D19" w:rsidRDefault="008E7D19" w:rsidP="00776440">
      <w:pPr>
        <w:spacing w:after="0" w:line="240" w:lineRule="auto"/>
        <w:rPr>
          <w:rFonts w:ascii="Arial" w:hAnsi="Arial" w:cs="Arial"/>
        </w:rPr>
      </w:pPr>
    </w:p>
    <w:p w14:paraId="2B20E6A7" w14:textId="76F91F69" w:rsidR="008E7D19" w:rsidRPr="008E7D19" w:rsidRDefault="008E7D19" w:rsidP="00776440">
      <w:pPr>
        <w:spacing w:after="0" w:line="240" w:lineRule="auto"/>
        <w:rPr>
          <w:rFonts w:ascii="Arial" w:hAnsi="Arial" w:cs="Arial"/>
          <w:b/>
          <w:bCs/>
        </w:rPr>
      </w:pPr>
      <w:r w:rsidRPr="008E7D19">
        <w:rPr>
          <w:rFonts w:ascii="Arial" w:hAnsi="Arial" w:cs="Arial"/>
          <w:b/>
          <w:bCs/>
        </w:rPr>
        <w:t>Supplementary Results</w:t>
      </w:r>
    </w:p>
    <w:p w14:paraId="6B30091E" w14:textId="6C89E398" w:rsidR="00B62127" w:rsidRDefault="00B62127" w:rsidP="00776440">
      <w:pPr>
        <w:spacing w:after="0" w:line="240" w:lineRule="auto"/>
        <w:rPr>
          <w:rFonts w:ascii="Arial" w:hAnsi="Arial" w:cs="Arial"/>
        </w:rPr>
      </w:pPr>
      <w:r>
        <w:rPr>
          <w:rFonts w:ascii="Arial" w:hAnsi="Arial" w:cs="Arial"/>
        </w:rPr>
        <w:t>Overall</w:t>
      </w:r>
    </w:p>
    <w:p w14:paraId="4E36EAD1" w14:textId="1994593C" w:rsidR="008E7D19" w:rsidRPr="006C549B" w:rsidRDefault="008E7D19" w:rsidP="00776440">
      <w:pPr>
        <w:spacing w:after="0" w:line="240" w:lineRule="auto"/>
        <w:rPr>
          <w:rFonts w:ascii="Arial" w:hAnsi="Arial" w:cs="Arial"/>
        </w:rPr>
      </w:pPr>
      <w:r>
        <w:rPr>
          <w:rFonts w:ascii="Arial" w:hAnsi="Arial" w:cs="Arial"/>
        </w:rPr>
        <w:t>Sensitivity analysis</w:t>
      </w:r>
    </w:p>
    <w:p w14:paraId="6C501628" w14:textId="77777777" w:rsidR="00776440" w:rsidRPr="006C549B" w:rsidRDefault="00776440" w:rsidP="00776440">
      <w:pPr>
        <w:spacing w:after="0" w:line="240" w:lineRule="auto"/>
        <w:rPr>
          <w:rFonts w:ascii="Arial" w:hAnsi="Arial" w:cs="Arial"/>
        </w:rPr>
      </w:pPr>
    </w:p>
    <w:p w14:paraId="6C9B291D" w14:textId="5C0E9CEC" w:rsidR="00776440" w:rsidRPr="006C549B" w:rsidRDefault="00F7778C" w:rsidP="00776440">
      <w:pPr>
        <w:spacing w:after="0" w:line="240" w:lineRule="auto"/>
        <w:rPr>
          <w:rFonts w:ascii="Arial" w:hAnsi="Arial" w:cs="Arial"/>
        </w:rPr>
      </w:pPr>
      <w:r>
        <w:rPr>
          <w:rFonts w:ascii="Arial" w:hAnsi="Arial" w:cs="Arial"/>
          <w:b/>
          <w:bCs/>
        </w:rPr>
        <w:t xml:space="preserve">Supplementary </w:t>
      </w:r>
      <w:r w:rsidR="00776440" w:rsidRPr="006C549B">
        <w:rPr>
          <w:rFonts w:ascii="Arial" w:hAnsi="Arial" w:cs="Arial"/>
          <w:b/>
          <w:bCs/>
        </w:rPr>
        <w:t xml:space="preserve">Table 1. </w:t>
      </w:r>
      <w:r w:rsidR="00776440" w:rsidRPr="006C549B">
        <w:rPr>
          <w:rFonts w:ascii="Arial" w:hAnsi="Arial" w:cs="Arial"/>
        </w:rPr>
        <w:t>Prescription opioids</w:t>
      </w:r>
    </w:p>
    <w:p w14:paraId="7655228B" w14:textId="77777777" w:rsidR="00776440" w:rsidRPr="006C549B" w:rsidRDefault="00776440" w:rsidP="00776440">
      <w:pPr>
        <w:spacing w:after="0" w:line="240" w:lineRule="auto"/>
        <w:rPr>
          <w:rFonts w:ascii="Arial" w:hAnsi="Arial" w:cs="Arial"/>
        </w:rPr>
      </w:pPr>
    </w:p>
    <w:p w14:paraId="1E245865" w14:textId="53AF0DE7" w:rsidR="00776440" w:rsidRPr="006C549B" w:rsidRDefault="00F7778C" w:rsidP="00776440">
      <w:pPr>
        <w:spacing w:after="0" w:line="240" w:lineRule="auto"/>
        <w:rPr>
          <w:rFonts w:ascii="Arial" w:hAnsi="Arial" w:cs="Arial"/>
        </w:rPr>
      </w:pPr>
      <w:r>
        <w:rPr>
          <w:rFonts w:ascii="Arial" w:hAnsi="Arial" w:cs="Arial"/>
          <w:b/>
          <w:bCs/>
        </w:rPr>
        <w:t xml:space="preserve">Supplementary </w:t>
      </w:r>
      <w:r w:rsidR="00776440" w:rsidRPr="006C549B">
        <w:rPr>
          <w:rFonts w:ascii="Arial" w:hAnsi="Arial" w:cs="Arial"/>
          <w:b/>
          <w:bCs/>
        </w:rPr>
        <w:t>Table 2.</w:t>
      </w:r>
      <w:r w:rsidR="00776440" w:rsidRPr="006C549B">
        <w:rPr>
          <w:rFonts w:ascii="Arial" w:hAnsi="Arial" w:cs="Arial"/>
        </w:rPr>
        <w:t xml:space="preserve"> ICD-9-CM and ICD-10-CM Diagnostic Codes for Acute Pain</w:t>
      </w:r>
    </w:p>
    <w:p w14:paraId="3E91AC7D" w14:textId="77777777" w:rsidR="00776440" w:rsidRPr="006C549B" w:rsidRDefault="00776440" w:rsidP="00776440">
      <w:pPr>
        <w:spacing w:after="0" w:line="240" w:lineRule="auto"/>
        <w:rPr>
          <w:rFonts w:ascii="Arial" w:hAnsi="Arial" w:cs="Arial"/>
        </w:rPr>
      </w:pPr>
    </w:p>
    <w:p w14:paraId="3AF56158" w14:textId="52F0B634" w:rsidR="00776440" w:rsidRPr="006C549B" w:rsidRDefault="00F7778C" w:rsidP="00776440">
      <w:pPr>
        <w:spacing w:after="0" w:line="240" w:lineRule="auto"/>
        <w:rPr>
          <w:rFonts w:ascii="Arial" w:hAnsi="Arial" w:cs="Arial"/>
        </w:rPr>
      </w:pPr>
      <w:r>
        <w:rPr>
          <w:rFonts w:ascii="Arial" w:hAnsi="Arial" w:cs="Arial"/>
          <w:b/>
          <w:bCs/>
        </w:rPr>
        <w:t xml:space="preserve">Supplementary </w:t>
      </w:r>
      <w:r w:rsidR="00776440" w:rsidRPr="006C549B">
        <w:rPr>
          <w:rFonts w:ascii="Arial" w:hAnsi="Arial" w:cs="Arial"/>
          <w:b/>
          <w:bCs/>
        </w:rPr>
        <w:t>Table 3.</w:t>
      </w:r>
      <w:r w:rsidR="00776440" w:rsidRPr="006C549B">
        <w:rPr>
          <w:rFonts w:ascii="Arial" w:hAnsi="Arial" w:cs="Arial"/>
        </w:rPr>
        <w:t xml:space="preserve"> ICD-9-CM and ICD-10-CM Diagnostic Codes for Chronic Pain</w:t>
      </w:r>
    </w:p>
    <w:p w14:paraId="22E708C1" w14:textId="77777777" w:rsidR="00776440" w:rsidRPr="006C549B" w:rsidRDefault="00776440" w:rsidP="00776440">
      <w:pPr>
        <w:spacing w:after="0" w:line="240" w:lineRule="auto"/>
        <w:rPr>
          <w:rFonts w:ascii="Arial" w:hAnsi="Arial" w:cs="Arial"/>
        </w:rPr>
      </w:pPr>
    </w:p>
    <w:p w14:paraId="2D4361A2" w14:textId="2373F98E" w:rsidR="00776440" w:rsidRPr="006C549B" w:rsidRDefault="00F7778C" w:rsidP="00776440">
      <w:pPr>
        <w:spacing w:after="0" w:line="240" w:lineRule="auto"/>
        <w:rPr>
          <w:rFonts w:ascii="Arial" w:hAnsi="Arial" w:cs="Arial"/>
        </w:rPr>
      </w:pPr>
      <w:r>
        <w:rPr>
          <w:rFonts w:ascii="Arial" w:hAnsi="Arial" w:cs="Arial"/>
          <w:b/>
          <w:bCs/>
        </w:rPr>
        <w:t xml:space="preserve">Supplementary </w:t>
      </w:r>
      <w:r w:rsidR="00776440" w:rsidRPr="006C549B">
        <w:rPr>
          <w:rFonts w:ascii="Arial" w:hAnsi="Arial" w:cs="Arial"/>
          <w:b/>
          <w:bCs/>
        </w:rPr>
        <w:t xml:space="preserve">Table 4. </w:t>
      </w:r>
      <w:r w:rsidR="00776440" w:rsidRPr="006C549B">
        <w:rPr>
          <w:rFonts w:ascii="Arial" w:hAnsi="Arial" w:cs="Arial"/>
        </w:rPr>
        <w:t>Number of monthly insured prescription opioid- or benzodiazepine- naïve persons and incident prescriptions, by pain indication overall and within cancer status, from a single North Carolina provider of private health insurance, January 2012–August 2018</w:t>
      </w:r>
    </w:p>
    <w:p w14:paraId="57CF48C9" w14:textId="77777777" w:rsidR="00097CD8" w:rsidRDefault="00097CD8" w:rsidP="00097CD8">
      <w:pPr>
        <w:spacing w:after="0" w:line="240" w:lineRule="auto"/>
        <w:rPr>
          <w:rFonts w:ascii="Arial" w:hAnsi="Arial" w:cs="Arial"/>
          <w:b/>
          <w:bCs/>
        </w:rPr>
      </w:pPr>
    </w:p>
    <w:p w14:paraId="698DBB12" w14:textId="5B027D43" w:rsidR="00184AA8" w:rsidRDefault="00667444" w:rsidP="00097CD8">
      <w:pPr>
        <w:spacing w:after="0" w:line="240" w:lineRule="auto"/>
        <w:rPr>
          <w:rFonts w:ascii="Arial" w:hAnsi="Arial" w:cs="Arial"/>
        </w:rPr>
      </w:pPr>
      <w:r w:rsidRPr="00667444">
        <w:rPr>
          <w:rFonts w:ascii="Arial" w:hAnsi="Arial" w:cs="Arial"/>
          <w:b/>
          <w:bCs/>
        </w:rPr>
        <w:t xml:space="preserve">Supplementary Table </w:t>
      </w:r>
      <w:r w:rsidR="00F55A66">
        <w:rPr>
          <w:rFonts w:ascii="Arial" w:hAnsi="Arial" w:cs="Arial"/>
          <w:b/>
          <w:bCs/>
        </w:rPr>
        <w:t>5</w:t>
      </w:r>
      <w:r w:rsidRPr="00667444">
        <w:rPr>
          <w:rFonts w:ascii="Arial" w:hAnsi="Arial" w:cs="Arial"/>
          <w:b/>
          <w:bCs/>
        </w:rPr>
        <w:t>.</w:t>
      </w:r>
      <w:r w:rsidRPr="00667444">
        <w:rPr>
          <w:rFonts w:ascii="Arial" w:hAnsi="Arial" w:cs="Arial"/>
        </w:rPr>
        <w:t xml:space="preserve"> </w:t>
      </w:r>
      <w:r w:rsidR="005A407E" w:rsidRPr="005A407E">
        <w:rPr>
          <w:rFonts w:ascii="Arial" w:hAnsi="Arial" w:cs="Arial"/>
        </w:rPr>
        <w:t>Association of a statewide initiative and an insurance reimbursement policy on mean days’ supply of initial opioid prescriptions, by pain indication overall and within cancer status</w:t>
      </w:r>
      <w:r w:rsidR="00B26FB9">
        <w:rPr>
          <w:rFonts w:ascii="Arial" w:hAnsi="Arial" w:cs="Arial"/>
        </w:rPr>
        <w:t xml:space="preserve"> – controlled ITS</w:t>
      </w:r>
    </w:p>
    <w:p w14:paraId="098C53B4" w14:textId="6773C421" w:rsidR="00B37449" w:rsidRDefault="00B37449" w:rsidP="00097CD8">
      <w:pPr>
        <w:spacing w:after="0" w:line="240" w:lineRule="auto"/>
        <w:rPr>
          <w:rFonts w:ascii="Arial" w:hAnsi="Arial" w:cs="Arial"/>
        </w:rPr>
      </w:pPr>
    </w:p>
    <w:p w14:paraId="5F38187A" w14:textId="2C56045B" w:rsidR="00B37449" w:rsidRPr="00B37449" w:rsidRDefault="00B37449" w:rsidP="00B37449">
      <w:pPr>
        <w:spacing w:after="0" w:line="240" w:lineRule="auto"/>
        <w:rPr>
          <w:rFonts w:ascii="Arial" w:hAnsi="Arial" w:cs="Arial"/>
        </w:rPr>
      </w:pPr>
      <w:r w:rsidRPr="00AC7263">
        <w:rPr>
          <w:rFonts w:ascii="Arial" w:hAnsi="Arial" w:cs="Arial"/>
          <w:b/>
          <w:bCs/>
        </w:rPr>
        <w:t xml:space="preserve">Supplementary Table 6. </w:t>
      </w:r>
      <w:r w:rsidRPr="00B37449">
        <w:rPr>
          <w:rFonts w:ascii="Arial" w:hAnsi="Arial" w:cs="Arial"/>
        </w:rPr>
        <w:t>Final model Akaike Information Criterion (AIC) results</w:t>
      </w:r>
    </w:p>
    <w:p w14:paraId="45C00ADC" w14:textId="77777777" w:rsidR="00097CD8" w:rsidRPr="006C549B" w:rsidRDefault="00097CD8" w:rsidP="00097CD8">
      <w:pPr>
        <w:spacing w:after="0" w:line="240" w:lineRule="auto"/>
        <w:rPr>
          <w:rFonts w:ascii="Arial" w:hAnsi="Arial" w:cs="Arial"/>
        </w:rPr>
      </w:pPr>
    </w:p>
    <w:p w14:paraId="4B0ADB31" w14:textId="10B49090" w:rsidR="00776440" w:rsidRPr="00776440" w:rsidRDefault="00F7778C" w:rsidP="00097CD8">
      <w:pPr>
        <w:spacing w:after="0" w:line="240" w:lineRule="auto"/>
        <w:rPr>
          <w:rFonts w:ascii="Times New Roman" w:hAnsi="Times New Roman" w:cs="Times New Roman"/>
          <w:b/>
          <w:bCs/>
          <w:sz w:val="20"/>
          <w:szCs w:val="20"/>
        </w:rPr>
      </w:pPr>
      <w:r>
        <w:rPr>
          <w:rFonts w:ascii="Arial" w:hAnsi="Arial" w:cs="Arial"/>
          <w:b/>
          <w:bCs/>
        </w:rPr>
        <w:t xml:space="preserve">Supplementary </w:t>
      </w:r>
      <w:r w:rsidR="00776440" w:rsidRPr="006C549B">
        <w:rPr>
          <w:rFonts w:ascii="Arial" w:hAnsi="Arial" w:cs="Arial"/>
          <w:b/>
          <w:bCs/>
        </w:rPr>
        <w:t>References</w:t>
      </w:r>
      <w:r w:rsidR="00703B2E">
        <w:rPr>
          <w:rFonts w:ascii="Arial" w:hAnsi="Arial" w:cs="Arial"/>
          <w:b/>
          <w:bCs/>
        </w:rPr>
        <w:t xml:space="preserve"> </w:t>
      </w:r>
      <w:r w:rsidR="00776440" w:rsidRPr="00776440">
        <w:rPr>
          <w:rFonts w:ascii="Times New Roman" w:hAnsi="Times New Roman" w:cs="Times New Roman"/>
          <w:b/>
          <w:bCs/>
          <w:sz w:val="20"/>
          <w:szCs w:val="20"/>
        </w:rPr>
        <w:br w:type="page"/>
      </w:r>
    </w:p>
    <w:p w14:paraId="2D743422" w14:textId="1FB80678" w:rsidR="00CB2B6F" w:rsidRPr="006C549B" w:rsidRDefault="00F7778C" w:rsidP="008807A9">
      <w:pPr>
        <w:spacing w:after="0" w:line="240" w:lineRule="auto"/>
        <w:rPr>
          <w:rFonts w:ascii="Arial" w:hAnsi="Arial" w:cs="Arial"/>
          <w:b/>
          <w:bCs/>
        </w:rPr>
      </w:pPr>
      <w:r>
        <w:rPr>
          <w:rFonts w:ascii="Arial" w:hAnsi="Arial" w:cs="Arial"/>
          <w:b/>
          <w:bCs/>
        </w:rPr>
        <w:lastRenderedPageBreak/>
        <w:t>Supplementary Methods</w:t>
      </w:r>
    </w:p>
    <w:p w14:paraId="0BD4A561" w14:textId="77777777" w:rsidR="00CB2B6F" w:rsidRPr="006C549B" w:rsidRDefault="00CB2B6F" w:rsidP="008807A9">
      <w:pPr>
        <w:spacing w:after="0" w:line="240" w:lineRule="auto"/>
        <w:rPr>
          <w:rFonts w:ascii="Arial" w:hAnsi="Arial" w:cs="Arial"/>
        </w:rPr>
      </w:pPr>
    </w:p>
    <w:p w14:paraId="77D92D30" w14:textId="77777777" w:rsidR="00CB2B6F" w:rsidRPr="00D71DF3" w:rsidRDefault="00CB2B6F" w:rsidP="008807A9">
      <w:pPr>
        <w:spacing w:after="0" w:line="240" w:lineRule="auto"/>
        <w:rPr>
          <w:rFonts w:ascii="Arial" w:hAnsi="Arial" w:cs="Arial"/>
          <w:b/>
          <w:bCs/>
        </w:rPr>
      </w:pPr>
      <w:r w:rsidRPr="00D71DF3">
        <w:rPr>
          <w:rFonts w:ascii="Arial" w:hAnsi="Arial" w:cs="Arial"/>
          <w:b/>
          <w:bCs/>
        </w:rPr>
        <w:t xml:space="preserve">Outcomes </w:t>
      </w:r>
    </w:p>
    <w:p w14:paraId="61A7780E" w14:textId="77777777" w:rsidR="00CB2B6F" w:rsidRPr="006C549B" w:rsidRDefault="00CB2B6F" w:rsidP="008807A9">
      <w:pPr>
        <w:spacing w:after="0" w:line="240" w:lineRule="auto"/>
        <w:rPr>
          <w:rFonts w:ascii="Arial" w:hAnsi="Arial" w:cs="Arial"/>
          <w:b/>
          <w:bCs/>
        </w:rPr>
      </w:pPr>
    </w:p>
    <w:p w14:paraId="70B5A765" w14:textId="77777777" w:rsidR="00CB2B6F" w:rsidRPr="006C549B" w:rsidRDefault="00CB2B6F" w:rsidP="008807A9">
      <w:pPr>
        <w:spacing w:after="0" w:line="240" w:lineRule="auto"/>
        <w:rPr>
          <w:rFonts w:ascii="Arial" w:hAnsi="Arial" w:cs="Arial"/>
        </w:rPr>
      </w:pPr>
      <w:r w:rsidRPr="006C549B">
        <w:rPr>
          <w:rFonts w:ascii="Arial" w:hAnsi="Arial" w:cs="Arial"/>
        </w:rPr>
        <w:t xml:space="preserve">Three indicators of opioid prescribing practices, focusing on persons newly receiving opioid prescriptions, were examined over time.  </w:t>
      </w:r>
    </w:p>
    <w:p w14:paraId="03E3C6A1" w14:textId="77777777" w:rsidR="00CB2B6F" w:rsidRPr="006C549B" w:rsidRDefault="00CB2B6F" w:rsidP="008807A9">
      <w:pPr>
        <w:spacing w:after="0" w:line="240" w:lineRule="auto"/>
        <w:rPr>
          <w:rFonts w:ascii="Arial" w:hAnsi="Arial" w:cs="Arial"/>
        </w:rPr>
      </w:pPr>
    </w:p>
    <w:p w14:paraId="5447C88F" w14:textId="77777777" w:rsidR="00CB2B6F" w:rsidRPr="006C549B" w:rsidRDefault="00CB2B6F" w:rsidP="008807A9">
      <w:pPr>
        <w:spacing w:after="0" w:line="240" w:lineRule="auto"/>
        <w:rPr>
          <w:rFonts w:ascii="Arial" w:hAnsi="Arial" w:cs="Arial"/>
        </w:rPr>
      </w:pPr>
      <w:r w:rsidRPr="006C549B">
        <w:rPr>
          <w:rFonts w:ascii="Arial" w:hAnsi="Arial" w:cs="Arial"/>
        </w:rPr>
        <w:t xml:space="preserve">1) The monthly rate of incident opioid prescriptions. An incident prescription was defined as an opioid prescription fill for a patient who had not filled an opioid prescription in the prior six months. The numerator for the rate included the number of incident prescriptions each month; the denominator included all persons who were currently insured that month without an observed opioid prescription in the previous six months (i.e., opioid naïve persons, the population “at risk” of an incident opioid prescription). Rates were reported per 10,000 person-months (PM).  </w:t>
      </w:r>
    </w:p>
    <w:p w14:paraId="60E5E705" w14:textId="77777777" w:rsidR="00CB2B6F" w:rsidRPr="006C549B" w:rsidRDefault="00CB2B6F" w:rsidP="008807A9">
      <w:pPr>
        <w:spacing w:after="0" w:line="240" w:lineRule="auto"/>
        <w:rPr>
          <w:rFonts w:ascii="Arial" w:hAnsi="Arial" w:cs="Arial"/>
        </w:rPr>
      </w:pPr>
    </w:p>
    <w:p w14:paraId="6EDC992F" w14:textId="77777777" w:rsidR="00CB2B6F" w:rsidRPr="006C549B" w:rsidRDefault="00CB2B6F" w:rsidP="008807A9">
      <w:pPr>
        <w:spacing w:after="0" w:line="240" w:lineRule="auto"/>
        <w:rPr>
          <w:rFonts w:ascii="Arial" w:hAnsi="Arial" w:cs="Arial"/>
        </w:rPr>
      </w:pPr>
      <w:r w:rsidRPr="006C549B">
        <w:rPr>
          <w:rFonts w:ascii="Arial" w:hAnsi="Arial" w:cs="Arial"/>
        </w:rPr>
        <w:t xml:space="preserve">2) The days’ supply of the incident opioid prescription dispensed. Days’ supply was taken directly from the prescription record. </w:t>
      </w:r>
    </w:p>
    <w:p w14:paraId="1FED8F45" w14:textId="77777777" w:rsidR="00CB2B6F" w:rsidRPr="006C549B" w:rsidRDefault="00CB2B6F" w:rsidP="008807A9">
      <w:pPr>
        <w:spacing w:after="0" w:line="240" w:lineRule="auto"/>
        <w:rPr>
          <w:rFonts w:ascii="Arial" w:hAnsi="Arial" w:cs="Arial"/>
        </w:rPr>
      </w:pPr>
    </w:p>
    <w:p w14:paraId="779E12D2" w14:textId="423CF66E" w:rsidR="00CB2B6F" w:rsidRPr="006C549B" w:rsidRDefault="00CB2B6F" w:rsidP="008807A9">
      <w:pPr>
        <w:spacing w:after="0" w:line="240" w:lineRule="auto"/>
        <w:rPr>
          <w:rFonts w:ascii="Arial" w:hAnsi="Arial" w:cs="Arial"/>
        </w:rPr>
      </w:pPr>
      <w:r w:rsidRPr="006C549B">
        <w:rPr>
          <w:rFonts w:ascii="Arial" w:hAnsi="Arial" w:cs="Arial"/>
        </w:rPr>
        <w:t>3) The daily morphine milligram equivalents (MME) of the incident opioid prescription prescribed. The daily MME was calculated based on the prescription’s National Drug Code. First, the total MME of the prescription was calculated by multiplying the strength in milligrams (mg) per unit and the number of units dispensed and an MME conversion factor from CDC tables.</w:t>
      </w:r>
      <w:r w:rsidR="009A009E" w:rsidRPr="006C549B">
        <w:rPr>
          <w:rFonts w:ascii="Arial" w:hAnsi="Arial" w:cs="Arial"/>
        </w:rPr>
        <w:fldChar w:fldCharType="begin" w:fldLock="1"/>
      </w:r>
      <w:r w:rsidR="009A009E" w:rsidRPr="006C549B">
        <w:rPr>
          <w:rFonts w:ascii="Arial" w:hAnsi="Arial" w:cs="Arial"/>
        </w:rPr>
        <w:instrText>ADDIN CSL_CITATION {"citationItems":[{"id":"ITEM-1","itemData":{"URL":"https://www.cdc.gov/opioids/data-resources/index.html","accessed":{"date-parts":[["2021","7","16"]]},"author":[{"dropping-particle":"","family":"Centers for Disease Control and Prevention","given":"","non-dropping-particle":"","parse-names":false,"suffix":""}],"id":"ITEM-1","issued":{"date-parts":[["2021"]]},"title":"National Center for Injury Prevention and Control. Opioid Overdose: Data Resources. Analyzing prescription data and morphine milligram equivalents (MME)","type":"webpage"},"uris":["http://www.mendeley.com/documents/?uuid=0dceebf1-eafb-32b3-bfc3-eb3a8542544a"]}],"mendeley":{"formattedCitation":"&lt;sup&gt;1&lt;/sup&gt;","plainTextFormattedCitation":"1","previouslyFormattedCitation":"&lt;sup&gt;1&lt;/sup&gt;"},"properties":{"noteIndex":0},"schema":"https://github.com/citation-style-language/schema/raw/master/csl-citation.json"}</w:instrText>
      </w:r>
      <w:r w:rsidR="009A009E" w:rsidRPr="006C549B">
        <w:rPr>
          <w:rFonts w:ascii="Arial" w:hAnsi="Arial" w:cs="Arial"/>
        </w:rPr>
        <w:fldChar w:fldCharType="separate"/>
      </w:r>
      <w:r w:rsidR="009A009E" w:rsidRPr="006C549B">
        <w:rPr>
          <w:rFonts w:ascii="Arial" w:hAnsi="Arial" w:cs="Arial"/>
          <w:noProof/>
          <w:vertAlign w:val="superscript"/>
        </w:rPr>
        <w:t>1</w:t>
      </w:r>
      <w:r w:rsidR="009A009E" w:rsidRPr="006C549B">
        <w:rPr>
          <w:rFonts w:ascii="Arial" w:hAnsi="Arial" w:cs="Arial"/>
        </w:rPr>
        <w:fldChar w:fldCharType="end"/>
      </w:r>
      <w:r w:rsidR="008A2ED9" w:rsidRPr="006C549B">
        <w:rPr>
          <w:rFonts w:ascii="Arial" w:hAnsi="Arial" w:cs="Arial"/>
        </w:rPr>
        <w:t xml:space="preserve"> W</w:t>
      </w:r>
      <w:r w:rsidRPr="006C549B">
        <w:rPr>
          <w:rFonts w:ascii="Arial" w:hAnsi="Arial" w:cs="Arial"/>
        </w:rPr>
        <w:t xml:space="preserve">e then divided the total MME by the days’ supply of the prescription (i.e., the number of days the prescription was intended to last) as recorded in the paid insurance claim. The days’ supply and MME were calculated at the individual level in a person-day-level file prior to aggregation for analyses. </w:t>
      </w:r>
    </w:p>
    <w:p w14:paraId="409780A4" w14:textId="77777777" w:rsidR="00CB2B6F" w:rsidRPr="006C549B" w:rsidRDefault="00CB2B6F" w:rsidP="008807A9">
      <w:pPr>
        <w:spacing w:after="0" w:line="240" w:lineRule="auto"/>
        <w:rPr>
          <w:rFonts w:ascii="Arial" w:hAnsi="Arial" w:cs="Arial"/>
          <w:b/>
          <w:bCs/>
        </w:rPr>
      </w:pPr>
    </w:p>
    <w:p w14:paraId="0F2EFAC2" w14:textId="77777777" w:rsidR="00CB2B6F" w:rsidRPr="006C549B" w:rsidRDefault="00CB2B6F" w:rsidP="008807A9">
      <w:pPr>
        <w:spacing w:after="0" w:line="240" w:lineRule="auto"/>
        <w:rPr>
          <w:rFonts w:ascii="Arial" w:hAnsi="Arial" w:cs="Arial"/>
          <w:i/>
          <w:iCs/>
        </w:rPr>
      </w:pPr>
      <w:r w:rsidRPr="006C549B">
        <w:rPr>
          <w:rFonts w:ascii="Arial" w:hAnsi="Arial" w:cs="Arial"/>
          <w:i/>
          <w:iCs/>
        </w:rPr>
        <w:t>Control series</w:t>
      </w:r>
    </w:p>
    <w:p w14:paraId="18569C87" w14:textId="77777777" w:rsidR="00CB2B6F" w:rsidRPr="006C549B" w:rsidRDefault="00CB2B6F" w:rsidP="008807A9">
      <w:pPr>
        <w:spacing w:after="0" w:line="240" w:lineRule="auto"/>
        <w:rPr>
          <w:rFonts w:ascii="Arial" w:hAnsi="Arial" w:cs="Arial"/>
          <w:b/>
          <w:bCs/>
        </w:rPr>
      </w:pPr>
    </w:p>
    <w:p w14:paraId="4DBF956C" w14:textId="100625A7" w:rsidR="00CB2B6F" w:rsidRPr="006C549B" w:rsidRDefault="00CB2B6F" w:rsidP="008807A9">
      <w:pPr>
        <w:spacing w:after="0" w:line="240" w:lineRule="auto"/>
        <w:rPr>
          <w:rFonts w:ascii="Arial" w:hAnsi="Arial" w:cs="Arial"/>
        </w:rPr>
      </w:pPr>
      <w:r w:rsidRPr="006C549B">
        <w:rPr>
          <w:rFonts w:ascii="Arial" w:hAnsi="Arial" w:cs="Arial"/>
        </w:rPr>
        <w:t xml:space="preserve">The rate of incident benzodiazepine prescriptions and days’ supply of incident prescriptions were calculated in the same manner as described above.  </w:t>
      </w:r>
    </w:p>
    <w:p w14:paraId="49D43AC8" w14:textId="77777777" w:rsidR="00CB2B6F" w:rsidRPr="006C549B" w:rsidRDefault="00CB2B6F" w:rsidP="008807A9">
      <w:pPr>
        <w:spacing w:after="0" w:line="240" w:lineRule="auto"/>
        <w:rPr>
          <w:rFonts w:ascii="Arial" w:hAnsi="Arial" w:cs="Arial"/>
        </w:rPr>
      </w:pPr>
    </w:p>
    <w:p w14:paraId="02AB24E2" w14:textId="77777777" w:rsidR="00CB2B6F" w:rsidRPr="00D71DF3" w:rsidRDefault="00CB2B6F" w:rsidP="008807A9">
      <w:pPr>
        <w:spacing w:after="0" w:line="240" w:lineRule="auto"/>
        <w:rPr>
          <w:rFonts w:ascii="Arial" w:hAnsi="Arial" w:cs="Arial"/>
          <w:b/>
          <w:bCs/>
        </w:rPr>
      </w:pPr>
      <w:r w:rsidRPr="00D71DF3">
        <w:rPr>
          <w:rFonts w:ascii="Arial" w:hAnsi="Arial" w:cs="Arial"/>
          <w:b/>
          <w:bCs/>
        </w:rPr>
        <w:t>Pain indication and cancer history groupings</w:t>
      </w:r>
    </w:p>
    <w:p w14:paraId="7AB2B648" w14:textId="77777777" w:rsidR="00CB2B6F" w:rsidRPr="006C549B" w:rsidRDefault="00CB2B6F" w:rsidP="008807A9">
      <w:pPr>
        <w:spacing w:after="0" w:line="240" w:lineRule="auto"/>
        <w:rPr>
          <w:rFonts w:ascii="Arial" w:hAnsi="Arial" w:cs="Arial"/>
          <w:b/>
          <w:bCs/>
        </w:rPr>
      </w:pPr>
    </w:p>
    <w:p w14:paraId="3507F39A" w14:textId="77777777" w:rsidR="00CB2B6F" w:rsidRPr="006C549B" w:rsidRDefault="00CB2B6F" w:rsidP="008807A9">
      <w:pPr>
        <w:spacing w:after="0" w:line="240" w:lineRule="auto"/>
        <w:rPr>
          <w:rFonts w:ascii="Arial" w:hAnsi="Arial" w:cs="Arial"/>
          <w:i/>
          <w:iCs/>
        </w:rPr>
      </w:pPr>
      <w:r w:rsidRPr="006C549B">
        <w:rPr>
          <w:rFonts w:ascii="Arial" w:hAnsi="Arial" w:cs="Arial"/>
        </w:rPr>
        <w:t>Among opioid-naïve patients, trends in opioid prescribing were examined for three distinct pain indication groups based on the apparent type of indication for the initial opioid prescription: 1) postsurgical, 2) acute, and 3) chronic pain. We used a hierarchical algorithm to assign a derived clinical indication for the index opioid prescription, assuming that 1) patients with a surgical indication received an opioid prescription related to that surgery, 2) patients without an indication of surgery who had a diagnosis of acute pain received an opioid prescription related to the acute pain diagnosis, and 3) patients without evidence of surgery or acute pain who had a chronic pain diagnosis received the prescription for the chronic pain condition.</w:t>
      </w:r>
    </w:p>
    <w:p w14:paraId="0D1926B4" w14:textId="77777777" w:rsidR="00CB2B6F" w:rsidRPr="006C549B" w:rsidRDefault="00CB2B6F" w:rsidP="008807A9">
      <w:pPr>
        <w:spacing w:after="0" w:line="240" w:lineRule="auto"/>
        <w:rPr>
          <w:rFonts w:ascii="Arial" w:hAnsi="Arial" w:cs="Arial"/>
          <w:b/>
          <w:bCs/>
          <w:i/>
          <w:iCs/>
        </w:rPr>
      </w:pPr>
    </w:p>
    <w:p w14:paraId="18EE6D02" w14:textId="4D1404B7" w:rsidR="00CB2B6F" w:rsidRPr="006C549B" w:rsidRDefault="00CB2B6F" w:rsidP="008807A9">
      <w:pPr>
        <w:spacing w:after="0" w:line="240" w:lineRule="auto"/>
        <w:rPr>
          <w:rFonts w:ascii="Arial" w:hAnsi="Arial" w:cs="Arial"/>
        </w:rPr>
      </w:pPr>
      <w:r w:rsidRPr="006C549B">
        <w:rPr>
          <w:rFonts w:ascii="Arial" w:hAnsi="Arial" w:cs="Arial"/>
        </w:rPr>
        <w:t>Postsurgical pain was defined as patients undergoing invasive surgery as classified by the Healthcare Cost and Utilization Project (HCUP) using Current Procedural Terminology (CPT) codes.</w:t>
      </w:r>
      <w:r w:rsidR="009A009E" w:rsidRPr="006C549B">
        <w:rPr>
          <w:rFonts w:ascii="Arial" w:hAnsi="Arial" w:cs="Arial"/>
        </w:rPr>
        <w:fldChar w:fldCharType="begin" w:fldLock="1"/>
      </w:r>
      <w:r w:rsidR="00A2328C">
        <w:rPr>
          <w:rFonts w:ascii="Arial" w:hAnsi="Arial" w:cs="Arial"/>
        </w:rPr>
        <w:instrText>ADDIN CSL_CITATION {"citationItems":[{"id":"ITEM-1","itemData":{"URL":"https://www.hcup-us.ahrq.gov/tools_software.jsp","accessed":{"date-parts":[["2021","7","23"]]},"author":[{"dropping-particle":"","family":"Agency for Healthcare Research and Quality","given":"","non-dropping-particle":"","parse-names":false,"suffix":""}],"id":"ITEM-1","issued":{"date-parts":[["2019"]]},"title":"Healthcare Cost and Utilization Project (HCUP). HCUP Tools and Software","type":"webpage"},"uris":["http://www.mendeley.com/documents/?uuid=d47c5a6d-691b-3740-9046-8cef8a5200c1"]}],"mendeley":{"formattedCitation":"&lt;sup&gt;2&lt;/sup&gt;","plainTextFormattedCitation":"2","previouslyFormattedCitation":"&lt;sup&gt;2&lt;/sup&gt;"},"properties":{"noteIndex":0},"schema":"https://github.com/citation-style-language/schema/raw/master/csl-citation.json"}</w:instrText>
      </w:r>
      <w:r w:rsidR="009A009E" w:rsidRPr="006C549B">
        <w:rPr>
          <w:rFonts w:ascii="Arial" w:hAnsi="Arial" w:cs="Arial"/>
        </w:rPr>
        <w:fldChar w:fldCharType="separate"/>
      </w:r>
      <w:r w:rsidR="0061339E" w:rsidRPr="0061339E">
        <w:rPr>
          <w:rFonts w:ascii="Arial" w:hAnsi="Arial" w:cs="Arial"/>
          <w:noProof/>
          <w:vertAlign w:val="superscript"/>
        </w:rPr>
        <w:t>2</w:t>
      </w:r>
      <w:r w:rsidR="009A009E" w:rsidRPr="006C549B">
        <w:rPr>
          <w:rFonts w:ascii="Arial" w:hAnsi="Arial" w:cs="Arial"/>
        </w:rPr>
        <w:fldChar w:fldCharType="end"/>
      </w:r>
      <w:r w:rsidRPr="006C549B">
        <w:rPr>
          <w:rFonts w:ascii="Arial" w:hAnsi="Arial" w:cs="Arial"/>
        </w:rPr>
        <w:t xml:space="preserve"> A new opioid prescription was determined to be associated with an invasive surgery if it was billed to insurance ≤14 days before the date of outpatient surgery or first day of an inpatient stay for an inpatient surgery event (presurgical), or if the first opioid prescription was billed to insurance ≤14 days after the date of outpatient surgery or final day of an inpatient stay for an inpatient surgery event (postsurgical). Presurgical prescriptions ≤14 days before an invasive surgery were assumed to be intended for management of postsurgical pain.</w:t>
      </w:r>
    </w:p>
    <w:p w14:paraId="0DD8A040" w14:textId="77777777" w:rsidR="00CB2B6F" w:rsidRPr="006C549B" w:rsidRDefault="00CB2B6F" w:rsidP="008807A9">
      <w:pPr>
        <w:spacing w:after="0" w:line="240" w:lineRule="auto"/>
        <w:rPr>
          <w:rFonts w:ascii="Arial" w:hAnsi="Arial" w:cs="Arial"/>
          <w:b/>
          <w:bCs/>
          <w:i/>
          <w:iCs/>
        </w:rPr>
      </w:pPr>
    </w:p>
    <w:p w14:paraId="4A886568" w14:textId="00C42EEE" w:rsidR="00CB2B6F" w:rsidRPr="006C549B" w:rsidRDefault="00CB2B6F" w:rsidP="008807A9">
      <w:pPr>
        <w:spacing w:after="0" w:line="240" w:lineRule="auto"/>
        <w:rPr>
          <w:rFonts w:ascii="Arial" w:hAnsi="Arial" w:cs="Arial"/>
        </w:rPr>
      </w:pPr>
      <w:r w:rsidRPr="006C549B">
        <w:rPr>
          <w:rFonts w:ascii="Arial" w:hAnsi="Arial" w:cs="Arial"/>
        </w:rPr>
        <w:t>Both acute and chronic pain were defined using International Classification of Diseases, 9th Revision (ICD-9-CM) and 10th Revision (ICD-10-CM), Clinical Modification (</w:t>
      </w:r>
      <w:r w:rsidR="00F7778C">
        <w:rPr>
          <w:rFonts w:ascii="Arial" w:hAnsi="Arial" w:cs="Arial"/>
          <w:b/>
          <w:bCs/>
        </w:rPr>
        <w:t xml:space="preserve">Supplementary </w:t>
      </w:r>
      <w:r w:rsidRPr="006C549B">
        <w:rPr>
          <w:rFonts w:ascii="Arial" w:hAnsi="Arial" w:cs="Arial"/>
          <w:b/>
          <w:bCs/>
        </w:rPr>
        <w:t>Tables 2 &amp; 3</w:t>
      </w:r>
      <w:r w:rsidRPr="006C549B">
        <w:rPr>
          <w:rFonts w:ascii="Arial" w:hAnsi="Arial" w:cs="Arial"/>
        </w:rPr>
        <w:t>).</w:t>
      </w:r>
      <w:r w:rsidR="009A009E" w:rsidRPr="006C549B">
        <w:rPr>
          <w:rFonts w:ascii="Arial" w:hAnsi="Arial" w:cs="Arial"/>
        </w:rPr>
        <w:fldChar w:fldCharType="begin" w:fldLock="1"/>
      </w:r>
      <w:r w:rsidR="00A2328C">
        <w:rPr>
          <w:rFonts w:ascii="Arial" w:hAnsi="Arial" w:cs="Arial"/>
        </w:rPr>
        <w:instrText>ADDIN CSL_CITATION {"citationItems":[{"id":"ITEM-1","itemData":{"DOI":"10.1001/jamasurg.2017.0504","ISSN":"2168-6254","PMID":"28403427","abstract":"IMPORTANCE Despite increased focus on reducing opioid prescribing for long-Term pain, little is known regarding the incidence and risk factors for persistent opioid use after surgery. OBJECTIVE To determine the incidence of new persistent opioid use after minor and major surgical procedures. DESIGN, SETTING, AND PARTICIPANTS Using a nationwide insurance claims data set from 2013 to 2014, we identified US adults aged 18 to 64 years without opioid use in the year prior to surgery (ie, no opioid prescription fulfillments from 12 months to 1 month prior to the procedure). For patients filling a perioperative opioid prescription, we calculated the incidence of persistent opioid use for more than 90 days among opioid-naive patients after both minor surgical procedures (ie, varicose vein removal, laparoscopic cholecystectomy, laparoscopic appendectomy, hemorrhoidectomy, thyroidectomy, transurethral prostate surgery, parathyroidectomy, and carpal tunnel) and major surgical procedures (ie, ventral incisional hernia repair, colectomy, reflux surgery, bariatric surgery, and hysterectomy).We then assessed data for patient-level predictors of persistent opioid use. MAIN OUTCOMES AND MEASURES The primary outcomewas defined a priori prior to data extraction. The primary outcome was new persistent opioid use, which was defined as an opioid prescription fulfillment between 90 and 180 days after the surgical procedure. RESULTS A total of 36 177 patients met the inclusion criteria, with 29 068 (80.3%) receiving minor surgical procedures and 7109 (19.7%) receiving major procedures. The cohort had a mean (SD) age of 44.6 (11.9) years and was predominately female (23 913 [66.1%]) and white (26 091 [72.1%]). The rates of new persistent opioid use were similar between the 2 groups, ranging from 5.9% to 6.5%. By comparison, the incidence in the nonoperative control cohort was only 0.4%. Risk factors independently associated with new persistent opioid use included preoperative tobacco use (adjusted odds ratio [aOR], 1.35; 95%CI, 1.21-1.49), alcohol and substance abuse disorders (aOR, 1.34; 95%CI, 1.05-1.72), mood disorders (aOR, 1.15; 95% CI, 1.01-1.30), anxiety (aOR, 1.25; 95%CI, 1.10-1.42), and preoperative pain disorders (back pain: AOR, 1.57; 95%CI, 1.42-1.75; neck pain: AOR, 1.22; 95%CI, 1.07-1.39; arthritis: AOR, 1.56; 95%CI, 1.40-1.73; and centralized pain: AOR, 1.39; 95%CI, 1.26-1.54). CONCLUSIONS AND RELEVANCE New persistent opioid use after surgery is common and is not…","author":[{"dropping-particle":"","family":"Brummett","given":"Chad M.","non-dropping-particle":"","parse-names":false,"suffix":""},{"dropping-particle":"","family":"Waljee","given":"Jennifer F.","non-dropping-particle":"","parse-names":false,"suffix":""},{"dropping-particle":"","family":"Goesling","given":"Jenna","non-dropping-particle":"","parse-names":false,"suffix":""},{"dropping-particle":"","family":"Moser","given":"Stephanie","non-dropping-particle":"","parse-names":false,"suffix":""},{"dropping-particle":"","family":"Lin","given":"Paul","non-dropping-particle":"","parse-names":false,"suffix":""},{"dropping-particle":"","family":"Englesbe","given":"Michael J.","non-dropping-particle":"","parse-names":false,"suffix":""},{"dropping-particle":"","family":"Bohnert","given":"Amy S. B.","non-dropping-particle":"","parse-names":false,"suffix":""},{"dropping-particle":"","family":"Kheterpal","given":"Sachin","non-dropping-particle":"","parse-names":false,"suffix":""},{"dropping-particle":"","family":"Nallamothu","given":"Brahmajee K.","non-dropping-particle":"","parse-names":false,"suffix":""}],"container-title":"JAMA Surgery","id":"ITEM-1","issue":"6","issued":{"date-parts":[["2017","6","21"]]},"page":"e170504","publisher":"JAMA Surg","title":"New Persistent Opioid Use After Minor and Major Surgical Procedures in US Adults","type":"article-journal","volume":"152"},"uris":["http://www.mendeley.com/documents/?uuid=560806c8-d699-389e-9c30-22d3686fada6"]},{"id":"ITEM-2","itemData":{"DOI":"10.1007/s11606-018-4335-8","ISSN":"0884-8734","PMID":"29404943","abstract":"Background: Opioids are commonly prescribed in the hospital; yet, little is known about which patients will progress to chronic opioid therapy (COT) following discharge. We defined COT as receipt of ≥ 90-day supply of opioids with &lt; 30-day gap in supply over a 180-day period or receipt of ≥ 10 opioid prescriptions over 1 year. Predictive tools to identify hospitalized patients at risk for future chronic opioid use could have clinical utility to improve pain management strategies and patient education during hospitalization and discharge. Objective: The objective of this study was to identify a parsimonious statistical model for predicting future COT among hospitalized patients not on COT before hospitalization. Design: Retrospective analysis electronic health record (EHR) data from 2008 to 2014 using logistic regression. Patients: Hospitalized patients at an urban, safety net hospital. Main Measurements: Independent variables included medical and mental health diagnoses, substance and tobacco use disorder, chronic or acute pain, surgical intervention during hospitalization, past year receipt of opioid or non-opioid analgesics or benzodiazepines, opioid receipt at hospital discharge, milligrams of morphine equivalents prescribed per hospital day, and others. Key Results: Model prediction performance was estimated using area under the receiver operator curve, accuracy, sensitivity, and specificity. A model with 13 covariates was chosen using stepwise logistic regression on a randomly down-sampled subset of the data. Sensitivity and specificity were optimized using the Youden’s index. This model predicted correctly COT in 79% of the patients and no COT correctly in 78% of the patients. Conclusions: Our model accessed EHR data to predict 79% of the future COT among hospitalized patients. Application of such a predictive model within the EHR could identify patients at high risk for future chronic opioid use to allow clinicians to provide early patient education about pain management strategies and, when able, to wean opioids prior to discharge while incorporating alternative therapies for pain into discharge planning.","author":[{"dropping-particle":"","family":"Calcaterra","given":"S. L.","non-dropping-particle":"","parse-names":false,"suffix":""},{"dropping-particle":"","family":"Scarbro","given":"S.","non-dropping-particle":"","parse-names":false,"suffix":""},{"dropping-particle":"","family":"Hull","given":"M. L.","non-dropping-particle":"","parse-names":false,"suffix":""},{"dropping-particle":"","family":"Forber","given":"A. D.","non-dropping-particle":"","parse-names":false,"suffix":""},{"dropping-particle":"","family":"Binswanger","given":"I. A.","non-dropping-particle":"","parse-names":false,"suffix":""},{"dropping-particle":"","family":"Colborn","given":"K. L.","non-dropping-particle":"","parse-names":false,"suffix":""}],"container-title":"Journal of General Internal Medicine","id":"ITEM-2","issue":"6","issued":{"date-parts":[["2018","6","5"]]},"page":"898-905","publisher":"J Gen Intern Med","title":"Prediction of Future Chronic Opioid Use Among Hospitalized Patients","type":"article-journal","volume":"33"},"uris":["http://www.mendeley.com/documents/?uuid=60fcf6cb-4aef-37de-ad79-7446f54e7dd2"]},{"id":"ITEM-3","itemData":{"DOI":"10.1002/pds.4322","ISSN":"10538569","PMID":"28971545","abstract":"Purpose: The primary objective of this study was to characterize variation in patterns of opioid prescribing within primary care settings at first visits for pain, and to describe variation by condition, geography, and patient characteristics. Methods: 2014 healthcare utilization data from Optum's Clinformatics™ DataMart were used to evaluate individuals 18 years or older with an initial presentation to primary care for 1 of 10 common pain conditions. The main outcomes assessed were (1) the proportion of first visits for pain associated with an opioid prescription fill and (2) the proportion of opioid prescriptions with &gt;7 days' supply. Results: We identified 205 560 individuals who met inclusion criteria; 9.1% of all visits were associated with an opioid fill, ranging from 4.1% (headache) to 28.2% (dental pain). Approximately half (46%) of all opioid prescriptions supplied more than 7 days, and 10% of prescriptions supplied ≥30 days. We observed a 4-fold variation in rates of opioid initiation by state, with highest rates of prescribing in Alabama (16.6%) and lowest rates in New York (3.7%). Conclusions: In 2014, nearly half of all patients filling opioid prescriptions received more than 7 days' of opioids in an initial prescription. Policies limiting initial supplies have the potential to substantially impact opioid prescribing in the primary care setting.","author":[{"dropping-particle":"","family":"Mundkur","given":"Mallika L.","non-dropping-particle":"","parse-names":false,"suffix":""},{"dropping-particle":"","family":"Rough","given":"Kathryn","non-dropping-particle":"","parse-names":false,"suffix":""},{"dropping-particle":"","family":"Huybrechts","given":"Krista F.","non-dropping-particle":"","parse-names":false,"suffix":""},{"dropping-particle":"","family":"Levin","given":"Raisa","non-dropping-particle":"","parse-names":false,"suffix":""},{"dropping-particle":"","family":"Gagne","given":"Joshua J.","non-dropping-particle":"","parse-names":false,"suffix":""},{"dropping-particle":"","family":"Desai","given":"Rishi J.","non-dropping-particle":"","parse-names":false,"suffix":""},{"dropping-particle":"","family":"Patorno","given":"Elisabetta","non-dropping-particle":"","parse-names":false,"suffix":""},{"dropping-particle":"","family":"Choudhry","given":"Niteesh K.","non-dropping-particle":"","parse-names":false,"suffix":""},{"dropping-particle":"","family":"Bateman","given":"Brian T.","non-dropping-particle":"","parse-names":false,"suffix":""}],"container-title":"Pharmacoepidemiology and Drug Safety","id":"ITEM-3","issue":"5","issued":{"date-parts":[["2018","5","1"]]},"page":"495-503","publisher":"Pharmacoepidemiol Drug Saf","title":"Patterns of opioid initiation at first visits for pain in United States primary care settings","type":"article-journal","volume":"27"},"uris":["http://www.mendeley.com/documents/?uuid=3ccaf18d-ff39-3d5c-8881-153443c745b3"]},{"id":"ITEM-4","itemData":{"author":[{"dropping-particle":"","family":"Centers for Disease Control and Prevention","given":"","non-dropping-particle":"","parse-names":false,"suffix":""}],"id":"ITEM-4","issued":{"date-parts":[["2013"]]},"title":"Prescription Drug Overdose Data &amp; Statistics: Guide to ICD-9-CM and ICD-10 Codes Related to Poisoning and Pain","type":"report"},"uris":["http://www.mendeley.com/documents/?uuid=082218de-d35b-3d1f-96b2-63278e9e2464"]}],"mendeley":{"formattedCitation":"&lt;sup&gt;3–6&lt;/sup&gt;","plainTextFormattedCitation":"3–6","previouslyFormattedCitation":"&lt;sup&gt;3–6&lt;/sup&gt;"},"properties":{"noteIndex":0},"schema":"https://github.com/citation-style-language/schema/raw/master/csl-citation.json"}</w:instrText>
      </w:r>
      <w:r w:rsidR="009A009E" w:rsidRPr="006C549B">
        <w:rPr>
          <w:rFonts w:ascii="Arial" w:hAnsi="Arial" w:cs="Arial"/>
        </w:rPr>
        <w:fldChar w:fldCharType="separate"/>
      </w:r>
      <w:r w:rsidR="0061339E" w:rsidRPr="0061339E">
        <w:rPr>
          <w:rFonts w:ascii="Arial" w:hAnsi="Arial" w:cs="Arial"/>
          <w:noProof/>
          <w:vertAlign w:val="superscript"/>
        </w:rPr>
        <w:t>3–6</w:t>
      </w:r>
      <w:r w:rsidR="009A009E" w:rsidRPr="006C549B">
        <w:rPr>
          <w:rFonts w:ascii="Arial" w:hAnsi="Arial" w:cs="Arial"/>
        </w:rPr>
        <w:fldChar w:fldCharType="end"/>
      </w:r>
      <w:r w:rsidRPr="006C549B">
        <w:rPr>
          <w:rFonts w:ascii="Arial" w:hAnsi="Arial" w:cs="Arial"/>
        </w:rPr>
        <w:t xml:space="preserve"> A new opioid prescription was determined to be associated with an acute pain diagnosis if it was billed to insurance ≤14 days after the acute pain diagnosis; a new opioid prescription was determined to be associated with a chronic pain diagnosis if it was billed to insurance ≤14 days after the chronic pain diagnosis.</w:t>
      </w:r>
    </w:p>
    <w:p w14:paraId="6DA71C6C" w14:textId="77777777" w:rsidR="00CB2B6F" w:rsidRPr="006C549B" w:rsidRDefault="00CB2B6F" w:rsidP="008807A9">
      <w:pPr>
        <w:spacing w:after="0" w:line="240" w:lineRule="auto"/>
        <w:rPr>
          <w:rFonts w:ascii="Arial" w:hAnsi="Arial" w:cs="Arial"/>
          <w:b/>
          <w:bCs/>
        </w:rPr>
      </w:pPr>
    </w:p>
    <w:p w14:paraId="3EFA4CAD" w14:textId="77777777" w:rsidR="00CB2B6F" w:rsidRPr="006C549B" w:rsidRDefault="00CB2B6F" w:rsidP="008807A9">
      <w:pPr>
        <w:spacing w:after="0" w:line="240" w:lineRule="auto"/>
        <w:rPr>
          <w:rFonts w:ascii="Arial" w:hAnsi="Arial" w:cs="Arial"/>
        </w:rPr>
      </w:pPr>
      <w:r w:rsidRPr="006C549B">
        <w:rPr>
          <w:rFonts w:ascii="Arial" w:hAnsi="Arial" w:cs="Arial"/>
        </w:rPr>
        <w:t xml:space="preserve">Approximately 45% (mean: 5,158; range: 3,465–6,663) of new opioid prescriptions overall per month did not meet any of the above three criteria and were therefore excluded from analyses. </w:t>
      </w:r>
    </w:p>
    <w:p w14:paraId="235C62FD" w14:textId="77777777" w:rsidR="00CB2B6F" w:rsidRPr="006C549B" w:rsidRDefault="00CB2B6F" w:rsidP="008807A9">
      <w:pPr>
        <w:spacing w:after="0" w:line="240" w:lineRule="auto"/>
        <w:rPr>
          <w:rFonts w:ascii="Arial" w:hAnsi="Arial" w:cs="Arial"/>
          <w:b/>
          <w:bCs/>
        </w:rPr>
      </w:pPr>
    </w:p>
    <w:p w14:paraId="2A4E4B18" w14:textId="77777777" w:rsidR="00CB2B6F" w:rsidRPr="006C549B" w:rsidRDefault="00CB2B6F" w:rsidP="008807A9">
      <w:pPr>
        <w:spacing w:after="0" w:line="240" w:lineRule="auto"/>
        <w:rPr>
          <w:rFonts w:ascii="Arial" w:hAnsi="Arial" w:cs="Arial"/>
        </w:rPr>
      </w:pPr>
      <w:r w:rsidRPr="006C549B">
        <w:rPr>
          <w:rFonts w:ascii="Arial" w:hAnsi="Arial" w:cs="Arial"/>
        </w:rPr>
        <w:t xml:space="preserve">Trends for each of these pain indication groups were also examined separately for persons </w:t>
      </w:r>
      <w:r w:rsidRPr="006C549B">
        <w:rPr>
          <w:rFonts w:ascii="Arial" w:hAnsi="Arial" w:cs="Arial"/>
          <w:i/>
          <w:iCs/>
        </w:rPr>
        <w:t>with a history of cancer</w:t>
      </w:r>
      <w:r w:rsidRPr="006C549B">
        <w:rPr>
          <w:rFonts w:ascii="Arial" w:hAnsi="Arial" w:cs="Arial"/>
        </w:rPr>
        <w:t xml:space="preserve"> and those </w:t>
      </w:r>
      <w:r w:rsidRPr="006C549B">
        <w:rPr>
          <w:rFonts w:ascii="Arial" w:hAnsi="Arial" w:cs="Arial"/>
          <w:i/>
          <w:iCs/>
        </w:rPr>
        <w:t>without a history of cancer</w:t>
      </w:r>
      <w:r w:rsidRPr="006C549B">
        <w:rPr>
          <w:rFonts w:ascii="Arial" w:hAnsi="Arial" w:cs="Arial"/>
        </w:rPr>
        <w:t>. A history of a malignant cancer was defined as a diagnosis of cancer using International Classification of Diseases, 9th Revision (ICD-9-CM) and 10th Revision (ICD-10-CM), Clinical Modification, excluding 1) benign neoplasm, 2) non-melanoma skin cancer, 3) neoplasm of uncertain or unspecified behavior, and 4) carcinoma in situ. This definition uses an all-available lookback, meaning that each person’s entire insurance history was reviewed for presence of cancer codes</w:t>
      </w:r>
      <w:r w:rsidRPr="006C549B">
        <w:rPr>
          <w:rFonts w:ascii="Arial" w:hAnsi="Arial" w:cs="Arial"/>
          <w:i/>
          <w:iCs/>
        </w:rPr>
        <w:t>.</w:t>
      </w:r>
      <w:r w:rsidRPr="006C549B">
        <w:rPr>
          <w:rFonts w:ascii="Arial" w:hAnsi="Arial" w:cs="Arial"/>
        </w:rPr>
        <w:t xml:space="preserve"> Cancer history was treated as a time-varying stratification variable. Incident prescriptions were assigned to the cancer history stratum if the patient had a cancer indication before the date of prescription and were assigned to the no cancer history stratum if the patient never had a cancer indication or only had their first cancer indication after the prescription date. The denominator (person-time at risk) was separated in any given month into those who had never had a cancer indication as of that month and those who have had a cancer indication as of that month. The month in which a cancer indication occurred was evenly divided between the two strata.  </w:t>
      </w:r>
    </w:p>
    <w:p w14:paraId="18A3A0A0" w14:textId="77777777" w:rsidR="00CB2B6F" w:rsidRPr="006C549B" w:rsidRDefault="00CB2B6F" w:rsidP="008807A9">
      <w:pPr>
        <w:spacing w:after="0" w:line="240" w:lineRule="auto"/>
        <w:rPr>
          <w:rFonts w:ascii="Arial" w:hAnsi="Arial" w:cs="Arial"/>
          <w:b/>
          <w:bCs/>
        </w:rPr>
      </w:pPr>
    </w:p>
    <w:p w14:paraId="5855E9D9" w14:textId="6904CFC8" w:rsidR="00CB2B6F" w:rsidRDefault="00CB2B6F" w:rsidP="008807A9">
      <w:pPr>
        <w:spacing w:after="0" w:line="240" w:lineRule="auto"/>
        <w:rPr>
          <w:rFonts w:ascii="Arial" w:hAnsi="Arial" w:cs="Arial"/>
          <w:b/>
          <w:bCs/>
        </w:rPr>
      </w:pPr>
      <w:r w:rsidRPr="00D71DF3">
        <w:rPr>
          <w:rFonts w:ascii="Arial" w:hAnsi="Arial" w:cs="Arial"/>
          <w:b/>
          <w:bCs/>
        </w:rPr>
        <w:t>Statistical analyses</w:t>
      </w:r>
    </w:p>
    <w:p w14:paraId="78A41BD2" w14:textId="4ACC4445" w:rsidR="0012135D" w:rsidRDefault="0012135D" w:rsidP="008807A9">
      <w:pPr>
        <w:spacing w:after="0" w:line="240" w:lineRule="auto"/>
        <w:rPr>
          <w:rFonts w:ascii="Arial" w:hAnsi="Arial" w:cs="Arial"/>
          <w:b/>
          <w:bCs/>
        </w:rPr>
      </w:pPr>
    </w:p>
    <w:p w14:paraId="1963E402" w14:textId="69832CD4" w:rsidR="0012135D" w:rsidRPr="0012135D" w:rsidRDefault="0012135D" w:rsidP="008807A9">
      <w:pPr>
        <w:spacing w:after="0" w:line="240" w:lineRule="auto"/>
        <w:rPr>
          <w:rFonts w:ascii="Arial" w:hAnsi="Arial" w:cs="Arial"/>
          <w:i/>
          <w:iCs/>
        </w:rPr>
      </w:pPr>
      <w:r w:rsidRPr="0012135D">
        <w:rPr>
          <w:rFonts w:ascii="Arial" w:hAnsi="Arial" w:cs="Arial"/>
          <w:i/>
          <w:iCs/>
        </w:rPr>
        <w:t>Controlled</w:t>
      </w:r>
      <w:r w:rsidR="00440460">
        <w:rPr>
          <w:rFonts w:ascii="Arial" w:hAnsi="Arial" w:cs="Arial"/>
          <w:i/>
          <w:iCs/>
        </w:rPr>
        <w:t xml:space="preserve"> </w:t>
      </w:r>
      <w:r w:rsidR="00440460" w:rsidRPr="002A094F">
        <w:rPr>
          <w:rFonts w:ascii="Arial" w:eastAsia="Times New Roman" w:hAnsi="Arial" w:cs="Arial"/>
          <w:i/>
          <w:iCs/>
        </w:rPr>
        <w:t>interrupted time series analysis</w:t>
      </w:r>
    </w:p>
    <w:p w14:paraId="72F90DDC" w14:textId="77777777" w:rsidR="00CB2B6F" w:rsidRPr="006C549B" w:rsidRDefault="00CB2B6F" w:rsidP="008807A9">
      <w:pPr>
        <w:spacing w:after="0" w:line="240" w:lineRule="auto"/>
        <w:rPr>
          <w:rFonts w:ascii="Arial" w:hAnsi="Arial" w:cs="Arial"/>
        </w:rPr>
      </w:pPr>
    </w:p>
    <w:p w14:paraId="57959D91" w14:textId="7A34F6C9" w:rsidR="00CB2B6F" w:rsidRPr="006C549B" w:rsidRDefault="00B96BA5" w:rsidP="008807A9">
      <w:pPr>
        <w:spacing w:after="0" w:line="240" w:lineRule="auto"/>
        <w:rPr>
          <w:rFonts w:ascii="Arial" w:hAnsi="Arial" w:cs="Arial"/>
        </w:rPr>
      </w:pPr>
      <w:r w:rsidRPr="00B96BA5">
        <w:rPr>
          <w:rFonts w:ascii="Arial" w:hAnsi="Arial" w:cs="Arial"/>
        </w:rPr>
        <w:t>To build our time series ARIMA models, we examined the need for differencing, autoregressive (AR) and moving average (MA) parameters, and the lag order of each parameter for seasonality.</w:t>
      </w:r>
      <w:r w:rsidR="00A217A4">
        <w:rPr>
          <w:rFonts w:ascii="Arial" w:hAnsi="Arial" w:cs="Arial"/>
        </w:rPr>
        <w:fldChar w:fldCharType="begin" w:fldLock="1"/>
      </w:r>
      <w:r w:rsidR="00A2328C">
        <w:rPr>
          <w:rFonts w:ascii="Arial" w:hAnsi="Arial" w:cs="Arial"/>
        </w:rPr>
        <w:instrText>ADDIN CSL_CITATION {"citationItems":[{"id":"ITEM-1","itemData":{"DOI":"10.1186/S12874-021-01235-8/FIGURES/5","ISSN":"14712288","PMID":"33752604","abstract":"Background: Interrupted time series analysis is increasingly used to evaluate the impact of large-scale health interventions. While segmented regression is a common approach, it is not always adequate, especially in the presence of seasonality and autocorrelation. An Autoregressive Integrated Moving Average (ARIMA) model is an alternative method that can accommodate these issues. Methods: We describe the underlying theory behind ARIMA models and how they can be used to evaluate population-level interventions, such as the introduction of health policies. We discuss how to select the shape of the impact, the model selection process, transfer functions, checking model fit, and interpretation of findings. We also provide R and SAS code to replicate our results. Results: We illustrate ARIMA modelling using the example of a policy intervention to reduce inappropriate prescribing. In January 2014, the Australian government eliminated prescription refills for the 25 mg tablet strength of quetiapine, an antipsychotic, to deter its prescribing for non-approved indications. We examine the impact of this policy intervention on dispensing of quetiapine using dispensing claims data. Conclusions: ARIMA modelling is a useful tool to evaluate the impact of large-scale interventions when other approaches are not suitable, as it can account for underlying trends, autocorrelation and seasonality and allows for flexible modelling of different types of impacts.","author":[{"dropping-particle":"","family":"Schaffer","given":"Andrea L.","non-dropping-particle":"","parse-names":false,"suffix":""},{"dropping-particle":"","family":"Dobbins","given":"Timothy A.","non-dropping-particle":"","parse-names":false,"suffix":""},{"dropping-particle":"","family":"Pearson","given":"Sallie Anne","non-dropping-particle":"","parse-names":false,"suffix":""}],"container-title":"BMC Medical Research Methodology","id":"ITEM-1","issue":"1","issued":{"date-parts":[["2021","12","1"]]},"page":"1-12","publisher":"BioMed Central Ltd","title":"Interrupted time series analysis using autoregressive integrated moving average (ARIMA) models: a guide for evaluating large-scale health interventions","type":"article-journal","volume":"21"},"uris":["http://www.mendeley.com/documents/?uuid=256a70a2-d364-312a-b960-c279d6598e64"]},{"id":"ITEM-2","itemData":{"author":[{"dropping-particle":"","family":"SAS Institute Inc.","given":"","non-dropping-particle":"","parse-names":false,"suffix":""}],"id":"ITEM-2","issued":{"date-parts":[["2014"]]},"publisher":"SAS Institute Inc., Cary, NC, USA","title":"SAS/ETS ® 13.2 User's Guide: The ARIMA Procedure","type":"book"},"uris":["http://www.mendeley.com/documents/?uuid=28f482f9-9860-341f-b048-17dde82e3345"]}],"mendeley":{"formattedCitation":"&lt;sup&gt;7,8&lt;/sup&gt;","plainTextFormattedCitation":"7,8","previouslyFormattedCitation":"&lt;sup&gt;7,8&lt;/sup&gt;"},"properties":{"noteIndex":0},"schema":"https://github.com/citation-style-language/schema/raw/master/csl-citation.json"}</w:instrText>
      </w:r>
      <w:r w:rsidR="00A217A4">
        <w:rPr>
          <w:rFonts w:ascii="Arial" w:hAnsi="Arial" w:cs="Arial"/>
        </w:rPr>
        <w:fldChar w:fldCharType="separate"/>
      </w:r>
      <w:r w:rsidR="0061339E" w:rsidRPr="0061339E">
        <w:rPr>
          <w:rFonts w:ascii="Arial" w:hAnsi="Arial" w:cs="Arial"/>
          <w:noProof/>
          <w:vertAlign w:val="superscript"/>
        </w:rPr>
        <w:t>7,8</w:t>
      </w:r>
      <w:r w:rsidR="00A217A4">
        <w:rPr>
          <w:rFonts w:ascii="Arial" w:hAnsi="Arial" w:cs="Arial"/>
        </w:rPr>
        <w:fldChar w:fldCharType="end"/>
      </w:r>
      <w:r w:rsidRPr="00B96BA5">
        <w:rPr>
          <w:rFonts w:ascii="Arial" w:hAnsi="Arial" w:cs="Arial"/>
        </w:rPr>
        <w:t xml:space="preserve"> We performed white noise diagnostics by examining time series plots of the data and autocorrelation function plots and statistics of the residuals for each model. When </w:t>
      </w:r>
      <w:r w:rsidR="00B03CCB">
        <w:rPr>
          <w:rFonts w:ascii="Arial" w:hAnsi="Arial" w:cs="Arial"/>
        </w:rPr>
        <w:t>needed, we compared</w:t>
      </w:r>
      <w:r w:rsidRPr="00B96BA5">
        <w:rPr>
          <w:rFonts w:ascii="Arial" w:hAnsi="Arial" w:cs="Arial"/>
        </w:rPr>
        <w:t xml:space="preserve"> candidate models</w:t>
      </w:r>
      <w:r w:rsidR="00B03CCB">
        <w:rPr>
          <w:rFonts w:ascii="Arial" w:hAnsi="Arial" w:cs="Arial"/>
        </w:rPr>
        <w:t xml:space="preserve"> (with the same timeframe) using</w:t>
      </w:r>
      <w:r w:rsidRPr="00B96BA5">
        <w:rPr>
          <w:rFonts w:ascii="Arial" w:hAnsi="Arial" w:cs="Arial"/>
        </w:rPr>
        <w:t xml:space="preserve"> AIC to assess model fit. Our final models for the outcome new opioid prescription rates included a first-order MA component (q = 1) with a seasonal lag of eight months</w:t>
      </w:r>
      <w:r w:rsidR="00B402B1">
        <w:rPr>
          <w:rFonts w:ascii="Arial" w:hAnsi="Arial" w:cs="Arial"/>
        </w:rPr>
        <w:t xml:space="preserve">. </w:t>
      </w:r>
      <w:r w:rsidRPr="00B96BA5">
        <w:rPr>
          <w:rFonts w:ascii="Arial" w:hAnsi="Arial" w:cs="Arial"/>
        </w:rPr>
        <w:t xml:space="preserve">Our final models examining the outcome of mean days’ supply included a second-order AR component (p = 2). </w:t>
      </w:r>
    </w:p>
    <w:p w14:paraId="21CAAC34" w14:textId="77777777" w:rsidR="00CB2B6F" w:rsidRPr="006C549B" w:rsidRDefault="00CB2B6F" w:rsidP="008807A9">
      <w:pPr>
        <w:spacing w:after="0" w:line="240" w:lineRule="auto"/>
        <w:rPr>
          <w:rFonts w:ascii="Arial" w:hAnsi="Arial" w:cs="Arial"/>
        </w:rPr>
      </w:pPr>
    </w:p>
    <w:p w14:paraId="773D0946" w14:textId="3C20E47E" w:rsidR="00CB2B6F" w:rsidRPr="006C549B" w:rsidRDefault="00CB2B6F" w:rsidP="008807A9">
      <w:pPr>
        <w:spacing w:after="0" w:line="240" w:lineRule="auto"/>
        <w:rPr>
          <w:rFonts w:ascii="Arial" w:hAnsi="Arial" w:cs="Arial"/>
        </w:rPr>
      </w:pPr>
      <w:r w:rsidRPr="006C549B">
        <w:rPr>
          <w:rFonts w:ascii="Arial" w:hAnsi="Arial" w:cs="Arial"/>
        </w:rPr>
        <w:t xml:space="preserve">The model for </w:t>
      </w:r>
      <w:r w:rsidR="00B96BA5">
        <w:rPr>
          <w:rFonts w:ascii="Arial" w:hAnsi="Arial" w:cs="Arial"/>
        </w:rPr>
        <w:t>the CITS</w:t>
      </w:r>
      <w:r w:rsidR="00B96BA5" w:rsidRPr="006C549B">
        <w:rPr>
          <w:rFonts w:ascii="Arial" w:hAnsi="Arial" w:cs="Arial"/>
        </w:rPr>
        <w:t xml:space="preserve"> </w:t>
      </w:r>
      <w:r w:rsidRPr="006C549B">
        <w:rPr>
          <w:rFonts w:ascii="Arial" w:hAnsi="Arial" w:cs="Arial"/>
        </w:rPr>
        <w:t>analyses is as follows:</w:t>
      </w:r>
    </w:p>
    <w:p w14:paraId="7B99C015" w14:textId="77777777" w:rsidR="00CB2B6F" w:rsidRPr="006C549B" w:rsidRDefault="00CB2B6F" w:rsidP="008807A9">
      <w:pPr>
        <w:spacing w:after="0" w:line="240" w:lineRule="auto"/>
        <w:rPr>
          <w:rFonts w:ascii="Arial" w:hAnsi="Arial" w:cs="Arial"/>
        </w:rPr>
      </w:pPr>
    </w:p>
    <w:p w14:paraId="546AD6FF" w14:textId="77777777" w:rsidR="00CB2B6F" w:rsidRPr="006C549B" w:rsidRDefault="00CB2B6F" w:rsidP="008807A9">
      <w:pPr>
        <w:spacing w:after="0" w:line="240" w:lineRule="auto"/>
        <w:ind w:left="720"/>
        <w:rPr>
          <w:rFonts w:ascii="Arial" w:hAnsi="Arial" w:cs="Arial"/>
        </w:rPr>
      </w:pPr>
      <w:proofErr w:type="spellStart"/>
      <w:r w:rsidRPr="006C549B">
        <w:rPr>
          <w:rFonts w:ascii="Arial" w:hAnsi="Arial" w:cs="Arial"/>
        </w:rPr>
        <w:t>outcome</w:t>
      </w:r>
      <w:r w:rsidRPr="006C549B">
        <w:rPr>
          <w:rFonts w:ascii="Arial" w:hAnsi="Arial" w:cs="Arial"/>
          <w:vertAlign w:val="subscript"/>
        </w:rPr>
        <w:t>t</w:t>
      </w:r>
      <w:proofErr w:type="spellEnd"/>
      <w:r w:rsidRPr="006C549B">
        <w:rPr>
          <w:rFonts w:ascii="Arial" w:hAnsi="Arial" w:cs="Arial"/>
        </w:rPr>
        <w:t xml:space="preserve"> = β</w:t>
      </w:r>
      <w:r w:rsidRPr="006C549B">
        <w:rPr>
          <w:rFonts w:ascii="Arial" w:hAnsi="Arial" w:cs="Arial"/>
          <w:vertAlign w:val="subscript"/>
        </w:rPr>
        <w:t>0</w:t>
      </w:r>
      <w:r w:rsidRPr="006C549B">
        <w:rPr>
          <w:rFonts w:ascii="Arial" w:hAnsi="Arial" w:cs="Arial"/>
        </w:rPr>
        <w:t xml:space="preserve"> + β</w:t>
      </w:r>
      <w:r w:rsidRPr="006C549B">
        <w:rPr>
          <w:rFonts w:ascii="Arial" w:hAnsi="Arial" w:cs="Arial"/>
          <w:vertAlign w:val="subscript"/>
        </w:rPr>
        <w:t>1</w:t>
      </w:r>
      <w:r w:rsidRPr="006C549B">
        <w:rPr>
          <w:rFonts w:ascii="Arial" w:hAnsi="Arial" w:cs="Arial"/>
        </w:rPr>
        <w:t>(</w:t>
      </w:r>
      <w:proofErr w:type="spellStart"/>
      <w:r w:rsidRPr="006C549B">
        <w:rPr>
          <w:rFonts w:ascii="Arial" w:hAnsi="Arial" w:cs="Arial"/>
        </w:rPr>
        <w:t>time</w:t>
      </w:r>
      <w:r w:rsidRPr="006C549B">
        <w:rPr>
          <w:rFonts w:ascii="Arial" w:hAnsi="Arial" w:cs="Arial"/>
          <w:vertAlign w:val="subscript"/>
        </w:rPr>
        <w:t>t</w:t>
      </w:r>
      <w:proofErr w:type="spellEnd"/>
      <w:r w:rsidRPr="006C549B">
        <w:rPr>
          <w:rFonts w:ascii="Arial" w:hAnsi="Arial" w:cs="Arial"/>
        </w:rPr>
        <w:t xml:space="preserve">) </w:t>
      </w:r>
    </w:p>
    <w:p w14:paraId="21C6C7BC" w14:textId="77777777" w:rsidR="00CB2B6F" w:rsidRPr="006C549B" w:rsidRDefault="00CB2B6F" w:rsidP="008807A9">
      <w:pPr>
        <w:spacing w:after="0" w:line="240" w:lineRule="auto"/>
        <w:ind w:left="2160"/>
        <w:rPr>
          <w:rFonts w:ascii="Arial" w:hAnsi="Arial" w:cs="Arial"/>
        </w:rPr>
      </w:pPr>
      <w:r w:rsidRPr="006C549B">
        <w:rPr>
          <w:rFonts w:ascii="Arial" w:hAnsi="Arial" w:cs="Arial"/>
        </w:rPr>
        <w:t>+ β</w:t>
      </w:r>
      <w:r w:rsidRPr="006C549B">
        <w:rPr>
          <w:rFonts w:ascii="Arial" w:hAnsi="Arial" w:cs="Arial"/>
          <w:vertAlign w:val="subscript"/>
        </w:rPr>
        <w:t>2</w:t>
      </w:r>
      <w:r w:rsidRPr="006C549B">
        <w:rPr>
          <w:rFonts w:ascii="Arial" w:hAnsi="Arial" w:cs="Arial"/>
        </w:rPr>
        <w:t>(initiative level) + β</w:t>
      </w:r>
      <w:r w:rsidRPr="006C549B">
        <w:rPr>
          <w:rFonts w:ascii="Arial" w:hAnsi="Arial" w:cs="Arial"/>
          <w:vertAlign w:val="subscript"/>
        </w:rPr>
        <w:t>3</w:t>
      </w:r>
      <w:r w:rsidRPr="006C549B">
        <w:rPr>
          <w:rFonts w:ascii="Arial" w:hAnsi="Arial" w:cs="Arial"/>
        </w:rPr>
        <w:t xml:space="preserve">(initiative </w:t>
      </w:r>
      <w:proofErr w:type="spellStart"/>
      <w:r w:rsidRPr="006C549B">
        <w:rPr>
          <w:rFonts w:ascii="Arial" w:hAnsi="Arial" w:cs="Arial"/>
        </w:rPr>
        <w:t>trend</w:t>
      </w:r>
      <w:r w:rsidRPr="006C549B">
        <w:rPr>
          <w:rFonts w:ascii="Arial" w:hAnsi="Arial" w:cs="Arial"/>
          <w:vertAlign w:val="subscript"/>
        </w:rPr>
        <w:t>t</w:t>
      </w:r>
      <w:proofErr w:type="spellEnd"/>
      <w:r w:rsidRPr="006C549B">
        <w:rPr>
          <w:rFonts w:ascii="Arial" w:hAnsi="Arial" w:cs="Arial"/>
        </w:rPr>
        <w:t>)</w:t>
      </w:r>
    </w:p>
    <w:p w14:paraId="61E93BA1" w14:textId="77777777" w:rsidR="00CB2B6F" w:rsidRPr="006C549B" w:rsidRDefault="00CB2B6F" w:rsidP="008807A9">
      <w:pPr>
        <w:spacing w:after="0" w:line="240" w:lineRule="auto"/>
        <w:ind w:left="2160"/>
        <w:rPr>
          <w:rFonts w:ascii="Arial" w:hAnsi="Arial" w:cs="Arial"/>
        </w:rPr>
      </w:pPr>
      <w:r w:rsidRPr="006C549B">
        <w:rPr>
          <w:rFonts w:ascii="Arial" w:hAnsi="Arial" w:cs="Arial"/>
        </w:rPr>
        <w:t>+ β</w:t>
      </w:r>
      <w:r w:rsidRPr="006C549B">
        <w:rPr>
          <w:rFonts w:ascii="Arial" w:hAnsi="Arial" w:cs="Arial"/>
          <w:vertAlign w:val="subscript"/>
        </w:rPr>
        <w:t>4</w:t>
      </w:r>
      <w:r w:rsidRPr="006C549B">
        <w:rPr>
          <w:rFonts w:ascii="Arial" w:hAnsi="Arial" w:cs="Arial"/>
        </w:rPr>
        <w:t>(legislation level) +</w:t>
      </w:r>
      <w:r w:rsidRPr="006C549B">
        <w:rPr>
          <w:rFonts w:ascii="Arial" w:hAnsi="Arial" w:cs="Arial"/>
          <w:vertAlign w:val="subscript"/>
        </w:rPr>
        <w:t xml:space="preserve"> </w:t>
      </w:r>
      <w:r w:rsidRPr="006C549B">
        <w:rPr>
          <w:rFonts w:ascii="Arial" w:hAnsi="Arial" w:cs="Arial"/>
        </w:rPr>
        <w:t>β</w:t>
      </w:r>
      <w:r w:rsidRPr="006C549B">
        <w:rPr>
          <w:rFonts w:ascii="Arial" w:hAnsi="Arial" w:cs="Arial"/>
          <w:vertAlign w:val="subscript"/>
        </w:rPr>
        <w:t>5</w:t>
      </w:r>
      <w:r w:rsidRPr="006C549B">
        <w:rPr>
          <w:rFonts w:ascii="Arial" w:hAnsi="Arial" w:cs="Arial"/>
        </w:rPr>
        <w:t xml:space="preserve">(legislation </w:t>
      </w:r>
      <w:proofErr w:type="spellStart"/>
      <w:r w:rsidRPr="006C549B">
        <w:rPr>
          <w:rFonts w:ascii="Arial" w:hAnsi="Arial" w:cs="Arial"/>
        </w:rPr>
        <w:t>trend</w:t>
      </w:r>
      <w:r w:rsidRPr="006C549B">
        <w:rPr>
          <w:rFonts w:ascii="Arial" w:hAnsi="Arial" w:cs="Arial"/>
          <w:vertAlign w:val="subscript"/>
        </w:rPr>
        <w:t>t</w:t>
      </w:r>
      <w:proofErr w:type="spellEnd"/>
      <w:r w:rsidRPr="006C549B">
        <w:rPr>
          <w:rFonts w:ascii="Arial" w:hAnsi="Arial" w:cs="Arial"/>
        </w:rPr>
        <w:t>)</w:t>
      </w:r>
    </w:p>
    <w:p w14:paraId="4BA18281" w14:textId="77777777" w:rsidR="00CB2B6F" w:rsidRPr="006C549B" w:rsidRDefault="00CB2B6F" w:rsidP="008807A9">
      <w:pPr>
        <w:spacing w:after="0" w:line="240" w:lineRule="auto"/>
        <w:ind w:left="2160"/>
        <w:rPr>
          <w:rFonts w:ascii="Arial" w:hAnsi="Arial" w:cs="Arial"/>
        </w:rPr>
      </w:pPr>
      <w:r w:rsidRPr="006C549B">
        <w:rPr>
          <w:rFonts w:ascii="Arial" w:hAnsi="Arial" w:cs="Arial"/>
        </w:rPr>
        <w:t>+ β</w:t>
      </w:r>
      <w:r w:rsidRPr="006C549B">
        <w:rPr>
          <w:rFonts w:ascii="Arial" w:hAnsi="Arial" w:cs="Arial"/>
          <w:vertAlign w:val="subscript"/>
        </w:rPr>
        <w:t>6</w:t>
      </w:r>
      <w:r w:rsidRPr="006C549B">
        <w:rPr>
          <w:rFonts w:ascii="Arial" w:hAnsi="Arial" w:cs="Arial"/>
        </w:rPr>
        <w:t xml:space="preserve">(group) </w:t>
      </w:r>
    </w:p>
    <w:p w14:paraId="0E1861BD" w14:textId="77777777" w:rsidR="00CB2B6F" w:rsidRPr="006C549B" w:rsidRDefault="00CB2B6F" w:rsidP="008807A9">
      <w:pPr>
        <w:spacing w:after="0" w:line="240" w:lineRule="auto"/>
        <w:ind w:left="2160"/>
        <w:rPr>
          <w:rFonts w:ascii="Arial" w:hAnsi="Arial" w:cs="Arial"/>
        </w:rPr>
      </w:pPr>
      <w:r w:rsidRPr="006C549B">
        <w:rPr>
          <w:rFonts w:ascii="Arial" w:hAnsi="Arial" w:cs="Arial"/>
        </w:rPr>
        <w:t>+ β</w:t>
      </w:r>
      <w:r w:rsidRPr="006C549B">
        <w:rPr>
          <w:rFonts w:ascii="Arial" w:hAnsi="Arial" w:cs="Arial"/>
          <w:vertAlign w:val="subscript"/>
        </w:rPr>
        <w:t>7</w:t>
      </w:r>
      <w:r w:rsidRPr="006C549B">
        <w:rPr>
          <w:rFonts w:ascii="Arial" w:hAnsi="Arial" w:cs="Arial"/>
        </w:rPr>
        <w:t xml:space="preserve">(group x </w:t>
      </w:r>
      <w:proofErr w:type="spellStart"/>
      <w:r w:rsidRPr="006C549B">
        <w:rPr>
          <w:rFonts w:ascii="Arial" w:hAnsi="Arial" w:cs="Arial"/>
        </w:rPr>
        <w:t>time</w:t>
      </w:r>
      <w:r w:rsidRPr="006C549B">
        <w:rPr>
          <w:rFonts w:ascii="Arial" w:hAnsi="Arial" w:cs="Arial"/>
          <w:vertAlign w:val="subscript"/>
        </w:rPr>
        <w:t>t</w:t>
      </w:r>
      <w:proofErr w:type="spellEnd"/>
      <w:r w:rsidRPr="006C549B">
        <w:rPr>
          <w:rFonts w:ascii="Arial" w:hAnsi="Arial" w:cs="Arial"/>
        </w:rPr>
        <w:t>)</w:t>
      </w:r>
    </w:p>
    <w:p w14:paraId="586A3F17" w14:textId="77777777" w:rsidR="00CB2B6F" w:rsidRPr="006C549B" w:rsidRDefault="00CB2B6F" w:rsidP="008807A9">
      <w:pPr>
        <w:spacing w:after="0" w:line="240" w:lineRule="auto"/>
        <w:ind w:left="2160"/>
        <w:rPr>
          <w:rFonts w:ascii="Arial" w:hAnsi="Arial" w:cs="Arial"/>
        </w:rPr>
      </w:pPr>
      <w:r w:rsidRPr="006C549B">
        <w:rPr>
          <w:rFonts w:ascii="Arial" w:hAnsi="Arial" w:cs="Arial"/>
        </w:rPr>
        <w:t>+ β</w:t>
      </w:r>
      <w:r w:rsidRPr="006C549B">
        <w:rPr>
          <w:rFonts w:ascii="Arial" w:hAnsi="Arial" w:cs="Arial"/>
          <w:vertAlign w:val="subscript"/>
        </w:rPr>
        <w:t>8</w:t>
      </w:r>
      <w:r w:rsidRPr="006C549B">
        <w:rPr>
          <w:rFonts w:ascii="Arial" w:hAnsi="Arial" w:cs="Arial"/>
        </w:rPr>
        <w:t>(group x initiative level) + β</w:t>
      </w:r>
      <w:r w:rsidRPr="006C549B">
        <w:rPr>
          <w:rFonts w:ascii="Arial" w:hAnsi="Arial" w:cs="Arial"/>
          <w:vertAlign w:val="subscript"/>
        </w:rPr>
        <w:t>9</w:t>
      </w:r>
      <w:r w:rsidRPr="006C549B">
        <w:rPr>
          <w:rFonts w:ascii="Arial" w:hAnsi="Arial" w:cs="Arial"/>
        </w:rPr>
        <w:t xml:space="preserve">(group x initiative </w:t>
      </w:r>
      <w:proofErr w:type="spellStart"/>
      <w:r w:rsidRPr="006C549B">
        <w:rPr>
          <w:rFonts w:ascii="Arial" w:hAnsi="Arial" w:cs="Arial"/>
        </w:rPr>
        <w:t>trend</w:t>
      </w:r>
      <w:r w:rsidRPr="006C549B">
        <w:rPr>
          <w:rFonts w:ascii="Arial" w:hAnsi="Arial" w:cs="Arial"/>
          <w:vertAlign w:val="subscript"/>
        </w:rPr>
        <w:t>t</w:t>
      </w:r>
      <w:proofErr w:type="spellEnd"/>
      <w:r w:rsidRPr="006C549B">
        <w:rPr>
          <w:rFonts w:ascii="Arial" w:hAnsi="Arial" w:cs="Arial"/>
        </w:rPr>
        <w:t>)</w:t>
      </w:r>
    </w:p>
    <w:p w14:paraId="7F032E5E" w14:textId="77777777" w:rsidR="00CB2B6F" w:rsidRPr="006C549B" w:rsidRDefault="00CB2B6F" w:rsidP="008807A9">
      <w:pPr>
        <w:spacing w:after="0" w:line="240" w:lineRule="auto"/>
        <w:ind w:left="2160"/>
        <w:rPr>
          <w:rFonts w:ascii="Arial" w:hAnsi="Arial" w:cs="Arial"/>
        </w:rPr>
      </w:pPr>
      <w:r w:rsidRPr="006C549B">
        <w:rPr>
          <w:rFonts w:ascii="Arial" w:hAnsi="Arial" w:cs="Arial"/>
        </w:rPr>
        <w:t>+ β</w:t>
      </w:r>
      <w:r w:rsidRPr="006C549B">
        <w:rPr>
          <w:rFonts w:ascii="Arial" w:hAnsi="Arial" w:cs="Arial"/>
          <w:vertAlign w:val="subscript"/>
        </w:rPr>
        <w:t>10</w:t>
      </w:r>
      <w:r w:rsidRPr="006C549B">
        <w:rPr>
          <w:rFonts w:ascii="Arial" w:hAnsi="Arial" w:cs="Arial"/>
        </w:rPr>
        <w:t>(group x legislation level) + β</w:t>
      </w:r>
      <w:r w:rsidRPr="006C549B">
        <w:rPr>
          <w:rFonts w:ascii="Arial" w:hAnsi="Arial" w:cs="Arial"/>
          <w:vertAlign w:val="subscript"/>
        </w:rPr>
        <w:t>11</w:t>
      </w:r>
      <w:r w:rsidRPr="006C549B">
        <w:rPr>
          <w:rFonts w:ascii="Arial" w:hAnsi="Arial" w:cs="Arial"/>
        </w:rPr>
        <w:t xml:space="preserve">(group x legislation </w:t>
      </w:r>
      <w:proofErr w:type="spellStart"/>
      <w:r w:rsidRPr="006C549B">
        <w:rPr>
          <w:rFonts w:ascii="Arial" w:hAnsi="Arial" w:cs="Arial"/>
        </w:rPr>
        <w:t>trend</w:t>
      </w:r>
      <w:r w:rsidRPr="006C549B">
        <w:rPr>
          <w:rFonts w:ascii="Arial" w:hAnsi="Arial" w:cs="Arial"/>
          <w:vertAlign w:val="subscript"/>
        </w:rPr>
        <w:t>t</w:t>
      </w:r>
      <w:proofErr w:type="spellEnd"/>
      <w:r w:rsidRPr="006C549B">
        <w:rPr>
          <w:rFonts w:ascii="Arial" w:hAnsi="Arial" w:cs="Arial"/>
        </w:rPr>
        <w:t xml:space="preserve">) + </w:t>
      </w:r>
      <w:proofErr w:type="spellStart"/>
      <w:r w:rsidRPr="006C549B">
        <w:rPr>
          <w:rFonts w:ascii="Arial" w:hAnsi="Arial" w:cs="Arial"/>
        </w:rPr>
        <w:t>ε</w:t>
      </w:r>
      <w:r w:rsidRPr="006C549B">
        <w:rPr>
          <w:rFonts w:ascii="Arial" w:hAnsi="Arial" w:cs="Arial"/>
          <w:vertAlign w:val="subscript"/>
        </w:rPr>
        <w:t>t</w:t>
      </w:r>
      <w:proofErr w:type="spellEnd"/>
      <w:r w:rsidRPr="006C549B">
        <w:rPr>
          <w:rFonts w:ascii="Arial" w:hAnsi="Arial" w:cs="Arial"/>
        </w:rPr>
        <w:t>,</w:t>
      </w:r>
    </w:p>
    <w:p w14:paraId="3816C442" w14:textId="77777777" w:rsidR="00CB2B6F" w:rsidRPr="006C549B" w:rsidRDefault="00CB2B6F" w:rsidP="008807A9">
      <w:pPr>
        <w:spacing w:after="0" w:line="240" w:lineRule="auto"/>
        <w:rPr>
          <w:rFonts w:ascii="Arial" w:hAnsi="Arial" w:cs="Arial"/>
        </w:rPr>
      </w:pPr>
    </w:p>
    <w:p w14:paraId="5C73F868" w14:textId="77777777" w:rsidR="00CB2B6F" w:rsidRPr="006C549B" w:rsidRDefault="00CB2B6F" w:rsidP="008807A9">
      <w:pPr>
        <w:spacing w:after="0" w:line="240" w:lineRule="auto"/>
        <w:rPr>
          <w:rFonts w:ascii="Arial" w:hAnsi="Arial" w:cs="Arial"/>
        </w:rPr>
      </w:pPr>
      <w:r w:rsidRPr="006C549B">
        <w:rPr>
          <w:rFonts w:ascii="Arial" w:hAnsi="Arial" w:cs="Arial"/>
        </w:rPr>
        <w:t xml:space="preserve">where </w:t>
      </w:r>
      <w:r w:rsidRPr="006C549B">
        <w:rPr>
          <w:rFonts w:ascii="Arial" w:hAnsi="Arial" w:cs="Arial"/>
          <w:i/>
        </w:rPr>
        <w:t>time</w:t>
      </w:r>
      <w:r w:rsidRPr="006C549B">
        <w:rPr>
          <w:rFonts w:ascii="Arial" w:hAnsi="Arial" w:cs="Arial"/>
        </w:rPr>
        <w:t xml:space="preserve"> (t) is a continuous variable representing months from January 2012 through August 2018, ranging from 1 to 80; </w:t>
      </w:r>
      <w:r w:rsidRPr="006C549B">
        <w:rPr>
          <w:rFonts w:ascii="Arial" w:hAnsi="Arial" w:cs="Arial"/>
          <w:i/>
        </w:rPr>
        <w:t xml:space="preserve">initiative level </w:t>
      </w:r>
      <w:r w:rsidRPr="006C549B">
        <w:rPr>
          <w:rFonts w:ascii="Arial" w:hAnsi="Arial" w:cs="Arial"/>
        </w:rPr>
        <w:t xml:space="preserve">and </w:t>
      </w:r>
      <w:r w:rsidRPr="006C549B">
        <w:rPr>
          <w:rFonts w:ascii="Arial" w:hAnsi="Arial" w:cs="Arial"/>
          <w:i/>
        </w:rPr>
        <w:t xml:space="preserve">legislation level </w:t>
      </w:r>
      <w:r w:rsidRPr="006C549B">
        <w:rPr>
          <w:rFonts w:ascii="Arial" w:hAnsi="Arial" w:cs="Arial"/>
        </w:rPr>
        <w:t xml:space="preserve">are dichotomous variables </w:t>
      </w:r>
      <w:r w:rsidRPr="006C549B">
        <w:rPr>
          <w:rFonts w:ascii="Arial" w:hAnsi="Arial" w:cs="Arial"/>
        </w:rPr>
        <w:lastRenderedPageBreak/>
        <w:t xml:space="preserve">indicating time before (0) and after (1) each policy change; </w:t>
      </w:r>
      <w:r w:rsidRPr="006C549B">
        <w:rPr>
          <w:rFonts w:ascii="Arial" w:hAnsi="Arial" w:cs="Arial"/>
          <w:i/>
        </w:rPr>
        <w:t xml:space="preserve">initiative trend </w:t>
      </w:r>
      <w:r w:rsidRPr="006C549B">
        <w:rPr>
          <w:rFonts w:ascii="Arial" w:hAnsi="Arial" w:cs="Arial"/>
        </w:rPr>
        <w:t xml:space="preserve">and </w:t>
      </w:r>
      <w:r w:rsidRPr="006C549B">
        <w:rPr>
          <w:rFonts w:ascii="Arial" w:hAnsi="Arial" w:cs="Arial"/>
          <w:i/>
        </w:rPr>
        <w:t xml:space="preserve">legislation trend </w:t>
      </w:r>
      <w:r w:rsidRPr="006C549B">
        <w:rPr>
          <w:rFonts w:ascii="Arial" w:hAnsi="Arial" w:cs="Arial"/>
        </w:rPr>
        <w:t xml:space="preserve">are continuous variables set to 0 before the respective policy change and time in months after each policy change; </w:t>
      </w:r>
      <w:r w:rsidRPr="006C549B">
        <w:rPr>
          <w:rFonts w:ascii="Arial" w:hAnsi="Arial" w:cs="Arial"/>
          <w:i/>
          <w:iCs/>
        </w:rPr>
        <w:t xml:space="preserve">group </w:t>
      </w:r>
      <w:r w:rsidRPr="006C549B">
        <w:rPr>
          <w:rFonts w:ascii="Arial" w:hAnsi="Arial" w:cs="Arial"/>
        </w:rPr>
        <w:t xml:space="preserve">is a dichotomous variable set to 0 for benzodiazepine prescriptions (the control series) and 1 for opioid prescriptions; </w:t>
      </w:r>
      <w:r w:rsidRPr="006C549B">
        <w:rPr>
          <w:rFonts w:ascii="Arial" w:hAnsi="Arial" w:cs="Arial"/>
          <w:i/>
          <w:iCs/>
        </w:rPr>
        <w:t>group x time</w:t>
      </w:r>
      <w:r w:rsidRPr="006C549B">
        <w:rPr>
          <w:rFonts w:ascii="Arial" w:hAnsi="Arial" w:cs="Arial"/>
        </w:rPr>
        <w:t xml:space="preserve">, </w:t>
      </w:r>
      <w:r w:rsidRPr="006C549B">
        <w:rPr>
          <w:rFonts w:ascii="Arial" w:hAnsi="Arial" w:cs="Arial"/>
          <w:i/>
        </w:rPr>
        <w:t>group x initiative level</w:t>
      </w:r>
      <w:r w:rsidRPr="006C549B">
        <w:rPr>
          <w:rFonts w:ascii="Arial" w:hAnsi="Arial" w:cs="Arial"/>
          <w:iCs/>
        </w:rPr>
        <w:t>, and</w:t>
      </w:r>
      <w:r w:rsidRPr="006C549B">
        <w:rPr>
          <w:rFonts w:ascii="Arial" w:hAnsi="Arial" w:cs="Arial"/>
        </w:rPr>
        <w:t xml:space="preserve"> </w:t>
      </w:r>
      <w:r w:rsidRPr="006C549B">
        <w:rPr>
          <w:rFonts w:ascii="Arial" w:hAnsi="Arial" w:cs="Arial"/>
          <w:i/>
          <w:iCs/>
        </w:rPr>
        <w:t xml:space="preserve">group x legislation level </w:t>
      </w:r>
      <w:r w:rsidRPr="006C549B">
        <w:rPr>
          <w:rFonts w:ascii="Arial" w:hAnsi="Arial" w:cs="Arial"/>
        </w:rPr>
        <w:t xml:space="preserve">are dichotomous product terms between the respective variables; and </w:t>
      </w:r>
      <w:r w:rsidRPr="006C549B">
        <w:rPr>
          <w:rFonts w:ascii="Arial" w:hAnsi="Arial" w:cs="Arial"/>
          <w:i/>
        </w:rPr>
        <w:t xml:space="preserve">group × initiative trend </w:t>
      </w:r>
      <w:r w:rsidRPr="006C549B">
        <w:rPr>
          <w:rFonts w:ascii="Arial" w:hAnsi="Arial" w:cs="Arial"/>
        </w:rPr>
        <w:t xml:space="preserve">and </w:t>
      </w:r>
      <w:r w:rsidRPr="006C549B">
        <w:rPr>
          <w:rFonts w:ascii="Arial" w:hAnsi="Arial" w:cs="Arial"/>
          <w:i/>
          <w:iCs/>
        </w:rPr>
        <w:t xml:space="preserve">group x </w:t>
      </w:r>
      <w:r w:rsidRPr="006C549B">
        <w:rPr>
          <w:rFonts w:ascii="Arial" w:hAnsi="Arial" w:cs="Arial"/>
          <w:i/>
        </w:rPr>
        <w:t xml:space="preserve">legislation </w:t>
      </w:r>
      <w:r w:rsidRPr="006C549B">
        <w:rPr>
          <w:rFonts w:ascii="Arial" w:hAnsi="Arial" w:cs="Arial"/>
          <w:i/>
          <w:iCs/>
        </w:rPr>
        <w:t xml:space="preserve">trend </w:t>
      </w:r>
      <w:r w:rsidRPr="006C549B">
        <w:rPr>
          <w:rFonts w:ascii="Arial" w:hAnsi="Arial" w:cs="Arial"/>
        </w:rPr>
        <w:t>are product terms between the respective variables, resulting in continuous variables set to zero for a) the entire benzodiazepine group and b) the time before each respective policy change for the opioid group, or to the time in months after each policy change for the opioid group only.</w:t>
      </w:r>
    </w:p>
    <w:p w14:paraId="680DA537" w14:textId="77777777" w:rsidR="00CB2B6F" w:rsidRPr="006C549B" w:rsidRDefault="00CB2B6F" w:rsidP="008807A9">
      <w:pPr>
        <w:spacing w:after="0" w:line="240" w:lineRule="auto"/>
        <w:rPr>
          <w:rFonts w:ascii="Arial" w:hAnsi="Arial" w:cs="Arial"/>
        </w:rPr>
      </w:pPr>
    </w:p>
    <w:p w14:paraId="6E881D59" w14:textId="77777777" w:rsidR="00CB2B6F" w:rsidRPr="006C549B" w:rsidRDefault="00CB2B6F" w:rsidP="008807A9">
      <w:pPr>
        <w:spacing w:after="0" w:line="240" w:lineRule="auto"/>
        <w:rPr>
          <w:rFonts w:ascii="Arial" w:hAnsi="Arial" w:cs="Arial"/>
        </w:rPr>
      </w:pPr>
      <w:r w:rsidRPr="006C549B">
        <w:rPr>
          <w:rFonts w:ascii="Arial" w:hAnsi="Arial" w:cs="Arial"/>
        </w:rPr>
        <w:t>With this specification, β</w:t>
      </w:r>
      <w:r w:rsidRPr="006C549B">
        <w:rPr>
          <w:rFonts w:ascii="Arial" w:hAnsi="Arial" w:cs="Arial"/>
          <w:vertAlign w:val="subscript"/>
        </w:rPr>
        <w:t xml:space="preserve">0 </w:t>
      </w:r>
      <w:r w:rsidRPr="006C549B">
        <w:rPr>
          <w:rFonts w:ascii="Arial" w:hAnsi="Arial" w:cs="Arial"/>
        </w:rPr>
        <w:t>through β</w:t>
      </w:r>
      <w:r w:rsidRPr="006C549B">
        <w:rPr>
          <w:rFonts w:ascii="Arial" w:hAnsi="Arial" w:cs="Arial"/>
          <w:vertAlign w:val="subscript"/>
        </w:rPr>
        <w:t xml:space="preserve">5 </w:t>
      </w:r>
      <w:r w:rsidRPr="006C549B">
        <w:rPr>
          <w:rFonts w:ascii="Arial" w:hAnsi="Arial" w:cs="Arial"/>
        </w:rPr>
        <w:t>describe benzodiazepine prescribing patterns where β</w:t>
      </w:r>
      <w:r w:rsidRPr="006C549B">
        <w:rPr>
          <w:rFonts w:ascii="Arial" w:hAnsi="Arial" w:cs="Arial"/>
          <w:vertAlign w:val="subscript"/>
        </w:rPr>
        <w:t>0</w:t>
      </w:r>
      <w:r w:rsidRPr="006C549B">
        <w:rPr>
          <w:rFonts w:ascii="Arial" w:hAnsi="Arial" w:cs="Arial"/>
        </w:rPr>
        <w:t xml:space="preserve"> estimates the monthly benzodiazepine outcome at baseline; β</w:t>
      </w:r>
      <w:r w:rsidRPr="006C549B">
        <w:rPr>
          <w:rFonts w:ascii="Arial" w:hAnsi="Arial" w:cs="Arial"/>
          <w:vertAlign w:val="subscript"/>
        </w:rPr>
        <w:t>1</w:t>
      </w:r>
      <w:r w:rsidRPr="006C549B">
        <w:rPr>
          <w:rFonts w:ascii="Arial" w:hAnsi="Arial" w:cs="Arial"/>
        </w:rPr>
        <w:t xml:space="preserve"> estimates the pre-medical board initiative time trend of the benzodiazepine outcome; β</w:t>
      </w:r>
      <w:r w:rsidRPr="006C549B">
        <w:rPr>
          <w:rFonts w:ascii="Arial" w:hAnsi="Arial" w:cs="Arial"/>
          <w:vertAlign w:val="subscript"/>
        </w:rPr>
        <w:t>2</w:t>
      </w:r>
      <w:r w:rsidRPr="006C549B">
        <w:rPr>
          <w:rFonts w:ascii="Arial" w:hAnsi="Arial" w:cs="Arial"/>
        </w:rPr>
        <w:t xml:space="preserve"> and β</w:t>
      </w:r>
      <w:r w:rsidRPr="006C549B">
        <w:rPr>
          <w:rFonts w:ascii="Arial" w:hAnsi="Arial" w:cs="Arial"/>
          <w:vertAlign w:val="subscript"/>
        </w:rPr>
        <w:t>4</w:t>
      </w:r>
      <w:r w:rsidRPr="006C549B">
        <w:rPr>
          <w:rFonts w:ascii="Arial" w:hAnsi="Arial" w:cs="Arial"/>
        </w:rPr>
        <w:t xml:space="preserve"> estimate the absolute change in benzodiazepine outcome immediately after the enactment of the medical board initiative and legislation, respectively; and β</w:t>
      </w:r>
      <w:r w:rsidRPr="006C549B">
        <w:rPr>
          <w:rFonts w:ascii="Arial" w:hAnsi="Arial" w:cs="Arial"/>
          <w:vertAlign w:val="subscript"/>
        </w:rPr>
        <w:t>3</w:t>
      </w:r>
      <w:r w:rsidRPr="006C549B">
        <w:rPr>
          <w:rFonts w:ascii="Arial" w:hAnsi="Arial" w:cs="Arial"/>
        </w:rPr>
        <w:t xml:space="preserve"> and β</w:t>
      </w:r>
      <w:r w:rsidRPr="006C549B">
        <w:rPr>
          <w:rFonts w:ascii="Arial" w:hAnsi="Arial" w:cs="Arial"/>
          <w:vertAlign w:val="subscript"/>
        </w:rPr>
        <w:t>5</w:t>
      </w:r>
      <w:r w:rsidRPr="006C549B">
        <w:rPr>
          <w:rFonts w:ascii="Arial" w:hAnsi="Arial" w:cs="Arial"/>
        </w:rPr>
        <w:t xml:space="preserve"> estimate the change in trend in the benzodiazepine outcome after each policy.  </w:t>
      </w:r>
    </w:p>
    <w:p w14:paraId="76DACE86" w14:textId="77777777" w:rsidR="00CB2B6F" w:rsidRPr="006C549B" w:rsidRDefault="00CB2B6F" w:rsidP="008807A9">
      <w:pPr>
        <w:spacing w:after="0" w:line="240" w:lineRule="auto"/>
        <w:rPr>
          <w:rFonts w:ascii="Arial" w:hAnsi="Arial" w:cs="Arial"/>
        </w:rPr>
      </w:pPr>
    </w:p>
    <w:p w14:paraId="4331D9CC" w14:textId="0F5EC209" w:rsidR="00CB2B6F" w:rsidRDefault="00CB2B6F" w:rsidP="008807A9">
      <w:pPr>
        <w:spacing w:after="0" w:line="240" w:lineRule="auto"/>
        <w:rPr>
          <w:rFonts w:ascii="Arial" w:hAnsi="Arial" w:cs="Arial"/>
        </w:rPr>
      </w:pPr>
      <w:r w:rsidRPr="006C549B">
        <w:rPr>
          <w:rFonts w:ascii="Arial" w:hAnsi="Arial" w:cs="Arial"/>
        </w:rPr>
        <w:t>The remaining terms, β</w:t>
      </w:r>
      <w:r w:rsidRPr="006C549B">
        <w:rPr>
          <w:rFonts w:ascii="Arial" w:hAnsi="Arial" w:cs="Arial"/>
          <w:vertAlign w:val="subscript"/>
        </w:rPr>
        <w:t xml:space="preserve">6 </w:t>
      </w:r>
      <w:r w:rsidRPr="006C549B">
        <w:rPr>
          <w:rFonts w:ascii="Arial" w:hAnsi="Arial" w:cs="Arial"/>
        </w:rPr>
        <w:t>through β</w:t>
      </w:r>
      <w:r w:rsidRPr="006C549B">
        <w:rPr>
          <w:rFonts w:ascii="Arial" w:hAnsi="Arial" w:cs="Arial"/>
          <w:vertAlign w:val="subscript"/>
        </w:rPr>
        <w:t>11</w:t>
      </w:r>
      <w:r w:rsidRPr="006C549B">
        <w:rPr>
          <w:rFonts w:ascii="Arial" w:hAnsi="Arial" w:cs="Arial"/>
        </w:rPr>
        <w:t>, then estimate the opioid level, trend, changes in level, and changes in trend before and after each policy, controlling for the benzodiazepine time trend. Thus, β</w:t>
      </w:r>
      <w:r w:rsidRPr="006C549B">
        <w:rPr>
          <w:rFonts w:ascii="Arial" w:hAnsi="Arial" w:cs="Arial"/>
          <w:vertAlign w:val="subscript"/>
        </w:rPr>
        <w:t>6</w:t>
      </w:r>
      <w:r w:rsidRPr="006C549B">
        <w:rPr>
          <w:rFonts w:ascii="Arial" w:hAnsi="Arial" w:cs="Arial"/>
        </w:rPr>
        <w:t xml:space="preserve"> represents the pre-medical board initiative difference between opioid and benzodiazepine prescription outcomes;</w:t>
      </w:r>
      <w:r w:rsidRPr="006C549B">
        <w:rPr>
          <w:rFonts w:ascii="Arial" w:hAnsi="Arial" w:cs="Arial"/>
          <w:vertAlign w:val="subscript"/>
        </w:rPr>
        <w:t xml:space="preserve"> </w:t>
      </w:r>
      <w:r w:rsidRPr="006C549B">
        <w:rPr>
          <w:rFonts w:ascii="Arial" w:hAnsi="Arial" w:cs="Arial"/>
        </w:rPr>
        <w:t>β</w:t>
      </w:r>
      <w:r w:rsidRPr="006C549B">
        <w:rPr>
          <w:rFonts w:ascii="Arial" w:hAnsi="Arial" w:cs="Arial"/>
          <w:vertAlign w:val="subscript"/>
        </w:rPr>
        <w:t>7</w:t>
      </w:r>
      <w:r w:rsidRPr="006C549B">
        <w:rPr>
          <w:rFonts w:ascii="Arial" w:hAnsi="Arial" w:cs="Arial"/>
        </w:rPr>
        <w:t xml:space="preserve"> represents the pre-medical board initiative difference in trend between opioid and benzodiazepine prescription outcomes; β</w:t>
      </w:r>
      <w:r w:rsidRPr="006C549B">
        <w:rPr>
          <w:rFonts w:ascii="Arial" w:hAnsi="Arial" w:cs="Arial"/>
          <w:vertAlign w:val="subscript"/>
        </w:rPr>
        <w:t>8</w:t>
      </w:r>
      <w:r w:rsidRPr="006C549B">
        <w:rPr>
          <w:rFonts w:ascii="Arial" w:hAnsi="Arial" w:cs="Arial"/>
        </w:rPr>
        <w:t xml:space="preserve"> and β</w:t>
      </w:r>
      <w:r w:rsidRPr="006C549B">
        <w:rPr>
          <w:rFonts w:ascii="Arial" w:hAnsi="Arial" w:cs="Arial"/>
          <w:vertAlign w:val="subscript"/>
        </w:rPr>
        <w:t>10</w:t>
      </w:r>
      <w:r w:rsidRPr="006C549B">
        <w:rPr>
          <w:rFonts w:ascii="Arial" w:hAnsi="Arial" w:cs="Arial"/>
        </w:rPr>
        <w:t xml:space="preserve"> estimate the difference in absolute change in outcome immediately after the enactment of each policy (medical board initiative and legislation, respectively) between opioid and benzodiazepine prescriptions; and β</w:t>
      </w:r>
      <w:r w:rsidRPr="006C549B">
        <w:rPr>
          <w:rFonts w:ascii="Arial" w:hAnsi="Arial" w:cs="Arial"/>
          <w:vertAlign w:val="subscript"/>
        </w:rPr>
        <w:t>9</w:t>
      </w:r>
      <w:r w:rsidRPr="006C549B">
        <w:rPr>
          <w:rFonts w:ascii="Arial" w:hAnsi="Arial" w:cs="Arial"/>
        </w:rPr>
        <w:t xml:space="preserve"> and β</w:t>
      </w:r>
      <w:r w:rsidRPr="006C549B">
        <w:rPr>
          <w:rFonts w:ascii="Arial" w:hAnsi="Arial" w:cs="Arial"/>
          <w:vertAlign w:val="subscript"/>
        </w:rPr>
        <w:t>11</w:t>
      </w:r>
      <w:r w:rsidRPr="006C549B">
        <w:rPr>
          <w:rFonts w:ascii="Arial" w:hAnsi="Arial" w:cs="Arial"/>
        </w:rPr>
        <w:t xml:space="preserve"> estimate the difference in trend change of the outcome for each policy between opioid and benzodiazepine prescriptions.</w:t>
      </w:r>
    </w:p>
    <w:p w14:paraId="414689AB" w14:textId="4A1C3A04" w:rsidR="0012135D" w:rsidRDefault="0012135D" w:rsidP="008807A9">
      <w:pPr>
        <w:spacing w:after="0" w:line="240" w:lineRule="auto"/>
        <w:rPr>
          <w:rFonts w:ascii="Arial" w:hAnsi="Arial" w:cs="Arial"/>
        </w:rPr>
      </w:pPr>
    </w:p>
    <w:p w14:paraId="0717F03F" w14:textId="43C1FEEA" w:rsidR="00440460" w:rsidRPr="00176180" w:rsidRDefault="00440460" w:rsidP="008807A9">
      <w:pPr>
        <w:spacing w:after="0" w:line="240" w:lineRule="auto"/>
        <w:rPr>
          <w:rFonts w:ascii="Arial" w:hAnsi="Arial" w:cs="Arial"/>
          <w:i/>
          <w:iCs/>
        </w:rPr>
      </w:pPr>
      <w:r w:rsidRPr="002A094F">
        <w:rPr>
          <w:rFonts w:ascii="Arial" w:eastAsia="Times New Roman" w:hAnsi="Arial" w:cs="Arial"/>
          <w:i/>
          <w:iCs/>
        </w:rPr>
        <w:t>Single-series interrupted time series analysis</w:t>
      </w:r>
    </w:p>
    <w:p w14:paraId="6A7D4F55" w14:textId="77777777" w:rsidR="00CB2B6F" w:rsidRPr="006C549B" w:rsidRDefault="00CB2B6F" w:rsidP="008807A9">
      <w:pPr>
        <w:spacing w:after="0" w:line="240" w:lineRule="auto"/>
        <w:rPr>
          <w:rFonts w:ascii="Arial" w:hAnsi="Arial" w:cs="Arial"/>
        </w:rPr>
      </w:pPr>
    </w:p>
    <w:p w14:paraId="6459631E" w14:textId="7CA17BD8" w:rsidR="00CB2B6F" w:rsidRPr="006C549B" w:rsidRDefault="0012135D" w:rsidP="008807A9">
      <w:pPr>
        <w:spacing w:after="0" w:line="240" w:lineRule="auto"/>
        <w:rPr>
          <w:rFonts w:ascii="Arial" w:hAnsi="Arial" w:cs="Arial"/>
        </w:rPr>
      </w:pPr>
      <w:r>
        <w:rPr>
          <w:rFonts w:ascii="Arial" w:hAnsi="Arial" w:cs="Arial"/>
        </w:rPr>
        <w:t xml:space="preserve">For opioid prescription rates and days’ supply outcomes </w:t>
      </w:r>
      <w:r w:rsidRPr="006C549B">
        <w:rPr>
          <w:rFonts w:ascii="Arial" w:hAnsi="Arial" w:cs="Arial"/>
        </w:rPr>
        <w:t>analyzed using ARIMA model</w:t>
      </w:r>
      <w:r>
        <w:rPr>
          <w:rFonts w:ascii="Arial" w:hAnsi="Arial" w:cs="Arial"/>
        </w:rPr>
        <w:t>s</w:t>
      </w:r>
      <w:r w:rsidRPr="006C549B">
        <w:rPr>
          <w:rFonts w:ascii="Arial" w:hAnsi="Arial" w:cs="Arial"/>
        </w:rPr>
        <w:t xml:space="preserve"> for a single-series ITS analysis without a control group</w:t>
      </w:r>
      <w:r>
        <w:rPr>
          <w:rFonts w:ascii="Arial" w:hAnsi="Arial" w:cs="Arial"/>
        </w:rPr>
        <w:t xml:space="preserve">, we built our </w:t>
      </w:r>
      <w:r w:rsidRPr="00B96BA5">
        <w:rPr>
          <w:rFonts w:ascii="Arial" w:hAnsi="Arial" w:cs="Arial"/>
        </w:rPr>
        <w:t>models</w:t>
      </w:r>
      <w:r>
        <w:rPr>
          <w:rFonts w:ascii="Arial" w:hAnsi="Arial" w:cs="Arial"/>
        </w:rPr>
        <w:t xml:space="preserve"> according to the procedures described above in CITS analyses. </w:t>
      </w:r>
      <w:r w:rsidRPr="00B96BA5">
        <w:rPr>
          <w:rFonts w:ascii="Arial" w:hAnsi="Arial" w:cs="Arial"/>
        </w:rPr>
        <w:t xml:space="preserve">Our final models for the outcome new opioid prescription rates included a first-order </w:t>
      </w:r>
      <w:r>
        <w:rPr>
          <w:rFonts w:ascii="Arial" w:hAnsi="Arial" w:cs="Arial"/>
        </w:rPr>
        <w:t>AR</w:t>
      </w:r>
      <w:r w:rsidRPr="00B96BA5">
        <w:rPr>
          <w:rFonts w:ascii="Arial" w:hAnsi="Arial" w:cs="Arial"/>
        </w:rPr>
        <w:t xml:space="preserve"> component (</w:t>
      </w:r>
      <w:r>
        <w:rPr>
          <w:rFonts w:ascii="Arial" w:hAnsi="Arial" w:cs="Arial"/>
        </w:rPr>
        <w:t>p</w:t>
      </w:r>
      <w:r w:rsidRPr="00B96BA5">
        <w:rPr>
          <w:rFonts w:ascii="Arial" w:hAnsi="Arial" w:cs="Arial"/>
        </w:rPr>
        <w:t xml:space="preserve"> = 1) with a seasonal lag of </w:t>
      </w:r>
      <w:r>
        <w:rPr>
          <w:rFonts w:ascii="Arial" w:hAnsi="Arial" w:cs="Arial"/>
        </w:rPr>
        <w:t>twelve</w:t>
      </w:r>
      <w:r w:rsidRPr="00B96BA5">
        <w:rPr>
          <w:rFonts w:ascii="Arial" w:hAnsi="Arial" w:cs="Arial"/>
        </w:rPr>
        <w:t xml:space="preserve"> months</w:t>
      </w:r>
      <w:r>
        <w:rPr>
          <w:rFonts w:ascii="Arial" w:hAnsi="Arial" w:cs="Arial"/>
        </w:rPr>
        <w:t xml:space="preserve">. </w:t>
      </w:r>
      <w:r w:rsidRPr="00B96BA5">
        <w:rPr>
          <w:rFonts w:ascii="Arial" w:hAnsi="Arial" w:cs="Arial"/>
        </w:rPr>
        <w:t xml:space="preserve">Our final models examining the outcome of mean days’ supply included a </w:t>
      </w:r>
      <w:r>
        <w:rPr>
          <w:rFonts w:ascii="Arial" w:hAnsi="Arial" w:cs="Arial"/>
        </w:rPr>
        <w:t>first-</w:t>
      </w:r>
      <w:r w:rsidRPr="00B96BA5">
        <w:rPr>
          <w:rFonts w:ascii="Arial" w:hAnsi="Arial" w:cs="Arial"/>
        </w:rPr>
        <w:t xml:space="preserve">order AR component (p = </w:t>
      </w:r>
      <w:r>
        <w:rPr>
          <w:rFonts w:ascii="Arial" w:hAnsi="Arial" w:cs="Arial"/>
        </w:rPr>
        <w:t>1</w:t>
      </w:r>
      <w:r w:rsidRPr="00B96BA5">
        <w:rPr>
          <w:rFonts w:ascii="Arial" w:hAnsi="Arial" w:cs="Arial"/>
        </w:rPr>
        <w:t>)</w:t>
      </w:r>
      <w:r>
        <w:rPr>
          <w:rFonts w:ascii="Arial" w:hAnsi="Arial" w:cs="Arial"/>
        </w:rPr>
        <w:t>. T</w:t>
      </w:r>
      <w:r w:rsidRPr="006C549B">
        <w:rPr>
          <w:rFonts w:ascii="Arial" w:hAnsi="Arial" w:cs="Arial"/>
        </w:rPr>
        <w:t xml:space="preserve">he opioids MME outcome </w:t>
      </w:r>
      <w:r w:rsidRPr="00B96BA5">
        <w:rPr>
          <w:rFonts w:ascii="Arial" w:hAnsi="Arial" w:cs="Arial"/>
        </w:rPr>
        <w:t>did not require additional parameters.</w:t>
      </w:r>
      <w:r w:rsidR="00D12C43">
        <w:rPr>
          <w:rFonts w:ascii="Arial" w:hAnsi="Arial" w:cs="Arial"/>
        </w:rPr>
        <w:t xml:space="preserve"> </w:t>
      </w:r>
      <w:r w:rsidR="00CB2B6F" w:rsidRPr="006C549B">
        <w:rPr>
          <w:rFonts w:ascii="Arial" w:hAnsi="Arial" w:cs="Arial"/>
        </w:rPr>
        <w:t>The model for these analyses is as follows:</w:t>
      </w:r>
    </w:p>
    <w:p w14:paraId="543C5DAC" w14:textId="77777777" w:rsidR="00CB2B6F" w:rsidRPr="006C549B" w:rsidRDefault="00CB2B6F" w:rsidP="008807A9">
      <w:pPr>
        <w:spacing w:after="0" w:line="240" w:lineRule="auto"/>
        <w:rPr>
          <w:rFonts w:ascii="Arial" w:hAnsi="Arial" w:cs="Arial"/>
        </w:rPr>
      </w:pPr>
    </w:p>
    <w:p w14:paraId="2AE27F47" w14:textId="77777777" w:rsidR="00CB2B6F" w:rsidRPr="006C549B" w:rsidRDefault="00CB2B6F" w:rsidP="008807A9">
      <w:pPr>
        <w:spacing w:after="0" w:line="240" w:lineRule="auto"/>
        <w:ind w:left="720"/>
        <w:rPr>
          <w:rFonts w:ascii="Arial" w:hAnsi="Arial" w:cs="Arial"/>
        </w:rPr>
      </w:pPr>
      <w:proofErr w:type="spellStart"/>
      <w:r w:rsidRPr="006C549B">
        <w:rPr>
          <w:rFonts w:ascii="Arial" w:hAnsi="Arial" w:cs="Arial"/>
        </w:rPr>
        <w:t>outcome</w:t>
      </w:r>
      <w:r w:rsidRPr="006C549B">
        <w:rPr>
          <w:rFonts w:ascii="Arial" w:hAnsi="Arial" w:cs="Arial"/>
          <w:vertAlign w:val="subscript"/>
        </w:rPr>
        <w:t>t</w:t>
      </w:r>
      <w:proofErr w:type="spellEnd"/>
      <w:r w:rsidRPr="006C549B">
        <w:rPr>
          <w:rFonts w:ascii="Arial" w:hAnsi="Arial" w:cs="Arial"/>
        </w:rPr>
        <w:t xml:space="preserve"> = β</w:t>
      </w:r>
      <w:r w:rsidRPr="006C549B">
        <w:rPr>
          <w:rFonts w:ascii="Arial" w:hAnsi="Arial" w:cs="Arial"/>
          <w:vertAlign w:val="subscript"/>
        </w:rPr>
        <w:t>0</w:t>
      </w:r>
      <w:r w:rsidRPr="006C549B">
        <w:rPr>
          <w:rFonts w:ascii="Arial" w:hAnsi="Arial" w:cs="Arial"/>
        </w:rPr>
        <w:t xml:space="preserve"> + β</w:t>
      </w:r>
      <w:r w:rsidRPr="006C549B">
        <w:rPr>
          <w:rFonts w:ascii="Arial" w:hAnsi="Arial" w:cs="Arial"/>
          <w:vertAlign w:val="subscript"/>
        </w:rPr>
        <w:t>1</w:t>
      </w:r>
      <w:r w:rsidRPr="006C549B">
        <w:rPr>
          <w:rFonts w:ascii="Arial" w:hAnsi="Arial" w:cs="Arial"/>
        </w:rPr>
        <w:t>(</w:t>
      </w:r>
      <w:proofErr w:type="spellStart"/>
      <w:r w:rsidRPr="006C549B">
        <w:rPr>
          <w:rFonts w:ascii="Arial" w:hAnsi="Arial" w:cs="Arial"/>
        </w:rPr>
        <w:t>time</w:t>
      </w:r>
      <w:r w:rsidRPr="006C549B">
        <w:rPr>
          <w:rFonts w:ascii="Arial" w:hAnsi="Arial" w:cs="Arial"/>
          <w:vertAlign w:val="subscript"/>
        </w:rPr>
        <w:t>t</w:t>
      </w:r>
      <w:proofErr w:type="spellEnd"/>
      <w:r w:rsidRPr="006C549B">
        <w:rPr>
          <w:rFonts w:ascii="Arial" w:hAnsi="Arial" w:cs="Arial"/>
        </w:rPr>
        <w:t xml:space="preserve">) </w:t>
      </w:r>
    </w:p>
    <w:p w14:paraId="4E39A0EE" w14:textId="77777777" w:rsidR="00CB2B6F" w:rsidRPr="006C549B" w:rsidRDefault="00CB2B6F" w:rsidP="008807A9">
      <w:pPr>
        <w:spacing w:after="0" w:line="240" w:lineRule="auto"/>
        <w:ind w:left="2160"/>
        <w:rPr>
          <w:rFonts w:ascii="Arial" w:hAnsi="Arial" w:cs="Arial"/>
        </w:rPr>
      </w:pPr>
      <w:r w:rsidRPr="006C549B">
        <w:rPr>
          <w:rFonts w:ascii="Arial" w:hAnsi="Arial" w:cs="Arial"/>
        </w:rPr>
        <w:t>+ β</w:t>
      </w:r>
      <w:r w:rsidRPr="006C549B">
        <w:rPr>
          <w:rFonts w:ascii="Arial" w:hAnsi="Arial" w:cs="Arial"/>
          <w:vertAlign w:val="subscript"/>
        </w:rPr>
        <w:t>2</w:t>
      </w:r>
      <w:r w:rsidRPr="006C549B">
        <w:rPr>
          <w:rFonts w:ascii="Arial" w:hAnsi="Arial" w:cs="Arial"/>
        </w:rPr>
        <w:t>(initiative level) + β</w:t>
      </w:r>
      <w:r w:rsidRPr="006C549B">
        <w:rPr>
          <w:rFonts w:ascii="Arial" w:hAnsi="Arial" w:cs="Arial"/>
          <w:vertAlign w:val="subscript"/>
        </w:rPr>
        <w:t>3</w:t>
      </w:r>
      <w:r w:rsidRPr="006C549B">
        <w:rPr>
          <w:rFonts w:ascii="Arial" w:hAnsi="Arial" w:cs="Arial"/>
        </w:rPr>
        <w:t xml:space="preserve">(initiative </w:t>
      </w:r>
      <w:proofErr w:type="spellStart"/>
      <w:r w:rsidRPr="006C549B">
        <w:rPr>
          <w:rFonts w:ascii="Arial" w:hAnsi="Arial" w:cs="Arial"/>
        </w:rPr>
        <w:t>trend</w:t>
      </w:r>
      <w:r w:rsidRPr="006C549B">
        <w:rPr>
          <w:rFonts w:ascii="Arial" w:hAnsi="Arial" w:cs="Arial"/>
          <w:vertAlign w:val="subscript"/>
        </w:rPr>
        <w:t>t</w:t>
      </w:r>
      <w:proofErr w:type="spellEnd"/>
      <w:r w:rsidRPr="006C549B">
        <w:rPr>
          <w:rFonts w:ascii="Arial" w:hAnsi="Arial" w:cs="Arial"/>
        </w:rPr>
        <w:t>)</w:t>
      </w:r>
    </w:p>
    <w:p w14:paraId="13DFB802" w14:textId="77777777" w:rsidR="00CB2B6F" w:rsidRPr="006C549B" w:rsidRDefault="00CB2B6F" w:rsidP="008807A9">
      <w:pPr>
        <w:spacing w:after="0" w:line="240" w:lineRule="auto"/>
        <w:ind w:left="2160"/>
        <w:rPr>
          <w:rFonts w:ascii="Arial" w:hAnsi="Arial" w:cs="Arial"/>
        </w:rPr>
      </w:pPr>
      <w:r w:rsidRPr="006C549B">
        <w:rPr>
          <w:rFonts w:ascii="Arial" w:hAnsi="Arial" w:cs="Arial"/>
        </w:rPr>
        <w:t>+ β</w:t>
      </w:r>
      <w:r w:rsidRPr="006C549B">
        <w:rPr>
          <w:rFonts w:ascii="Arial" w:hAnsi="Arial" w:cs="Arial"/>
          <w:vertAlign w:val="subscript"/>
        </w:rPr>
        <w:t>4</w:t>
      </w:r>
      <w:r w:rsidRPr="006C549B">
        <w:rPr>
          <w:rFonts w:ascii="Arial" w:hAnsi="Arial" w:cs="Arial"/>
        </w:rPr>
        <w:t>(legislation level) +</w:t>
      </w:r>
      <w:r w:rsidRPr="006C549B">
        <w:rPr>
          <w:rFonts w:ascii="Arial" w:hAnsi="Arial" w:cs="Arial"/>
          <w:vertAlign w:val="subscript"/>
        </w:rPr>
        <w:t xml:space="preserve"> </w:t>
      </w:r>
      <w:r w:rsidRPr="006C549B">
        <w:rPr>
          <w:rFonts w:ascii="Arial" w:hAnsi="Arial" w:cs="Arial"/>
        </w:rPr>
        <w:t>β</w:t>
      </w:r>
      <w:r w:rsidRPr="006C549B">
        <w:rPr>
          <w:rFonts w:ascii="Arial" w:hAnsi="Arial" w:cs="Arial"/>
          <w:vertAlign w:val="subscript"/>
        </w:rPr>
        <w:t>5</w:t>
      </w:r>
      <w:r w:rsidRPr="006C549B">
        <w:rPr>
          <w:rFonts w:ascii="Arial" w:hAnsi="Arial" w:cs="Arial"/>
        </w:rPr>
        <w:t xml:space="preserve">(legislation </w:t>
      </w:r>
      <w:proofErr w:type="spellStart"/>
      <w:r w:rsidRPr="006C549B">
        <w:rPr>
          <w:rFonts w:ascii="Arial" w:hAnsi="Arial" w:cs="Arial"/>
        </w:rPr>
        <w:t>trend</w:t>
      </w:r>
      <w:r w:rsidRPr="006C549B">
        <w:rPr>
          <w:rFonts w:ascii="Arial" w:hAnsi="Arial" w:cs="Arial"/>
          <w:vertAlign w:val="subscript"/>
        </w:rPr>
        <w:t>t</w:t>
      </w:r>
      <w:proofErr w:type="spellEnd"/>
      <w:r w:rsidRPr="006C549B">
        <w:rPr>
          <w:rFonts w:ascii="Arial" w:hAnsi="Arial" w:cs="Arial"/>
        </w:rPr>
        <w:t xml:space="preserve">) + </w:t>
      </w:r>
      <w:proofErr w:type="spellStart"/>
      <w:r w:rsidRPr="006C549B">
        <w:rPr>
          <w:rFonts w:ascii="Arial" w:hAnsi="Arial" w:cs="Arial"/>
        </w:rPr>
        <w:t>ε</w:t>
      </w:r>
      <w:r w:rsidRPr="006C549B">
        <w:rPr>
          <w:rFonts w:ascii="Arial" w:hAnsi="Arial" w:cs="Arial"/>
          <w:vertAlign w:val="subscript"/>
        </w:rPr>
        <w:t>t</w:t>
      </w:r>
      <w:proofErr w:type="spellEnd"/>
      <w:r w:rsidRPr="006C549B">
        <w:rPr>
          <w:rFonts w:ascii="Arial" w:hAnsi="Arial" w:cs="Arial"/>
        </w:rPr>
        <w:t>,</w:t>
      </w:r>
    </w:p>
    <w:p w14:paraId="08A2EDA3" w14:textId="77777777" w:rsidR="00CB2B6F" w:rsidRPr="006C549B" w:rsidRDefault="00CB2B6F" w:rsidP="008807A9">
      <w:pPr>
        <w:spacing w:after="0" w:line="240" w:lineRule="auto"/>
        <w:rPr>
          <w:rFonts w:ascii="Arial" w:hAnsi="Arial" w:cs="Arial"/>
        </w:rPr>
      </w:pPr>
    </w:p>
    <w:p w14:paraId="6D832F93" w14:textId="77777777" w:rsidR="00CB2B6F" w:rsidRPr="006C549B" w:rsidRDefault="00CB2B6F" w:rsidP="008807A9">
      <w:pPr>
        <w:spacing w:after="0" w:line="240" w:lineRule="auto"/>
        <w:rPr>
          <w:rFonts w:ascii="Arial" w:hAnsi="Arial" w:cs="Arial"/>
        </w:rPr>
      </w:pPr>
      <w:r w:rsidRPr="006C549B">
        <w:rPr>
          <w:rFonts w:ascii="Arial" w:hAnsi="Arial" w:cs="Arial"/>
        </w:rPr>
        <w:t xml:space="preserve">where </w:t>
      </w:r>
      <w:r w:rsidRPr="006C549B">
        <w:rPr>
          <w:rFonts w:ascii="Arial" w:hAnsi="Arial" w:cs="Arial"/>
          <w:i/>
          <w:iCs/>
        </w:rPr>
        <w:t>time (t)</w:t>
      </w:r>
      <w:r w:rsidRPr="006C549B">
        <w:rPr>
          <w:rFonts w:ascii="Arial" w:hAnsi="Arial" w:cs="Arial"/>
        </w:rPr>
        <w:t xml:space="preserve"> is a continuous variable representing months since January 2012; </w:t>
      </w:r>
      <w:r w:rsidRPr="006C549B">
        <w:rPr>
          <w:rFonts w:ascii="Arial" w:hAnsi="Arial" w:cs="Arial"/>
          <w:i/>
          <w:iCs/>
        </w:rPr>
        <w:t>initiative level</w:t>
      </w:r>
      <w:r w:rsidRPr="006C549B">
        <w:rPr>
          <w:rFonts w:ascii="Arial" w:hAnsi="Arial" w:cs="Arial"/>
        </w:rPr>
        <w:t xml:space="preserve"> and </w:t>
      </w:r>
      <w:r w:rsidRPr="006C549B">
        <w:rPr>
          <w:rFonts w:ascii="Arial" w:hAnsi="Arial" w:cs="Arial"/>
          <w:i/>
          <w:iCs/>
        </w:rPr>
        <w:t>legislation level</w:t>
      </w:r>
      <w:r w:rsidRPr="006C549B">
        <w:rPr>
          <w:rFonts w:ascii="Arial" w:hAnsi="Arial" w:cs="Arial"/>
        </w:rPr>
        <w:t xml:space="preserve"> are dichotomous variables indicating time before and after each policy change; and </w:t>
      </w:r>
      <w:r w:rsidRPr="006C549B">
        <w:rPr>
          <w:rFonts w:ascii="Arial" w:hAnsi="Arial" w:cs="Arial"/>
          <w:i/>
          <w:iCs/>
        </w:rPr>
        <w:t>initiative trend</w:t>
      </w:r>
      <w:r w:rsidRPr="006C549B">
        <w:rPr>
          <w:rFonts w:ascii="Arial" w:hAnsi="Arial" w:cs="Arial"/>
        </w:rPr>
        <w:t xml:space="preserve"> and </w:t>
      </w:r>
      <w:r w:rsidRPr="006C549B">
        <w:rPr>
          <w:rFonts w:ascii="Arial" w:hAnsi="Arial" w:cs="Arial"/>
          <w:i/>
          <w:iCs/>
        </w:rPr>
        <w:t xml:space="preserve">legislation trend </w:t>
      </w:r>
      <w:r w:rsidRPr="006C549B">
        <w:rPr>
          <w:rFonts w:ascii="Arial" w:hAnsi="Arial" w:cs="Arial"/>
        </w:rPr>
        <w:t xml:space="preserve">are continuous variables set to 0 before the respective policy change and time in years after each policy change. With this specification, β1 estimates the medical board initiative trend of the outcome; β2 and β4 estimate the absolute change in outcome immediately after the enactment of each policy; and β3 and β5 estimate the difference in the pre- and post-policy trajectories of the outcome for each policy. </w:t>
      </w:r>
    </w:p>
    <w:p w14:paraId="5CC4FE6E" w14:textId="77777777" w:rsidR="00CB2B6F" w:rsidRPr="006C549B" w:rsidRDefault="00CB2B6F" w:rsidP="008807A9">
      <w:pPr>
        <w:spacing w:after="0" w:line="240" w:lineRule="auto"/>
        <w:rPr>
          <w:rFonts w:ascii="Arial" w:hAnsi="Arial" w:cs="Arial"/>
        </w:rPr>
      </w:pPr>
    </w:p>
    <w:p w14:paraId="2D6A5A9D" w14:textId="46E3FD0F" w:rsidR="00805DCA" w:rsidRDefault="00CB2B6F" w:rsidP="006C549B">
      <w:pPr>
        <w:spacing w:after="0" w:line="240" w:lineRule="auto"/>
        <w:rPr>
          <w:rFonts w:ascii="Arial" w:hAnsi="Arial" w:cs="Arial"/>
        </w:rPr>
      </w:pPr>
      <w:r w:rsidRPr="006C549B">
        <w:rPr>
          <w:rFonts w:ascii="Arial" w:hAnsi="Arial" w:cs="Arial"/>
        </w:rPr>
        <w:t xml:space="preserve">All analyses of opioid prescribing practices were stratified by pain indication and also by pain indication within cancer status. Benzodiazepine prescribing practices are reported for the full </w:t>
      </w:r>
      <w:r w:rsidRPr="006C549B">
        <w:rPr>
          <w:rFonts w:ascii="Arial" w:hAnsi="Arial" w:cs="Arial"/>
        </w:rPr>
        <w:lastRenderedPageBreak/>
        <w:t>population in prescription rate and days’ supply models. Analyses were conducted using SAS 9.4 (SAS Institute Inc., Cary, NC, USA).</w:t>
      </w:r>
    </w:p>
    <w:p w14:paraId="39480ABC" w14:textId="77777777" w:rsidR="008E7D19" w:rsidRDefault="008E7D19" w:rsidP="006C549B">
      <w:pPr>
        <w:spacing w:after="0" w:line="240" w:lineRule="auto"/>
        <w:rPr>
          <w:rFonts w:ascii="Arial" w:hAnsi="Arial" w:cs="Arial"/>
        </w:rPr>
      </w:pPr>
    </w:p>
    <w:p w14:paraId="38964E68" w14:textId="7AADDD37" w:rsidR="008E7D19" w:rsidRDefault="008E7D19" w:rsidP="006C549B">
      <w:pPr>
        <w:spacing w:after="0" w:line="240" w:lineRule="auto"/>
        <w:rPr>
          <w:rFonts w:ascii="Arial" w:hAnsi="Arial" w:cs="Arial"/>
          <w:b/>
          <w:bCs/>
        </w:rPr>
      </w:pPr>
      <w:r w:rsidRPr="008E7D19">
        <w:rPr>
          <w:rFonts w:ascii="Arial" w:hAnsi="Arial" w:cs="Arial"/>
          <w:b/>
          <w:bCs/>
        </w:rPr>
        <w:t>Supplementary Results</w:t>
      </w:r>
    </w:p>
    <w:p w14:paraId="7B0C8D79" w14:textId="2B9C5CF6" w:rsidR="003557E7" w:rsidRDefault="003557E7" w:rsidP="006C549B">
      <w:pPr>
        <w:spacing w:after="0" w:line="240" w:lineRule="auto"/>
        <w:rPr>
          <w:rFonts w:ascii="Arial" w:hAnsi="Arial" w:cs="Arial"/>
          <w:b/>
          <w:bCs/>
        </w:rPr>
      </w:pPr>
    </w:p>
    <w:p w14:paraId="28A7028A" w14:textId="69D004C7" w:rsidR="003557E7" w:rsidRDefault="003557E7" w:rsidP="006C549B">
      <w:pPr>
        <w:spacing w:after="0" w:line="240" w:lineRule="auto"/>
        <w:rPr>
          <w:rFonts w:ascii="Arial" w:hAnsi="Arial" w:cs="Arial"/>
          <w:b/>
          <w:bCs/>
        </w:rPr>
      </w:pPr>
      <w:r>
        <w:rPr>
          <w:rFonts w:ascii="Arial" w:hAnsi="Arial" w:cs="Arial"/>
          <w:b/>
          <w:bCs/>
        </w:rPr>
        <w:t>Overall</w:t>
      </w:r>
    </w:p>
    <w:p w14:paraId="6C542646" w14:textId="734D3F6A" w:rsidR="003557E7" w:rsidRPr="003557E7" w:rsidRDefault="003557E7" w:rsidP="006C549B">
      <w:pPr>
        <w:spacing w:after="0" w:line="240" w:lineRule="auto"/>
        <w:rPr>
          <w:rFonts w:ascii="Arial" w:hAnsi="Arial" w:cs="Arial"/>
        </w:rPr>
      </w:pPr>
    </w:p>
    <w:p w14:paraId="5EAB3D4A" w14:textId="77777777" w:rsidR="003557E7" w:rsidRPr="003557E7" w:rsidRDefault="003557E7" w:rsidP="003557E7">
      <w:pPr>
        <w:spacing w:after="0" w:line="240" w:lineRule="auto"/>
        <w:rPr>
          <w:rFonts w:ascii="Arial" w:hAnsi="Arial" w:cs="Arial"/>
        </w:rPr>
      </w:pPr>
      <w:r w:rsidRPr="003557E7">
        <w:rPr>
          <w:rFonts w:ascii="Arial" w:hAnsi="Arial" w:cs="Arial"/>
        </w:rPr>
        <w:t>In this sample of North Carolina residents privately insured between January 2012 and August 2018, there was a monthly mean of 796,199 persons without an observed opioid prescription in the previous six months (</w:t>
      </w:r>
      <w:r w:rsidRPr="003557E7">
        <w:rPr>
          <w:rFonts w:ascii="Arial" w:hAnsi="Arial" w:cs="Arial"/>
          <w:b/>
          <w:bCs/>
        </w:rPr>
        <w:t>Supplementary Table 4</w:t>
      </w:r>
      <w:r w:rsidRPr="003557E7">
        <w:rPr>
          <w:rFonts w:ascii="Arial" w:hAnsi="Arial" w:cs="Arial"/>
        </w:rPr>
        <w:t>). A minority of the study population (mean of 35,195 persons per month) had a previous or current cancer diagnosis. Among those with cancer history, a monthly average of 469 persons with postsurgical pain, 197 persons with acute pain, and 272 persons with chronic pain indications were newly prescribed an opioid. Among those with no cancer history (mean of 761,003 per month), a monthly average of 1,871, 1,595, and 1,820 persons were newly prescribed an opioid for postsurgical, acute, and chronic pain, respectively (</w:t>
      </w:r>
      <w:r w:rsidRPr="003557E7">
        <w:rPr>
          <w:rFonts w:ascii="Arial" w:hAnsi="Arial" w:cs="Arial"/>
          <w:b/>
          <w:bCs/>
        </w:rPr>
        <w:t>Supplementary Table 4</w:t>
      </w:r>
      <w:r w:rsidRPr="003557E7">
        <w:rPr>
          <w:rFonts w:ascii="Arial" w:hAnsi="Arial" w:cs="Arial"/>
        </w:rPr>
        <w:t xml:space="preserve">). </w:t>
      </w:r>
    </w:p>
    <w:p w14:paraId="6A5B21A9" w14:textId="77777777" w:rsidR="003557E7" w:rsidRPr="003557E7" w:rsidRDefault="003557E7" w:rsidP="003557E7">
      <w:pPr>
        <w:spacing w:after="0" w:line="240" w:lineRule="auto"/>
        <w:rPr>
          <w:rFonts w:ascii="Arial" w:hAnsi="Arial" w:cs="Arial"/>
        </w:rPr>
      </w:pPr>
    </w:p>
    <w:p w14:paraId="4527522C" w14:textId="3F7ACB2C" w:rsidR="003557E7" w:rsidRDefault="003557E7" w:rsidP="003557E7">
      <w:pPr>
        <w:spacing w:after="0" w:line="240" w:lineRule="auto"/>
        <w:rPr>
          <w:rFonts w:ascii="Arial" w:hAnsi="Arial" w:cs="Arial"/>
        </w:rPr>
      </w:pPr>
      <w:r w:rsidRPr="003557E7">
        <w:rPr>
          <w:rFonts w:ascii="Arial" w:hAnsi="Arial" w:cs="Arial"/>
        </w:rPr>
        <w:t>On average per month, 838,340 persons had not received a benzodiazepine prescription in the previous six months and 4,398 persons received a new benzodiazepine prescription. A monthly mean of 197 persons with acute pain and 272 persons with chronic pain received an incident benzodiazepine prescription (</w:t>
      </w:r>
      <w:r w:rsidRPr="003557E7">
        <w:rPr>
          <w:rFonts w:ascii="Arial" w:hAnsi="Arial" w:cs="Arial"/>
          <w:b/>
          <w:bCs/>
        </w:rPr>
        <w:t>Supplementary Table 4</w:t>
      </w:r>
      <w:r w:rsidRPr="003557E7">
        <w:rPr>
          <w:rFonts w:ascii="Arial" w:hAnsi="Arial" w:cs="Arial"/>
        </w:rPr>
        <w:t>).</w:t>
      </w:r>
    </w:p>
    <w:p w14:paraId="64D136E4" w14:textId="00D58097" w:rsidR="00CF22D0" w:rsidRDefault="00CF22D0" w:rsidP="003557E7">
      <w:pPr>
        <w:spacing w:after="0" w:line="240" w:lineRule="auto"/>
        <w:rPr>
          <w:rFonts w:ascii="Arial" w:hAnsi="Arial" w:cs="Arial"/>
        </w:rPr>
      </w:pPr>
    </w:p>
    <w:p w14:paraId="097569B6" w14:textId="77777777" w:rsidR="00CF22D0" w:rsidRPr="00CF22D0" w:rsidRDefault="00CF22D0" w:rsidP="00CF22D0">
      <w:pPr>
        <w:spacing w:after="0" w:line="240" w:lineRule="auto"/>
        <w:rPr>
          <w:rFonts w:ascii="Arial" w:hAnsi="Arial" w:cs="Arial"/>
        </w:rPr>
      </w:pPr>
      <w:r w:rsidRPr="00CF22D0">
        <w:rPr>
          <w:rFonts w:ascii="Arial" w:hAnsi="Arial" w:cs="Arial"/>
        </w:rPr>
        <w:t>At the start of the study, the rates of new opioid prescriptions were 31.67, 31.11, and 24.52 per 10,000 person-months (PM) among patients with chronic, postsurgical, or acute pain, respectively (</w:t>
      </w:r>
      <w:r w:rsidRPr="00CF22D0">
        <w:rPr>
          <w:rFonts w:ascii="Arial" w:hAnsi="Arial" w:cs="Arial"/>
          <w:b/>
          <w:bCs/>
        </w:rPr>
        <w:t>Figure 1</w:t>
      </w:r>
      <w:r w:rsidRPr="00CF22D0">
        <w:rPr>
          <w:rFonts w:ascii="Arial" w:hAnsi="Arial" w:cs="Arial"/>
        </w:rPr>
        <w:t>). The rate of new benzodiazepines prescriptions was 57.39 per 10,000 PM. These rates remained stable until 2015, a year before the medical board initiative, when the rates for acute and chronic pain indications and benzodiazepines began a slow decline; postsurgical rates remained stable and started increasing after the initiative. Immediately following the legislative action, there was no notable change in the rate of new opioid prescriptions for acute pain, a small decline for chronic pain, and a larger decline for postsurgical pain; at the same time, the rate of benzodiazepine prescriptions also showed a small decline. Persons with a cancer history had more than double the rates of new opioid prescriptions within all pain groups compared to those with no cancer history (at the start of the study period, postsurgical pain: 158.70 vs. 26.44; chronic pain: 97.63 vs. 29.26; and acute pain: 64.18 vs. 23.07 per 10,000 person months) (</w:t>
      </w:r>
      <w:r w:rsidRPr="00CF22D0">
        <w:rPr>
          <w:rFonts w:ascii="Arial" w:hAnsi="Arial" w:cs="Arial"/>
          <w:b/>
          <w:bCs/>
        </w:rPr>
        <w:t>Figure 1</w:t>
      </w:r>
      <w:r w:rsidRPr="00CF22D0">
        <w:rPr>
          <w:rFonts w:ascii="Arial" w:hAnsi="Arial" w:cs="Arial"/>
        </w:rPr>
        <w:t>). Compared to the unstratified patterns in the study population, notable differences among persons with a cancer history are evident in the rates of new prescriptions for postsurgical and chronic pains, which appear to fall at the implementation of the state legislation. Among persons with no cancer history, rates of new opioid and benzodiazepine prescriptions were similar to overall (non-stratified) trends throughout the study period (</w:t>
      </w:r>
      <w:r w:rsidRPr="00CF22D0">
        <w:rPr>
          <w:rFonts w:ascii="Arial" w:hAnsi="Arial" w:cs="Arial"/>
          <w:b/>
          <w:bCs/>
        </w:rPr>
        <w:t>Figure 1</w:t>
      </w:r>
      <w:r w:rsidRPr="00CF22D0">
        <w:rPr>
          <w:rFonts w:ascii="Arial" w:hAnsi="Arial" w:cs="Arial"/>
        </w:rPr>
        <w:t xml:space="preserve">). </w:t>
      </w:r>
    </w:p>
    <w:p w14:paraId="78651A65" w14:textId="77777777" w:rsidR="00CF22D0" w:rsidRPr="00CF22D0" w:rsidRDefault="00CF22D0" w:rsidP="00CF22D0">
      <w:pPr>
        <w:spacing w:after="0" w:line="240" w:lineRule="auto"/>
        <w:rPr>
          <w:rFonts w:ascii="Arial" w:hAnsi="Arial" w:cs="Arial"/>
        </w:rPr>
      </w:pPr>
    </w:p>
    <w:p w14:paraId="59B28622" w14:textId="77777777" w:rsidR="00CF22D0" w:rsidRPr="00CF22D0" w:rsidRDefault="00CF22D0" w:rsidP="00CF22D0">
      <w:pPr>
        <w:spacing w:after="0" w:line="240" w:lineRule="auto"/>
        <w:rPr>
          <w:rFonts w:ascii="Arial" w:hAnsi="Arial" w:cs="Arial"/>
        </w:rPr>
      </w:pPr>
      <w:r w:rsidRPr="00CF22D0">
        <w:rPr>
          <w:rFonts w:ascii="Arial" w:hAnsi="Arial" w:cs="Arial"/>
        </w:rPr>
        <w:t>From 2012 to the introduction of the state legislation in 2018, mean days’ supply was fairly constant within all prescription groups, at 16 to 17 days’ supply for benzodiazepines, just under 10 days’ supply among persons who were prescribed opioids for chronic pain, and 4 to 6 days’ supply for those prescribed opioids for postsurgical or acute pain (</w:t>
      </w:r>
      <w:r w:rsidRPr="00CF22D0">
        <w:rPr>
          <w:rFonts w:ascii="Arial" w:hAnsi="Arial" w:cs="Arial"/>
          <w:b/>
          <w:bCs/>
        </w:rPr>
        <w:t>Figure 2</w:t>
      </w:r>
      <w:r w:rsidRPr="00CF22D0">
        <w:rPr>
          <w:rFonts w:ascii="Arial" w:hAnsi="Arial" w:cs="Arial"/>
        </w:rPr>
        <w:t>). When stratifying mean days’ supply by persons with and without a cancer history, similar visual observations were observed for all pain groups.</w:t>
      </w:r>
    </w:p>
    <w:p w14:paraId="30D0A07E" w14:textId="77777777" w:rsidR="00CF22D0" w:rsidRPr="00CF22D0" w:rsidRDefault="00CF22D0" w:rsidP="00CF22D0">
      <w:pPr>
        <w:spacing w:after="0" w:line="240" w:lineRule="auto"/>
        <w:rPr>
          <w:rFonts w:ascii="Arial" w:hAnsi="Arial" w:cs="Arial"/>
        </w:rPr>
      </w:pPr>
    </w:p>
    <w:p w14:paraId="19B2C02E" w14:textId="4EA9C8F4" w:rsidR="00CF22D0" w:rsidRPr="003557E7" w:rsidRDefault="00CF22D0" w:rsidP="00CF22D0">
      <w:pPr>
        <w:spacing w:after="0" w:line="240" w:lineRule="auto"/>
        <w:rPr>
          <w:rFonts w:ascii="Arial" w:hAnsi="Arial" w:cs="Arial"/>
        </w:rPr>
      </w:pPr>
      <w:r w:rsidRPr="00CF22D0">
        <w:rPr>
          <w:rFonts w:ascii="Arial" w:hAnsi="Arial" w:cs="Arial"/>
        </w:rPr>
        <w:t xml:space="preserve">At the start of the study, mean daily MME of initial opioid prescriptions ranged from 59.42 for postsurgical pain to 36.87 for acute pain and 30.66 for chronic pain, and declined gradually in all </w:t>
      </w:r>
      <w:r w:rsidRPr="00CF22D0">
        <w:rPr>
          <w:rFonts w:ascii="Arial" w:hAnsi="Arial" w:cs="Arial"/>
        </w:rPr>
        <w:lastRenderedPageBreak/>
        <w:t>groups throughout the study period (</w:t>
      </w:r>
      <w:r w:rsidRPr="00CF22D0">
        <w:rPr>
          <w:rFonts w:ascii="Arial" w:hAnsi="Arial" w:cs="Arial"/>
          <w:b/>
          <w:bCs/>
        </w:rPr>
        <w:t>Figure 3</w:t>
      </w:r>
      <w:r w:rsidRPr="00CF22D0">
        <w:rPr>
          <w:rFonts w:ascii="Arial" w:hAnsi="Arial" w:cs="Arial"/>
        </w:rPr>
        <w:t>). Persons with a cancer history and those without such history experienced trends in daily MME that were very similar to the unstratified analysis.</w:t>
      </w:r>
    </w:p>
    <w:p w14:paraId="41281D7D" w14:textId="77777777" w:rsidR="008E7D19" w:rsidRDefault="008E7D19" w:rsidP="006C549B">
      <w:pPr>
        <w:spacing w:after="0" w:line="240" w:lineRule="auto"/>
        <w:rPr>
          <w:rFonts w:ascii="Arial" w:hAnsi="Arial" w:cs="Arial"/>
        </w:rPr>
      </w:pPr>
    </w:p>
    <w:p w14:paraId="110DB279" w14:textId="047F1EA1" w:rsidR="008E7D19" w:rsidRPr="008E7D19" w:rsidRDefault="008E7D19" w:rsidP="008E7D19">
      <w:pPr>
        <w:spacing w:line="240" w:lineRule="auto"/>
        <w:rPr>
          <w:rFonts w:ascii="Arial" w:eastAsia="Times New Roman" w:hAnsi="Arial" w:cs="Arial"/>
          <w:b/>
          <w:bCs/>
        </w:rPr>
      </w:pPr>
      <w:r w:rsidRPr="00791C52">
        <w:rPr>
          <w:rFonts w:ascii="Arial" w:eastAsia="Times New Roman" w:hAnsi="Arial" w:cs="Arial"/>
          <w:b/>
          <w:bCs/>
        </w:rPr>
        <w:t>Sensitivity Analysis</w:t>
      </w:r>
    </w:p>
    <w:p w14:paraId="6373F6B1" w14:textId="2499D06E" w:rsidR="00F34C81" w:rsidRPr="006C549B" w:rsidRDefault="00440460" w:rsidP="006C549B">
      <w:pPr>
        <w:spacing w:after="0" w:line="240" w:lineRule="auto"/>
        <w:rPr>
          <w:rFonts w:ascii="Times New Roman" w:hAnsi="Times New Roman" w:cs="Times New Roman"/>
          <w:sz w:val="20"/>
          <w:szCs w:val="20"/>
        </w:rPr>
      </w:pPr>
      <w:r>
        <w:rPr>
          <w:rFonts w:ascii="Arial" w:eastAsia="Times New Roman" w:hAnsi="Arial" w:cs="Arial"/>
        </w:rPr>
        <w:t>When advancing</w:t>
      </w:r>
      <w:r w:rsidRPr="00617313">
        <w:rPr>
          <w:rFonts w:ascii="Arial" w:eastAsia="Times New Roman" w:hAnsi="Arial" w:cs="Arial"/>
        </w:rPr>
        <w:t xml:space="preserve"> the start date of the legislative action by three months to align with the date of the insurer’s internal policy, an immediate sharp decline in days’ supply of initial opioid prescriptions was observed in persons with chronic pain overall and by cancer status</w:t>
      </w:r>
      <w:r>
        <w:rPr>
          <w:rFonts w:ascii="Arial" w:eastAsia="Times New Roman" w:hAnsi="Arial" w:cs="Arial"/>
        </w:rPr>
        <w:t>, relative to benzodiazepines</w:t>
      </w:r>
      <w:r w:rsidRPr="00617313">
        <w:rPr>
          <w:rFonts w:ascii="Arial" w:eastAsia="Times New Roman" w:hAnsi="Arial" w:cs="Arial"/>
        </w:rPr>
        <w:t xml:space="preserve"> (overall </w:t>
      </w:r>
      <w:proofErr w:type="spellStart"/>
      <w:r w:rsidRPr="00617313">
        <w:rPr>
          <w:rFonts w:ascii="Arial" w:eastAsia="Times New Roman" w:hAnsi="Arial" w:cs="Arial"/>
        </w:rPr>
        <w:t>cRD</w:t>
      </w:r>
      <w:proofErr w:type="spellEnd"/>
      <w:r w:rsidRPr="00617313">
        <w:rPr>
          <w:rFonts w:ascii="Arial" w:eastAsia="Times New Roman" w:hAnsi="Arial" w:cs="Arial"/>
        </w:rPr>
        <w:t xml:space="preserve">: -3.39 [95% CI: -4.18, -2.61]; history of cancer </w:t>
      </w:r>
      <w:proofErr w:type="spellStart"/>
      <w:r w:rsidRPr="00617313">
        <w:rPr>
          <w:rFonts w:ascii="Arial" w:eastAsia="Times New Roman" w:hAnsi="Arial" w:cs="Arial"/>
        </w:rPr>
        <w:t>cRD</w:t>
      </w:r>
      <w:proofErr w:type="spellEnd"/>
      <w:r w:rsidRPr="00617313">
        <w:rPr>
          <w:rFonts w:ascii="Arial" w:eastAsia="Times New Roman" w:hAnsi="Arial" w:cs="Arial"/>
        </w:rPr>
        <w:t xml:space="preserve">: -3.01 [95: CI: -4.41, -1.61]; no history of cancer </w:t>
      </w:r>
      <w:proofErr w:type="spellStart"/>
      <w:r w:rsidRPr="00617313">
        <w:rPr>
          <w:rFonts w:ascii="Arial" w:eastAsia="Times New Roman" w:hAnsi="Arial" w:cs="Arial"/>
        </w:rPr>
        <w:t>cRD</w:t>
      </w:r>
      <w:proofErr w:type="spellEnd"/>
      <w:r w:rsidRPr="00617313">
        <w:rPr>
          <w:rFonts w:ascii="Arial" w:eastAsia="Times New Roman" w:hAnsi="Arial" w:cs="Arial"/>
        </w:rPr>
        <w:t xml:space="preserve">: -3.49 [95% CI: -4.28, -2.70] mean days’ supply), with slight to no declines observed in other pain groups immediately after policy implementation (postsurgical overall </w:t>
      </w:r>
      <w:proofErr w:type="spellStart"/>
      <w:r w:rsidRPr="00617313">
        <w:rPr>
          <w:rFonts w:ascii="Arial" w:eastAsia="Times New Roman" w:hAnsi="Arial" w:cs="Arial"/>
        </w:rPr>
        <w:t>cRD</w:t>
      </w:r>
      <w:proofErr w:type="spellEnd"/>
      <w:r w:rsidRPr="00617313">
        <w:rPr>
          <w:rFonts w:ascii="Arial" w:eastAsia="Times New Roman" w:hAnsi="Arial" w:cs="Arial"/>
        </w:rPr>
        <w:t xml:space="preserve">: -0.30 [95% CI: -1.11, 0.51]; acute overall </w:t>
      </w:r>
      <w:proofErr w:type="spellStart"/>
      <w:r w:rsidRPr="00617313">
        <w:rPr>
          <w:rFonts w:ascii="Arial" w:eastAsia="Times New Roman" w:hAnsi="Arial" w:cs="Arial"/>
        </w:rPr>
        <w:t>cRD</w:t>
      </w:r>
      <w:proofErr w:type="spellEnd"/>
      <w:r w:rsidRPr="00617313">
        <w:rPr>
          <w:rFonts w:ascii="Arial" w:eastAsia="Times New Roman" w:hAnsi="Arial" w:cs="Arial"/>
        </w:rPr>
        <w:t>: -0.39 [95% CI: -1.19, 0.42] mean days’ supply) (</w:t>
      </w:r>
      <w:r w:rsidRPr="00194E99">
        <w:rPr>
          <w:rFonts w:ascii="Arial" w:eastAsia="Times New Roman" w:hAnsi="Arial" w:cs="Arial"/>
          <w:b/>
          <w:bCs/>
        </w:rPr>
        <w:t xml:space="preserve">Supplementary Table </w:t>
      </w:r>
      <w:r>
        <w:rPr>
          <w:rFonts w:ascii="Arial" w:eastAsia="Times New Roman" w:hAnsi="Arial" w:cs="Arial"/>
          <w:b/>
          <w:bCs/>
        </w:rPr>
        <w:t>5</w:t>
      </w:r>
      <w:r w:rsidRPr="00617313">
        <w:rPr>
          <w:rFonts w:ascii="Arial" w:eastAsia="Times New Roman" w:hAnsi="Arial" w:cs="Arial"/>
        </w:rPr>
        <w:t>)</w:t>
      </w:r>
      <w:r>
        <w:rPr>
          <w:rFonts w:ascii="Arial" w:eastAsia="Times New Roman" w:hAnsi="Arial" w:cs="Arial"/>
        </w:rPr>
        <w:t>.</w:t>
      </w:r>
    </w:p>
    <w:p w14:paraId="235F72EC" w14:textId="77777777" w:rsidR="008E7D19" w:rsidRDefault="008E7D19">
      <w:pPr>
        <w:rPr>
          <w:rFonts w:ascii="Arial" w:hAnsi="Arial" w:cs="Arial"/>
          <w:b/>
          <w:bCs/>
        </w:rPr>
      </w:pPr>
      <w:r>
        <w:rPr>
          <w:rFonts w:ascii="Arial" w:hAnsi="Arial" w:cs="Arial"/>
          <w:b/>
          <w:bCs/>
        </w:rPr>
        <w:br w:type="page"/>
      </w:r>
    </w:p>
    <w:p w14:paraId="5D366478" w14:textId="334619FB" w:rsidR="00C47BC4" w:rsidRPr="00F7778C" w:rsidRDefault="00F7778C" w:rsidP="00C859B8">
      <w:pPr>
        <w:spacing w:line="240" w:lineRule="auto"/>
        <w:rPr>
          <w:rFonts w:ascii="Arial" w:eastAsia="Times New Roman" w:hAnsi="Arial" w:cs="Arial"/>
          <w:b/>
          <w:bCs/>
          <w:color w:val="000000" w:themeColor="text1"/>
        </w:rPr>
      </w:pPr>
      <w:r w:rsidRPr="00F7778C">
        <w:rPr>
          <w:rFonts w:ascii="Arial" w:hAnsi="Arial" w:cs="Arial"/>
          <w:b/>
          <w:bCs/>
        </w:rPr>
        <w:lastRenderedPageBreak/>
        <w:t xml:space="preserve">Supplementary </w:t>
      </w:r>
      <w:r w:rsidR="00C47BC4" w:rsidRPr="00F7778C">
        <w:rPr>
          <w:rFonts w:ascii="Arial" w:eastAsia="Times New Roman" w:hAnsi="Arial" w:cs="Arial"/>
          <w:b/>
          <w:bCs/>
          <w:color w:val="000000" w:themeColor="text1"/>
        </w:rPr>
        <w:t>Table 1. Prescription opioids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tblGrid>
      <w:tr w:rsidR="00C47BC4" w:rsidRPr="00A36E3A" w14:paraId="01767F73" w14:textId="77777777" w:rsidTr="001908F3">
        <w:tc>
          <w:tcPr>
            <w:tcW w:w="2970" w:type="dxa"/>
            <w:tcBorders>
              <w:top w:val="single" w:sz="4" w:space="0" w:color="auto"/>
              <w:bottom w:val="single" w:sz="4" w:space="0" w:color="auto"/>
            </w:tcBorders>
          </w:tcPr>
          <w:p w14:paraId="0AB94AC8" w14:textId="77777777" w:rsidR="00C47BC4" w:rsidRPr="00A36E3A" w:rsidRDefault="00C47BC4" w:rsidP="001908F3">
            <w:pPr>
              <w:rPr>
                <w:rFonts w:ascii="Arial" w:eastAsia="Times New Roman" w:hAnsi="Arial" w:cs="Arial"/>
                <w:b/>
                <w:bCs/>
                <w:color w:val="000000" w:themeColor="text1"/>
                <w:sz w:val="20"/>
                <w:szCs w:val="20"/>
              </w:rPr>
            </w:pPr>
            <w:r w:rsidRPr="00A36E3A">
              <w:rPr>
                <w:rFonts w:ascii="Arial" w:eastAsia="Times New Roman" w:hAnsi="Arial" w:cs="Arial"/>
                <w:b/>
                <w:bCs/>
                <w:color w:val="000000" w:themeColor="text1"/>
                <w:sz w:val="20"/>
                <w:szCs w:val="20"/>
              </w:rPr>
              <w:t>Opioid Ingredient</w:t>
            </w:r>
          </w:p>
        </w:tc>
      </w:tr>
      <w:tr w:rsidR="00C47BC4" w:rsidRPr="00A36E3A" w14:paraId="4A4E2D00" w14:textId="77777777" w:rsidTr="001908F3">
        <w:tc>
          <w:tcPr>
            <w:tcW w:w="2970" w:type="dxa"/>
            <w:tcBorders>
              <w:top w:val="single" w:sz="4" w:space="0" w:color="auto"/>
            </w:tcBorders>
          </w:tcPr>
          <w:p w14:paraId="3A04195F" w14:textId="77777777" w:rsidR="00C47BC4" w:rsidRPr="00A36E3A" w:rsidRDefault="00C47BC4" w:rsidP="001908F3">
            <w:pPr>
              <w:rPr>
                <w:rFonts w:ascii="Arial" w:eastAsia="Times New Roman" w:hAnsi="Arial" w:cs="Arial"/>
                <w:color w:val="000000" w:themeColor="text1"/>
                <w:sz w:val="20"/>
                <w:szCs w:val="20"/>
              </w:rPr>
            </w:pPr>
            <w:r w:rsidRPr="00A36E3A">
              <w:rPr>
                <w:rFonts w:ascii="Arial" w:eastAsia="Times New Roman" w:hAnsi="Arial" w:cs="Arial"/>
                <w:color w:val="000000" w:themeColor="text1"/>
                <w:sz w:val="20"/>
                <w:szCs w:val="20"/>
              </w:rPr>
              <w:t xml:space="preserve">Codeine </w:t>
            </w:r>
          </w:p>
        </w:tc>
      </w:tr>
      <w:tr w:rsidR="00C47BC4" w:rsidRPr="00A36E3A" w14:paraId="7920EE58" w14:textId="77777777" w:rsidTr="001908F3">
        <w:tc>
          <w:tcPr>
            <w:tcW w:w="2970" w:type="dxa"/>
          </w:tcPr>
          <w:p w14:paraId="342135FD" w14:textId="77777777" w:rsidR="00C47BC4" w:rsidRPr="00A36E3A" w:rsidRDefault="00C47BC4" w:rsidP="001908F3">
            <w:pPr>
              <w:rPr>
                <w:rFonts w:ascii="Arial" w:eastAsia="Times New Roman" w:hAnsi="Arial" w:cs="Arial"/>
                <w:color w:val="000000" w:themeColor="text1"/>
                <w:sz w:val="20"/>
                <w:szCs w:val="20"/>
              </w:rPr>
            </w:pPr>
            <w:r w:rsidRPr="00A36E3A">
              <w:rPr>
                <w:rFonts w:ascii="Arial" w:eastAsia="Times New Roman" w:hAnsi="Arial" w:cs="Arial"/>
                <w:color w:val="000000" w:themeColor="text1"/>
                <w:sz w:val="20"/>
                <w:szCs w:val="20"/>
              </w:rPr>
              <w:t xml:space="preserve">Dihydrocodeine </w:t>
            </w:r>
          </w:p>
        </w:tc>
      </w:tr>
      <w:tr w:rsidR="00C47BC4" w:rsidRPr="00A36E3A" w14:paraId="50455A64" w14:textId="77777777" w:rsidTr="001908F3">
        <w:tc>
          <w:tcPr>
            <w:tcW w:w="2970" w:type="dxa"/>
          </w:tcPr>
          <w:p w14:paraId="7F649216" w14:textId="77777777" w:rsidR="00C47BC4" w:rsidRPr="00A36E3A" w:rsidRDefault="00C47BC4" w:rsidP="001908F3">
            <w:pPr>
              <w:rPr>
                <w:rFonts w:ascii="Arial" w:eastAsia="Times New Roman" w:hAnsi="Arial" w:cs="Arial"/>
                <w:color w:val="000000" w:themeColor="text1"/>
                <w:sz w:val="20"/>
                <w:szCs w:val="20"/>
              </w:rPr>
            </w:pPr>
            <w:r w:rsidRPr="00A36E3A">
              <w:rPr>
                <w:rFonts w:ascii="Arial" w:eastAsia="Times New Roman" w:hAnsi="Arial" w:cs="Arial"/>
                <w:color w:val="000000" w:themeColor="text1"/>
                <w:sz w:val="20"/>
                <w:szCs w:val="20"/>
              </w:rPr>
              <w:t>Fentanyl</w:t>
            </w:r>
          </w:p>
        </w:tc>
      </w:tr>
      <w:tr w:rsidR="00C47BC4" w:rsidRPr="00A36E3A" w14:paraId="75A02DE0" w14:textId="77777777" w:rsidTr="001908F3">
        <w:tc>
          <w:tcPr>
            <w:tcW w:w="2970" w:type="dxa"/>
          </w:tcPr>
          <w:p w14:paraId="0FA986AC" w14:textId="77777777" w:rsidR="00C47BC4" w:rsidRPr="00A36E3A" w:rsidRDefault="00C47BC4" w:rsidP="001908F3">
            <w:pPr>
              <w:rPr>
                <w:rFonts w:ascii="Arial" w:eastAsia="Times New Roman" w:hAnsi="Arial" w:cs="Arial"/>
                <w:color w:val="000000" w:themeColor="text1"/>
                <w:sz w:val="20"/>
                <w:szCs w:val="20"/>
              </w:rPr>
            </w:pPr>
            <w:r w:rsidRPr="00A36E3A">
              <w:rPr>
                <w:rFonts w:ascii="Arial" w:eastAsia="Times New Roman" w:hAnsi="Arial" w:cs="Arial"/>
                <w:color w:val="000000" w:themeColor="text1"/>
                <w:sz w:val="20"/>
                <w:szCs w:val="20"/>
              </w:rPr>
              <w:t>Hydrocodone</w:t>
            </w:r>
          </w:p>
        </w:tc>
      </w:tr>
      <w:tr w:rsidR="00C47BC4" w:rsidRPr="00A36E3A" w14:paraId="14593876" w14:textId="77777777" w:rsidTr="001908F3">
        <w:tc>
          <w:tcPr>
            <w:tcW w:w="2970" w:type="dxa"/>
          </w:tcPr>
          <w:p w14:paraId="1D0CEFD3" w14:textId="77777777" w:rsidR="00C47BC4" w:rsidRPr="00A36E3A" w:rsidRDefault="00C47BC4" w:rsidP="001908F3">
            <w:pPr>
              <w:rPr>
                <w:rFonts w:ascii="Arial" w:eastAsia="Times New Roman" w:hAnsi="Arial" w:cs="Arial"/>
                <w:color w:val="000000" w:themeColor="text1"/>
                <w:sz w:val="20"/>
                <w:szCs w:val="20"/>
              </w:rPr>
            </w:pPr>
            <w:r w:rsidRPr="00A36E3A">
              <w:rPr>
                <w:rFonts w:ascii="Arial" w:eastAsia="Times New Roman" w:hAnsi="Arial" w:cs="Arial"/>
                <w:color w:val="000000" w:themeColor="text1"/>
                <w:sz w:val="20"/>
                <w:szCs w:val="20"/>
              </w:rPr>
              <w:t>Hydromorphone</w:t>
            </w:r>
          </w:p>
        </w:tc>
      </w:tr>
      <w:tr w:rsidR="00C47BC4" w:rsidRPr="00A36E3A" w14:paraId="1BD1C894" w14:textId="77777777" w:rsidTr="001908F3">
        <w:tc>
          <w:tcPr>
            <w:tcW w:w="2970" w:type="dxa"/>
          </w:tcPr>
          <w:p w14:paraId="3DD7D34B" w14:textId="77777777" w:rsidR="00C47BC4" w:rsidRPr="00A36E3A" w:rsidRDefault="00C47BC4" w:rsidP="001908F3">
            <w:pPr>
              <w:rPr>
                <w:rFonts w:ascii="Arial" w:eastAsia="Times New Roman" w:hAnsi="Arial" w:cs="Arial"/>
                <w:color w:val="000000" w:themeColor="text1"/>
                <w:sz w:val="20"/>
                <w:szCs w:val="20"/>
              </w:rPr>
            </w:pPr>
            <w:r w:rsidRPr="00A36E3A">
              <w:rPr>
                <w:rFonts w:ascii="Arial" w:eastAsia="Times New Roman" w:hAnsi="Arial" w:cs="Arial"/>
                <w:color w:val="000000" w:themeColor="text1"/>
                <w:sz w:val="20"/>
                <w:szCs w:val="20"/>
              </w:rPr>
              <w:t>Morphine</w:t>
            </w:r>
          </w:p>
        </w:tc>
      </w:tr>
      <w:tr w:rsidR="00C47BC4" w:rsidRPr="00A36E3A" w14:paraId="15C4F2D8" w14:textId="77777777" w:rsidTr="001908F3">
        <w:tc>
          <w:tcPr>
            <w:tcW w:w="2970" w:type="dxa"/>
          </w:tcPr>
          <w:p w14:paraId="5A08918F" w14:textId="77777777" w:rsidR="00C47BC4" w:rsidRPr="00A36E3A" w:rsidRDefault="00C47BC4" w:rsidP="001908F3">
            <w:pPr>
              <w:rPr>
                <w:rFonts w:ascii="Arial" w:eastAsia="Times New Roman" w:hAnsi="Arial" w:cs="Arial"/>
                <w:color w:val="000000" w:themeColor="text1"/>
                <w:sz w:val="20"/>
                <w:szCs w:val="20"/>
              </w:rPr>
            </w:pPr>
            <w:r w:rsidRPr="00A36E3A">
              <w:rPr>
                <w:rFonts w:ascii="Arial" w:eastAsia="Times New Roman" w:hAnsi="Arial" w:cs="Arial"/>
                <w:color w:val="000000" w:themeColor="text1"/>
                <w:sz w:val="20"/>
                <w:szCs w:val="20"/>
              </w:rPr>
              <w:t>Oxycodone</w:t>
            </w:r>
          </w:p>
        </w:tc>
      </w:tr>
      <w:tr w:rsidR="00C47BC4" w:rsidRPr="00A36E3A" w14:paraId="37C12052" w14:textId="77777777" w:rsidTr="001908F3">
        <w:tc>
          <w:tcPr>
            <w:tcW w:w="2970" w:type="dxa"/>
          </w:tcPr>
          <w:p w14:paraId="3FA4FE6B" w14:textId="77777777" w:rsidR="00C47BC4" w:rsidRPr="00A36E3A" w:rsidRDefault="00C47BC4" w:rsidP="001908F3">
            <w:pPr>
              <w:rPr>
                <w:rFonts w:ascii="Arial" w:eastAsia="Times New Roman" w:hAnsi="Arial" w:cs="Arial"/>
                <w:color w:val="000000" w:themeColor="text1"/>
                <w:sz w:val="20"/>
                <w:szCs w:val="20"/>
              </w:rPr>
            </w:pPr>
            <w:r w:rsidRPr="00A36E3A">
              <w:rPr>
                <w:rFonts w:ascii="Arial" w:eastAsia="Times New Roman" w:hAnsi="Arial" w:cs="Arial"/>
                <w:color w:val="000000" w:themeColor="text1"/>
                <w:sz w:val="20"/>
                <w:szCs w:val="20"/>
              </w:rPr>
              <w:t>Oxymorphone</w:t>
            </w:r>
          </w:p>
        </w:tc>
      </w:tr>
      <w:tr w:rsidR="00C47BC4" w:rsidRPr="00A36E3A" w14:paraId="66878E04" w14:textId="77777777" w:rsidTr="001908F3">
        <w:tc>
          <w:tcPr>
            <w:tcW w:w="2970" w:type="dxa"/>
          </w:tcPr>
          <w:p w14:paraId="0701AE47" w14:textId="77777777" w:rsidR="00C47BC4" w:rsidRPr="00A36E3A" w:rsidRDefault="00C47BC4" w:rsidP="001908F3">
            <w:pPr>
              <w:rPr>
                <w:rFonts w:ascii="Arial" w:eastAsia="Times New Roman" w:hAnsi="Arial" w:cs="Arial"/>
                <w:color w:val="000000" w:themeColor="text1"/>
                <w:sz w:val="20"/>
                <w:szCs w:val="20"/>
              </w:rPr>
            </w:pPr>
            <w:r w:rsidRPr="00A36E3A">
              <w:rPr>
                <w:rFonts w:ascii="Arial" w:eastAsia="Times New Roman" w:hAnsi="Arial" w:cs="Arial"/>
                <w:color w:val="000000" w:themeColor="text1"/>
                <w:sz w:val="20"/>
                <w:szCs w:val="20"/>
              </w:rPr>
              <w:t>Pentazocine</w:t>
            </w:r>
          </w:p>
        </w:tc>
      </w:tr>
      <w:tr w:rsidR="00C47BC4" w:rsidRPr="00A36E3A" w14:paraId="77C98BF4" w14:textId="77777777" w:rsidTr="001908F3">
        <w:tc>
          <w:tcPr>
            <w:tcW w:w="2970" w:type="dxa"/>
          </w:tcPr>
          <w:p w14:paraId="79602071" w14:textId="77777777" w:rsidR="00C47BC4" w:rsidRPr="00A36E3A" w:rsidRDefault="00C47BC4" w:rsidP="001908F3">
            <w:pPr>
              <w:rPr>
                <w:rFonts w:ascii="Arial" w:eastAsia="Times New Roman" w:hAnsi="Arial" w:cs="Arial"/>
                <w:color w:val="000000" w:themeColor="text1"/>
                <w:sz w:val="20"/>
                <w:szCs w:val="20"/>
              </w:rPr>
            </w:pPr>
            <w:r w:rsidRPr="00A36E3A">
              <w:rPr>
                <w:rFonts w:ascii="Arial" w:eastAsia="Times New Roman" w:hAnsi="Arial" w:cs="Arial"/>
                <w:color w:val="000000" w:themeColor="text1"/>
                <w:sz w:val="20"/>
                <w:szCs w:val="20"/>
              </w:rPr>
              <w:t>Propoxyphene</w:t>
            </w:r>
          </w:p>
        </w:tc>
      </w:tr>
      <w:tr w:rsidR="00C47BC4" w:rsidRPr="00A36E3A" w14:paraId="6440B0AA" w14:textId="77777777" w:rsidTr="001908F3">
        <w:tc>
          <w:tcPr>
            <w:tcW w:w="2970" w:type="dxa"/>
          </w:tcPr>
          <w:p w14:paraId="0A0B080E" w14:textId="77777777" w:rsidR="00C47BC4" w:rsidRPr="00A36E3A" w:rsidRDefault="00C47BC4" w:rsidP="001908F3">
            <w:pPr>
              <w:rPr>
                <w:rFonts w:ascii="Arial" w:eastAsia="Times New Roman" w:hAnsi="Arial" w:cs="Arial"/>
                <w:color w:val="000000" w:themeColor="text1"/>
                <w:sz w:val="20"/>
                <w:szCs w:val="20"/>
              </w:rPr>
            </w:pPr>
            <w:proofErr w:type="spellStart"/>
            <w:r w:rsidRPr="00A36E3A">
              <w:rPr>
                <w:rFonts w:ascii="Arial" w:eastAsia="Times New Roman" w:hAnsi="Arial" w:cs="Arial"/>
                <w:color w:val="000000" w:themeColor="text1"/>
                <w:sz w:val="20"/>
                <w:szCs w:val="20"/>
              </w:rPr>
              <w:t>Tapentadol</w:t>
            </w:r>
            <w:proofErr w:type="spellEnd"/>
          </w:p>
        </w:tc>
      </w:tr>
      <w:tr w:rsidR="00C47BC4" w:rsidRPr="00A36E3A" w14:paraId="73131F9E" w14:textId="77777777" w:rsidTr="001908F3">
        <w:tc>
          <w:tcPr>
            <w:tcW w:w="2970" w:type="dxa"/>
            <w:tcBorders>
              <w:bottom w:val="single" w:sz="4" w:space="0" w:color="auto"/>
            </w:tcBorders>
          </w:tcPr>
          <w:p w14:paraId="20C650B6" w14:textId="77777777" w:rsidR="00C47BC4" w:rsidRPr="00A36E3A" w:rsidRDefault="00C47BC4" w:rsidP="001908F3">
            <w:pPr>
              <w:rPr>
                <w:rFonts w:ascii="Arial" w:eastAsia="Times New Roman" w:hAnsi="Arial" w:cs="Arial"/>
                <w:color w:val="000000" w:themeColor="text1"/>
                <w:sz w:val="20"/>
                <w:szCs w:val="20"/>
              </w:rPr>
            </w:pPr>
            <w:r w:rsidRPr="00A36E3A">
              <w:rPr>
                <w:rFonts w:ascii="Arial" w:eastAsia="Times New Roman" w:hAnsi="Arial" w:cs="Arial"/>
                <w:color w:val="000000" w:themeColor="text1"/>
                <w:sz w:val="20"/>
                <w:szCs w:val="20"/>
              </w:rPr>
              <w:t>Tramadol</w:t>
            </w:r>
          </w:p>
        </w:tc>
      </w:tr>
    </w:tbl>
    <w:p w14:paraId="3FB0F7DE" w14:textId="40E772B3" w:rsidR="00C47BC4" w:rsidRPr="00A36E3A" w:rsidRDefault="00C47BC4" w:rsidP="00C859B8">
      <w:pPr>
        <w:spacing w:line="240" w:lineRule="auto"/>
        <w:rPr>
          <w:rFonts w:ascii="Arial" w:eastAsia="Times New Roman" w:hAnsi="Arial" w:cs="Arial"/>
          <w:color w:val="000000" w:themeColor="text1"/>
          <w:sz w:val="16"/>
          <w:szCs w:val="16"/>
        </w:rPr>
      </w:pPr>
      <w:r w:rsidRPr="00A36E3A">
        <w:rPr>
          <w:rFonts w:ascii="Arial" w:eastAsia="Times New Roman" w:hAnsi="Arial" w:cs="Arial"/>
          <w:color w:val="000000" w:themeColor="text1"/>
          <w:sz w:val="16"/>
          <w:szCs w:val="16"/>
        </w:rPr>
        <w:t xml:space="preserve">Excluding formulations used to treat cough, cold, and allergies. This includes opioids in combination with: chlorpheniramine, </w:t>
      </w:r>
      <w:proofErr w:type="spellStart"/>
      <w:r w:rsidRPr="00A36E3A">
        <w:rPr>
          <w:rFonts w:ascii="Arial" w:eastAsia="Times New Roman" w:hAnsi="Arial" w:cs="Arial"/>
          <w:color w:val="000000" w:themeColor="text1"/>
          <w:sz w:val="16"/>
          <w:szCs w:val="16"/>
        </w:rPr>
        <w:t>gauifenesin</w:t>
      </w:r>
      <w:proofErr w:type="spellEnd"/>
      <w:r w:rsidRPr="00A36E3A">
        <w:rPr>
          <w:rFonts w:ascii="Arial" w:eastAsia="Times New Roman" w:hAnsi="Arial" w:cs="Arial"/>
          <w:color w:val="000000" w:themeColor="text1"/>
          <w:sz w:val="16"/>
          <w:szCs w:val="16"/>
        </w:rPr>
        <w:t xml:space="preserve">, bromodiphenhydramine, pseudoephedrine, brompheniramine, calcium, </w:t>
      </w:r>
      <w:proofErr w:type="spellStart"/>
      <w:r w:rsidRPr="00A36E3A">
        <w:rPr>
          <w:rFonts w:ascii="Arial" w:eastAsia="Times New Roman" w:hAnsi="Arial" w:cs="Arial"/>
          <w:color w:val="000000" w:themeColor="text1"/>
          <w:sz w:val="16"/>
          <w:szCs w:val="16"/>
        </w:rPr>
        <w:t>pryilamine</w:t>
      </w:r>
      <w:proofErr w:type="spellEnd"/>
      <w:r w:rsidRPr="00A36E3A">
        <w:rPr>
          <w:rFonts w:ascii="Arial" w:eastAsia="Times New Roman" w:hAnsi="Arial" w:cs="Arial"/>
          <w:color w:val="000000" w:themeColor="text1"/>
          <w:sz w:val="16"/>
          <w:szCs w:val="16"/>
        </w:rPr>
        <w:t xml:space="preserve">, phenylpropanolamine, phenylephrine, promethazine, dexbrompheniramine, diphenhydramine, </w:t>
      </w:r>
      <w:proofErr w:type="spellStart"/>
      <w:r w:rsidRPr="00A36E3A">
        <w:rPr>
          <w:rFonts w:ascii="Arial" w:eastAsia="Times New Roman" w:hAnsi="Arial" w:cs="Arial"/>
          <w:color w:val="000000" w:themeColor="text1"/>
          <w:sz w:val="16"/>
          <w:szCs w:val="16"/>
        </w:rPr>
        <w:t>chlorcyclizine</w:t>
      </w:r>
      <w:proofErr w:type="spellEnd"/>
      <w:r w:rsidRPr="00A36E3A">
        <w:rPr>
          <w:rFonts w:ascii="Arial" w:eastAsia="Times New Roman" w:hAnsi="Arial" w:cs="Arial"/>
          <w:color w:val="000000" w:themeColor="text1"/>
          <w:sz w:val="16"/>
          <w:szCs w:val="16"/>
        </w:rPr>
        <w:t xml:space="preserve">, </w:t>
      </w:r>
      <w:proofErr w:type="spellStart"/>
      <w:r w:rsidRPr="00A36E3A">
        <w:rPr>
          <w:rFonts w:ascii="Arial" w:eastAsia="Times New Roman" w:hAnsi="Arial" w:cs="Arial"/>
          <w:color w:val="000000" w:themeColor="text1"/>
          <w:sz w:val="16"/>
          <w:szCs w:val="16"/>
        </w:rPr>
        <w:t>terpin</w:t>
      </w:r>
      <w:proofErr w:type="spellEnd"/>
      <w:r w:rsidRPr="00A36E3A">
        <w:rPr>
          <w:rFonts w:ascii="Arial" w:eastAsia="Times New Roman" w:hAnsi="Arial" w:cs="Arial"/>
          <w:color w:val="000000" w:themeColor="text1"/>
          <w:sz w:val="16"/>
          <w:szCs w:val="16"/>
        </w:rPr>
        <w:t>, phosphate/guaifenesin, triprolidine, homatropine, carbinoxamine.</w:t>
      </w:r>
    </w:p>
    <w:p w14:paraId="32751AF9" w14:textId="0A2823D5" w:rsidR="00C859B8" w:rsidRDefault="00C859B8">
      <w:pPr>
        <w:rPr>
          <w:rFonts w:ascii="Arial" w:hAnsi="Arial" w:cs="Arial"/>
        </w:rPr>
      </w:pPr>
      <w:r>
        <w:rPr>
          <w:rFonts w:ascii="Arial" w:hAnsi="Arial" w:cs="Arial"/>
        </w:rPr>
        <w:br w:type="page"/>
      </w:r>
    </w:p>
    <w:p w14:paraId="29A0B1F4" w14:textId="63A3D73B" w:rsidR="00C859B8" w:rsidRPr="00F7778C" w:rsidRDefault="00F7778C" w:rsidP="00C859B8">
      <w:pPr>
        <w:spacing w:line="240" w:lineRule="auto"/>
        <w:rPr>
          <w:rFonts w:ascii="Arial" w:eastAsia="Times New Roman" w:hAnsi="Arial" w:cs="Arial"/>
          <w:b/>
          <w:bCs/>
        </w:rPr>
      </w:pPr>
      <w:r w:rsidRPr="00F7778C">
        <w:rPr>
          <w:rFonts w:ascii="Arial" w:hAnsi="Arial" w:cs="Arial"/>
          <w:b/>
          <w:bCs/>
        </w:rPr>
        <w:lastRenderedPageBreak/>
        <w:t xml:space="preserve">Supplementary </w:t>
      </w:r>
      <w:r w:rsidR="00C859B8" w:rsidRPr="00F7778C">
        <w:rPr>
          <w:rFonts w:ascii="Arial" w:eastAsia="Times New Roman" w:hAnsi="Arial" w:cs="Arial"/>
          <w:b/>
          <w:bCs/>
        </w:rPr>
        <w:t>Table 2. ICD-9-CM and ICD-10-CM Diagnostic Codes for Acute Pain</w:t>
      </w:r>
    </w:p>
    <w:tbl>
      <w:tblPr>
        <w:tblW w:w="5000" w:type="pct"/>
        <w:tblLook w:val="04A0" w:firstRow="1" w:lastRow="0" w:firstColumn="1" w:lastColumn="0" w:noHBand="0" w:noVBand="1"/>
      </w:tblPr>
      <w:tblGrid>
        <w:gridCol w:w="1891"/>
        <w:gridCol w:w="2699"/>
        <w:gridCol w:w="270"/>
        <w:gridCol w:w="2250"/>
        <w:gridCol w:w="2250"/>
      </w:tblGrid>
      <w:tr w:rsidR="00C859B8" w:rsidRPr="00A36E3A" w14:paraId="54139A32" w14:textId="77777777" w:rsidTr="001908F3">
        <w:tc>
          <w:tcPr>
            <w:tcW w:w="5000" w:type="pct"/>
            <w:gridSpan w:val="5"/>
            <w:tcBorders>
              <w:top w:val="single" w:sz="4" w:space="0" w:color="auto"/>
            </w:tcBorders>
            <w:tcMar>
              <w:top w:w="29" w:type="dxa"/>
              <w:left w:w="115" w:type="dxa"/>
              <w:bottom w:w="29" w:type="dxa"/>
              <w:right w:w="115" w:type="dxa"/>
            </w:tcMar>
          </w:tcPr>
          <w:p w14:paraId="0A7C0D36" w14:textId="77777777" w:rsidR="00C859B8" w:rsidRPr="00A36E3A" w:rsidRDefault="00C859B8" w:rsidP="00C859B8">
            <w:pPr>
              <w:spacing w:line="240" w:lineRule="auto"/>
              <w:jc w:val="center"/>
              <w:rPr>
                <w:rFonts w:ascii="Arial" w:eastAsia="Times New Roman" w:hAnsi="Arial" w:cs="Arial"/>
                <w:b/>
                <w:bCs/>
                <w:sz w:val="20"/>
                <w:szCs w:val="20"/>
              </w:rPr>
            </w:pPr>
            <w:r w:rsidRPr="00A36E3A">
              <w:rPr>
                <w:rFonts w:ascii="Arial" w:eastAsia="Times New Roman" w:hAnsi="Arial" w:cs="Arial"/>
                <w:b/>
                <w:bCs/>
                <w:sz w:val="20"/>
                <w:szCs w:val="20"/>
              </w:rPr>
              <w:t>Acute Pain</w:t>
            </w:r>
          </w:p>
        </w:tc>
      </w:tr>
      <w:tr w:rsidR="00C859B8" w:rsidRPr="00A36E3A" w14:paraId="526FDC27" w14:textId="77777777" w:rsidTr="00C859B8">
        <w:tc>
          <w:tcPr>
            <w:tcW w:w="1010" w:type="pct"/>
            <w:tcBorders>
              <w:bottom w:val="single" w:sz="4" w:space="0" w:color="auto"/>
            </w:tcBorders>
          </w:tcPr>
          <w:p w14:paraId="0F0F583E" w14:textId="77777777" w:rsidR="00C859B8" w:rsidRPr="00A36E3A" w:rsidRDefault="00C859B8" w:rsidP="00C859B8">
            <w:pPr>
              <w:spacing w:line="240" w:lineRule="auto"/>
              <w:rPr>
                <w:rFonts w:ascii="Arial" w:eastAsia="Times New Roman" w:hAnsi="Arial" w:cs="Arial"/>
                <w:b/>
                <w:bCs/>
                <w:sz w:val="20"/>
                <w:szCs w:val="20"/>
              </w:rPr>
            </w:pPr>
            <w:r w:rsidRPr="00A36E3A">
              <w:rPr>
                <w:rFonts w:ascii="Arial" w:eastAsia="Times New Roman" w:hAnsi="Arial" w:cs="Arial"/>
                <w:b/>
                <w:bCs/>
                <w:sz w:val="20"/>
                <w:szCs w:val="20"/>
              </w:rPr>
              <w:t>ICD-9-CM</w:t>
            </w:r>
          </w:p>
        </w:tc>
        <w:tc>
          <w:tcPr>
            <w:tcW w:w="1442" w:type="pct"/>
            <w:tcBorders>
              <w:bottom w:val="single" w:sz="4" w:space="0" w:color="auto"/>
            </w:tcBorders>
          </w:tcPr>
          <w:p w14:paraId="5AB90176" w14:textId="77777777" w:rsidR="00C859B8" w:rsidRPr="00A36E3A" w:rsidRDefault="00C859B8" w:rsidP="00C859B8">
            <w:pPr>
              <w:spacing w:line="240" w:lineRule="auto"/>
              <w:rPr>
                <w:rFonts w:ascii="Arial" w:eastAsia="Times New Roman" w:hAnsi="Arial" w:cs="Arial"/>
                <w:b/>
                <w:bCs/>
                <w:sz w:val="20"/>
                <w:szCs w:val="20"/>
              </w:rPr>
            </w:pPr>
            <w:r w:rsidRPr="00A36E3A">
              <w:rPr>
                <w:rFonts w:ascii="Arial" w:eastAsia="Times New Roman" w:hAnsi="Arial" w:cs="Arial"/>
                <w:b/>
                <w:bCs/>
                <w:sz w:val="20"/>
                <w:szCs w:val="20"/>
              </w:rPr>
              <w:t>Description</w:t>
            </w:r>
          </w:p>
        </w:tc>
        <w:tc>
          <w:tcPr>
            <w:tcW w:w="144" w:type="pct"/>
          </w:tcPr>
          <w:p w14:paraId="0679FBE4" w14:textId="77777777" w:rsidR="00C859B8" w:rsidRPr="00A36E3A" w:rsidRDefault="00C859B8" w:rsidP="00C859B8">
            <w:pPr>
              <w:spacing w:line="240" w:lineRule="auto"/>
              <w:rPr>
                <w:rFonts w:ascii="Arial" w:eastAsia="Times New Roman" w:hAnsi="Arial" w:cs="Arial"/>
                <w:b/>
                <w:bCs/>
                <w:sz w:val="20"/>
                <w:szCs w:val="20"/>
              </w:rPr>
            </w:pPr>
          </w:p>
        </w:tc>
        <w:tc>
          <w:tcPr>
            <w:tcW w:w="1202" w:type="pct"/>
            <w:tcBorders>
              <w:bottom w:val="single" w:sz="4" w:space="0" w:color="auto"/>
            </w:tcBorders>
          </w:tcPr>
          <w:p w14:paraId="10C0FC26" w14:textId="77777777" w:rsidR="00C859B8" w:rsidRPr="00A36E3A" w:rsidRDefault="00C859B8" w:rsidP="00C859B8">
            <w:pPr>
              <w:spacing w:line="240" w:lineRule="auto"/>
              <w:rPr>
                <w:rFonts w:ascii="Arial" w:eastAsia="Times New Roman" w:hAnsi="Arial" w:cs="Arial"/>
                <w:b/>
                <w:bCs/>
                <w:sz w:val="20"/>
                <w:szCs w:val="20"/>
              </w:rPr>
            </w:pPr>
            <w:r w:rsidRPr="00A36E3A">
              <w:rPr>
                <w:rFonts w:ascii="Arial" w:eastAsia="Times New Roman" w:hAnsi="Arial" w:cs="Arial"/>
                <w:b/>
                <w:bCs/>
                <w:sz w:val="20"/>
                <w:szCs w:val="20"/>
              </w:rPr>
              <w:t>ICD-10-CM</w:t>
            </w:r>
          </w:p>
        </w:tc>
        <w:tc>
          <w:tcPr>
            <w:tcW w:w="1202" w:type="pct"/>
            <w:tcBorders>
              <w:bottom w:val="single" w:sz="4" w:space="0" w:color="auto"/>
            </w:tcBorders>
          </w:tcPr>
          <w:p w14:paraId="5695F89F" w14:textId="77777777" w:rsidR="00C859B8" w:rsidRPr="00A36E3A" w:rsidRDefault="00C859B8" w:rsidP="00C859B8">
            <w:pPr>
              <w:spacing w:line="240" w:lineRule="auto"/>
              <w:rPr>
                <w:rFonts w:ascii="Arial" w:eastAsia="Times New Roman" w:hAnsi="Arial" w:cs="Arial"/>
                <w:b/>
                <w:bCs/>
                <w:sz w:val="20"/>
                <w:szCs w:val="20"/>
              </w:rPr>
            </w:pPr>
            <w:r w:rsidRPr="00A36E3A">
              <w:rPr>
                <w:rFonts w:ascii="Arial" w:eastAsia="Times New Roman" w:hAnsi="Arial" w:cs="Arial"/>
                <w:b/>
                <w:bCs/>
                <w:sz w:val="20"/>
                <w:szCs w:val="20"/>
              </w:rPr>
              <w:t>Description</w:t>
            </w:r>
          </w:p>
        </w:tc>
      </w:tr>
      <w:tr w:rsidR="00C859B8" w:rsidRPr="00A36E3A" w14:paraId="21B262C7" w14:textId="77777777" w:rsidTr="00C859B8">
        <w:tc>
          <w:tcPr>
            <w:tcW w:w="1010" w:type="pct"/>
          </w:tcPr>
          <w:p w14:paraId="285DAFB1"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282.62</w:t>
            </w:r>
          </w:p>
        </w:tc>
        <w:tc>
          <w:tcPr>
            <w:tcW w:w="1442" w:type="pct"/>
          </w:tcPr>
          <w:p w14:paraId="2D29E5E1"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Sickle cell anemia</w:t>
            </w:r>
          </w:p>
        </w:tc>
        <w:tc>
          <w:tcPr>
            <w:tcW w:w="144" w:type="pct"/>
          </w:tcPr>
          <w:p w14:paraId="3B64B4A4" w14:textId="77777777" w:rsidR="00C859B8" w:rsidRPr="00A36E3A" w:rsidRDefault="00C859B8" w:rsidP="00C859B8">
            <w:pPr>
              <w:spacing w:line="240" w:lineRule="auto"/>
              <w:rPr>
                <w:rFonts w:ascii="Arial" w:eastAsia="Times New Roman" w:hAnsi="Arial" w:cs="Arial"/>
                <w:sz w:val="20"/>
                <w:szCs w:val="20"/>
              </w:rPr>
            </w:pPr>
          </w:p>
        </w:tc>
        <w:tc>
          <w:tcPr>
            <w:tcW w:w="1202" w:type="pct"/>
            <w:tcBorders>
              <w:top w:val="single" w:sz="4" w:space="0" w:color="auto"/>
            </w:tcBorders>
          </w:tcPr>
          <w:p w14:paraId="2172D17F"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D57</w:t>
            </w:r>
          </w:p>
        </w:tc>
        <w:tc>
          <w:tcPr>
            <w:tcW w:w="1202" w:type="pct"/>
            <w:tcBorders>
              <w:top w:val="single" w:sz="4" w:space="0" w:color="auto"/>
            </w:tcBorders>
          </w:tcPr>
          <w:p w14:paraId="4CDBA76A"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Sickle cell anemia</w:t>
            </w:r>
          </w:p>
        </w:tc>
      </w:tr>
      <w:tr w:rsidR="00C859B8" w:rsidRPr="00A36E3A" w14:paraId="33886642" w14:textId="77777777" w:rsidTr="00C859B8">
        <w:tc>
          <w:tcPr>
            <w:tcW w:w="1010" w:type="pct"/>
          </w:tcPr>
          <w:p w14:paraId="53843AE4"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338.11, 338.12, 338.18, 338.19</w:t>
            </w:r>
          </w:p>
        </w:tc>
        <w:tc>
          <w:tcPr>
            <w:tcW w:w="1442" w:type="pct"/>
          </w:tcPr>
          <w:p w14:paraId="12D42B6D"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Other nervous system disorders</w:t>
            </w:r>
          </w:p>
        </w:tc>
        <w:tc>
          <w:tcPr>
            <w:tcW w:w="144" w:type="pct"/>
          </w:tcPr>
          <w:p w14:paraId="7092ABF8" w14:textId="77777777" w:rsidR="00C859B8" w:rsidRPr="00A36E3A" w:rsidRDefault="00C859B8" w:rsidP="00C859B8">
            <w:pPr>
              <w:spacing w:line="240" w:lineRule="auto"/>
              <w:rPr>
                <w:rFonts w:ascii="Arial" w:eastAsia="Times New Roman" w:hAnsi="Arial" w:cs="Arial"/>
                <w:sz w:val="20"/>
                <w:szCs w:val="20"/>
              </w:rPr>
            </w:pPr>
          </w:p>
        </w:tc>
        <w:tc>
          <w:tcPr>
            <w:tcW w:w="1202" w:type="pct"/>
          </w:tcPr>
          <w:p w14:paraId="45DC2BD9"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G89.11, G89.12, G89.18</w:t>
            </w:r>
          </w:p>
        </w:tc>
        <w:tc>
          <w:tcPr>
            <w:tcW w:w="1202" w:type="pct"/>
          </w:tcPr>
          <w:p w14:paraId="2A8B0D42"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Other nervous system disorders</w:t>
            </w:r>
          </w:p>
        </w:tc>
      </w:tr>
      <w:tr w:rsidR="00C859B8" w:rsidRPr="00A36E3A" w14:paraId="1A5B9086" w14:textId="77777777" w:rsidTr="00C859B8">
        <w:tc>
          <w:tcPr>
            <w:tcW w:w="1010" w:type="pct"/>
          </w:tcPr>
          <w:p w14:paraId="12C7BE2F"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522.5, 522.7</w:t>
            </w:r>
          </w:p>
        </w:tc>
        <w:tc>
          <w:tcPr>
            <w:tcW w:w="1442" w:type="pct"/>
          </w:tcPr>
          <w:p w14:paraId="13D7BA23"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Disorders of teeth and jaw</w:t>
            </w:r>
          </w:p>
        </w:tc>
        <w:tc>
          <w:tcPr>
            <w:tcW w:w="144" w:type="pct"/>
          </w:tcPr>
          <w:p w14:paraId="560C98DF" w14:textId="77777777" w:rsidR="00C859B8" w:rsidRPr="00A36E3A" w:rsidRDefault="00C859B8" w:rsidP="00C859B8">
            <w:pPr>
              <w:spacing w:line="240" w:lineRule="auto"/>
              <w:rPr>
                <w:rFonts w:ascii="Arial" w:eastAsia="Times New Roman" w:hAnsi="Arial" w:cs="Arial"/>
                <w:sz w:val="20"/>
                <w:szCs w:val="20"/>
              </w:rPr>
            </w:pPr>
          </w:p>
        </w:tc>
        <w:tc>
          <w:tcPr>
            <w:tcW w:w="1202" w:type="pct"/>
          </w:tcPr>
          <w:p w14:paraId="3C5179C7"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K04.6, K04.7</w:t>
            </w:r>
          </w:p>
        </w:tc>
        <w:tc>
          <w:tcPr>
            <w:tcW w:w="1202" w:type="pct"/>
          </w:tcPr>
          <w:p w14:paraId="1CB9AE2C"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Disorders of teeth and jaw</w:t>
            </w:r>
          </w:p>
        </w:tc>
      </w:tr>
      <w:tr w:rsidR="00C859B8" w:rsidRPr="00A36E3A" w14:paraId="058B6BD2" w14:textId="77777777" w:rsidTr="00C859B8">
        <w:tc>
          <w:tcPr>
            <w:tcW w:w="1010" w:type="pct"/>
          </w:tcPr>
          <w:p w14:paraId="45C4238B"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574</w:t>
            </w:r>
          </w:p>
        </w:tc>
        <w:tc>
          <w:tcPr>
            <w:tcW w:w="1442" w:type="pct"/>
          </w:tcPr>
          <w:p w14:paraId="1094748C"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Biliary tract disease</w:t>
            </w:r>
          </w:p>
        </w:tc>
        <w:tc>
          <w:tcPr>
            <w:tcW w:w="144" w:type="pct"/>
          </w:tcPr>
          <w:p w14:paraId="2A47EBAA" w14:textId="77777777" w:rsidR="00C859B8" w:rsidRPr="00A36E3A" w:rsidRDefault="00C859B8" w:rsidP="00C859B8">
            <w:pPr>
              <w:spacing w:line="240" w:lineRule="auto"/>
              <w:rPr>
                <w:rFonts w:ascii="Arial" w:eastAsia="Times New Roman" w:hAnsi="Arial" w:cs="Arial"/>
                <w:sz w:val="20"/>
                <w:szCs w:val="20"/>
              </w:rPr>
            </w:pPr>
          </w:p>
        </w:tc>
        <w:tc>
          <w:tcPr>
            <w:tcW w:w="1202" w:type="pct"/>
          </w:tcPr>
          <w:p w14:paraId="24289334"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K80, K87</w:t>
            </w:r>
          </w:p>
        </w:tc>
        <w:tc>
          <w:tcPr>
            <w:tcW w:w="1202" w:type="pct"/>
          </w:tcPr>
          <w:p w14:paraId="43A3FF71"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Biliary tract disease</w:t>
            </w:r>
          </w:p>
        </w:tc>
      </w:tr>
      <w:tr w:rsidR="00C859B8" w:rsidRPr="00A36E3A" w14:paraId="407ED119" w14:textId="77777777" w:rsidTr="00C859B8">
        <w:tc>
          <w:tcPr>
            <w:tcW w:w="1010" w:type="pct"/>
          </w:tcPr>
          <w:p w14:paraId="50B3FBA1"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577</w:t>
            </w:r>
          </w:p>
        </w:tc>
        <w:tc>
          <w:tcPr>
            <w:tcW w:w="1442" w:type="pct"/>
          </w:tcPr>
          <w:p w14:paraId="23C92D00"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Pancreatic disorders (not diabetes)</w:t>
            </w:r>
          </w:p>
        </w:tc>
        <w:tc>
          <w:tcPr>
            <w:tcW w:w="144" w:type="pct"/>
          </w:tcPr>
          <w:p w14:paraId="77D026D9" w14:textId="77777777" w:rsidR="00C859B8" w:rsidRPr="00A36E3A" w:rsidRDefault="00C859B8" w:rsidP="00C859B8">
            <w:pPr>
              <w:spacing w:line="240" w:lineRule="auto"/>
              <w:rPr>
                <w:rFonts w:ascii="Arial" w:eastAsia="Times New Roman" w:hAnsi="Arial" w:cs="Arial"/>
                <w:sz w:val="20"/>
                <w:szCs w:val="20"/>
              </w:rPr>
            </w:pPr>
          </w:p>
        </w:tc>
        <w:tc>
          <w:tcPr>
            <w:tcW w:w="1202" w:type="pct"/>
          </w:tcPr>
          <w:p w14:paraId="076F4879"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K85-K86</w:t>
            </w:r>
          </w:p>
        </w:tc>
        <w:tc>
          <w:tcPr>
            <w:tcW w:w="1202" w:type="pct"/>
          </w:tcPr>
          <w:p w14:paraId="533C0453"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Pancreatic disorders (not diabetes)</w:t>
            </w:r>
          </w:p>
        </w:tc>
      </w:tr>
      <w:tr w:rsidR="00C859B8" w:rsidRPr="00A36E3A" w14:paraId="29335D83" w14:textId="77777777" w:rsidTr="00C859B8">
        <w:tc>
          <w:tcPr>
            <w:tcW w:w="1010" w:type="pct"/>
          </w:tcPr>
          <w:p w14:paraId="5C2889F7"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592</w:t>
            </w:r>
          </w:p>
        </w:tc>
        <w:tc>
          <w:tcPr>
            <w:tcW w:w="1442" w:type="pct"/>
          </w:tcPr>
          <w:p w14:paraId="1A41B96D"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Genitourinary</w:t>
            </w:r>
          </w:p>
        </w:tc>
        <w:tc>
          <w:tcPr>
            <w:tcW w:w="144" w:type="pct"/>
          </w:tcPr>
          <w:p w14:paraId="66734544" w14:textId="77777777" w:rsidR="00C859B8" w:rsidRPr="00A36E3A" w:rsidRDefault="00C859B8" w:rsidP="00C859B8">
            <w:pPr>
              <w:spacing w:line="240" w:lineRule="auto"/>
              <w:rPr>
                <w:rFonts w:ascii="Arial" w:eastAsia="Times New Roman" w:hAnsi="Arial" w:cs="Arial"/>
                <w:sz w:val="20"/>
                <w:szCs w:val="20"/>
              </w:rPr>
            </w:pPr>
          </w:p>
        </w:tc>
        <w:tc>
          <w:tcPr>
            <w:tcW w:w="1202" w:type="pct"/>
          </w:tcPr>
          <w:p w14:paraId="6F352428"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L08.89</w:t>
            </w:r>
          </w:p>
        </w:tc>
        <w:tc>
          <w:tcPr>
            <w:tcW w:w="1202" w:type="pct"/>
          </w:tcPr>
          <w:p w14:paraId="64B9064B"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Skin and subcutaneous tissue infections</w:t>
            </w:r>
          </w:p>
        </w:tc>
      </w:tr>
      <w:tr w:rsidR="00C859B8" w:rsidRPr="00A36E3A" w14:paraId="5F5E2D87" w14:textId="77777777" w:rsidTr="00C859B8">
        <w:tc>
          <w:tcPr>
            <w:tcW w:w="1010" w:type="pct"/>
          </w:tcPr>
          <w:p w14:paraId="32974481"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733</w:t>
            </w:r>
          </w:p>
        </w:tc>
        <w:tc>
          <w:tcPr>
            <w:tcW w:w="1442" w:type="pct"/>
          </w:tcPr>
          <w:p w14:paraId="702BE180"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Pathological fracture</w:t>
            </w:r>
          </w:p>
        </w:tc>
        <w:tc>
          <w:tcPr>
            <w:tcW w:w="144" w:type="pct"/>
          </w:tcPr>
          <w:p w14:paraId="5E76E721" w14:textId="77777777" w:rsidR="00C859B8" w:rsidRPr="00A36E3A" w:rsidRDefault="00C859B8" w:rsidP="00C859B8">
            <w:pPr>
              <w:spacing w:line="240" w:lineRule="auto"/>
              <w:rPr>
                <w:rFonts w:ascii="Arial" w:eastAsia="Times New Roman" w:hAnsi="Arial" w:cs="Arial"/>
                <w:sz w:val="20"/>
                <w:szCs w:val="20"/>
              </w:rPr>
            </w:pPr>
          </w:p>
        </w:tc>
        <w:tc>
          <w:tcPr>
            <w:tcW w:w="1202" w:type="pct"/>
          </w:tcPr>
          <w:p w14:paraId="128DD21B"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M48.5</w:t>
            </w:r>
          </w:p>
        </w:tc>
        <w:tc>
          <w:tcPr>
            <w:tcW w:w="1202" w:type="pct"/>
          </w:tcPr>
          <w:p w14:paraId="65C2059C"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Other spondylopathies</w:t>
            </w:r>
          </w:p>
        </w:tc>
      </w:tr>
      <w:tr w:rsidR="00C859B8" w:rsidRPr="00A36E3A" w14:paraId="0B385E2A" w14:textId="77777777" w:rsidTr="00C859B8">
        <w:tc>
          <w:tcPr>
            <w:tcW w:w="1010" w:type="pct"/>
          </w:tcPr>
          <w:p w14:paraId="3B05778C"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800-804, 850-854</w:t>
            </w:r>
          </w:p>
        </w:tc>
        <w:tc>
          <w:tcPr>
            <w:tcW w:w="1442" w:type="pct"/>
          </w:tcPr>
          <w:p w14:paraId="5BC81817"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Intracranial injury; skull and face fractures</w:t>
            </w:r>
          </w:p>
        </w:tc>
        <w:tc>
          <w:tcPr>
            <w:tcW w:w="144" w:type="pct"/>
          </w:tcPr>
          <w:p w14:paraId="26510937" w14:textId="77777777" w:rsidR="00C859B8" w:rsidRPr="00A36E3A" w:rsidRDefault="00C859B8" w:rsidP="00C859B8">
            <w:pPr>
              <w:spacing w:line="240" w:lineRule="auto"/>
              <w:rPr>
                <w:rFonts w:ascii="Arial" w:eastAsia="Times New Roman" w:hAnsi="Arial" w:cs="Arial"/>
                <w:sz w:val="20"/>
                <w:szCs w:val="20"/>
              </w:rPr>
            </w:pPr>
          </w:p>
        </w:tc>
        <w:tc>
          <w:tcPr>
            <w:tcW w:w="1202" w:type="pct"/>
          </w:tcPr>
          <w:p w14:paraId="0DDB5B2D"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M80, M84.4</w:t>
            </w:r>
          </w:p>
        </w:tc>
        <w:tc>
          <w:tcPr>
            <w:tcW w:w="1202" w:type="pct"/>
          </w:tcPr>
          <w:p w14:paraId="334578CF"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Pathological fracture</w:t>
            </w:r>
          </w:p>
        </w:tc>
      </w:tr>
      <w:tr w:rsidR="00C859B8" w:rsidRPr="00A36E3A" w14:paraId="565A74D0" w14:textId="77777777" w:rsidTr="00C859B8">
        <w:tc>
          <w:tcPr>
            <w:tcW w:w="1010" w:type="pct"/>
          </w:tcPr>
          <w:p w14:paraId="0C81373F"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805, 807-829</w:t>
            </w:r>
          </w:p>
        </w:tc>
        <w:tc>
          <w:tcPr>
            <w:tcW w:w="1442" w:type="pct"/>
          </w:tcPr>
          <w:p w14:paraId="54311206"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Fractures</w:t>
            </w:r>
          </w:p>
        </w:tc>
        <w:tc>
          <w:tcPr>
            <w:tcW w:w="144" w:type="pct"/>
          </w:tcPr>
          <w:p w14:paraId="798D5B79" w14:textId="77777777" w:rsidR="00C859B8" w:rsidRPr="00A36E3A" w:rsidRDefault="00C859B8" w:rsidP="00C859B8">
            <w:pPr>
              <w:spacing w:line="240" w:lineRule="auto"/>
              <w:rPr>
                <w:rFonts w:ascii="Arial" w:eastAsia="Times New Roman" w:hAnsi="Arial" w:cs="Arial"/>
                <w:sz w:val="20"/>
                <w:szCs w:val="20"/>
              </w:rPr>
            </w:pPr>
          </w:p>
        </w:tc>
        <w:tc>
          <w:tcPr>
            <w:tcW w:w="1202" w:type="pct"/>
          </w:tcPr>
          <w:p w14:paraId="3EFB355B"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M84.75, M99.1, S00-S99, T08, T14-T19, T71, T73, T74.01-T74.02, T75.4, T79</w:t>
            </w:r>
          </w:p>
        </w:tc>
        <w:tc>
          <w:tcPr>
            <w:tcW w:w="1202" w:type="pct"/>
          </w:tcPr>
          <w:p w14:paraId="463ABC66"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Injury</w:t>
            </w:r>
          </w:p>
        </w:tc>
      </w:tr>
      <w:tr w:rsidR="00C859B8" w:rsidRPr="00A36E3A" w14:paraId="292238D0" w14:textId="77777777" w:rsidTr="00C859B8">
        <w:tc>
          <w:tcPr>
            <w:tcW w:w="1010" w:type="pct"/>
          </w:tcPr>
          <w:p w14:paraId="67402EA5"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830-839</w:t>
            </w:r>
          </w:p>
        </w:tc>
        <w:tc>
          <w:tcPr>
            <w:tcW w:w="1442" w:type="pct"/>
          </w:tcPr>
          <w:p w14:paraId="244A5D0A"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Joint disorders and dislocations; trauma-related</w:t>
            </w:r>
          </w:p>
        </w:tc>
        <w:tc>
          <w:tcPr>
            <w:tcW w:w="144" w:type="pct"/>
          </w:tcPr>
          <w:p w14:paraId="53E00E17" w14:textId="77777777" w:rsidR="00C859B8" w:rsidRPr="00A36E3A" w:rsidRDefault="00C859B8" w:rsidP="00C859B8">
            <w:pPr>
              <w:spacing w:line="240" w:lineRule="auto"/>
              <w:rPr>
                <w:rFonts w:ascii="Arial" w:eastAsia="Times New Roman" w:hAnsi="Arial" w:cs="Arial"/>
                <w:sz w:val="20"/>
                <w:szCs w:val="20"/>
              </w:rPr>
            </w:pPr>
          </w:p>
        </w:tc>
        <w:tc>
          <w:tcPr>
            <w:tcW w:w="1202" w:type="pct"/>
          </w:tcPr>
          <w:p w14:paraId="558970CE"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T20-T28, T30-T32</w:t>
            </w:r>
          </w:p>
        </w:tc>
        <w:tc>
          <w:tcPr>
            <w:tcW w:w="1202" w:type="pct"/>
          </w:tcPr>
          <w:p w14:paraId="14B9709F"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Burns**</w:t>
            </w:r>
          </w:p>
        </w:tc>
      </w:tr>
      <w:tr w:rsidR="00C859B8" w:rsidRPr="00A36E3A" w14:paraId="6470C072" w14:textId="77777777" w:rsidTr="00C859B8">
        <w:tc>
          <w:tcPr>
            <w:tcW w:w="1010" w:type="pct"/>
          </w:tcPr>
          <w:p w14:paraId="20EA4E1E"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840-848</w:t>
            </w:r>
          </w:p>
        </w:tc>
        <w:tc>
          <w:tcPr>
            <w:tcW w:w="1442" w:type="pct"/>
          </w:tcPr>
          <w:p w14:paraId="57C3A479"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Sprains and strains</w:t>
            </w:r>
          </w:p>
        </w:tc>
        <w:tc>
          <w:tcPr>
            <w:tcW w:w="144" w:type="pct"/>
          </w:tcPr>
          <w:p w14:paraId="07898C0E" w14:textId="77777777" w:rsidR="00C859B8" w:rsidRPr="00A36E3A" w:rsidRDefault="00C859B8" w:rsidP="00C859B8">
            <w:pPr>
              <w:spacing w:line="240" w:lineRule="auto"/>
              <w:rPr>
                <w:rFonts w:ascii="Arial" w:eastAsia="Times New Roman" w:hAnsi="Arial" w:cs="Arial"/>
                <w:sz w:val="20"/>
                <w:szCs w:val="20"/>
              </w:rPr>
            </w:pPr>
          </w:p>
        </w:tc>
        <w:tc>
          <w:tcPr>
            <w:tcW w:w="1202" w:type="pct"/>
          </w:tcPr>
          <w:p w14:paraId="42CE9D3F"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N13.9, N13.2, N20, N22</w:t>
            </w:r>
          </w:p>
        </w:tc>
        <w:tc>
          <w:tcPr>
            <w:tcW w:w="1202" w:type="pct"/>
          </w:tcPr>
          <w:p w14:paraId="0B736184"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Genitourinary**</w:t>
            </w:r>
          </w:p>
        </w:tc>
      </w:tr>
      <w:tr w:rsidR="00C859B8" w:rsidRPr="00A36E3A" w14:paraId="7B80BB83" w14:textId="77777777" w:rsidTr="00C859B8">
        <w:tc>
          <w:tcPr>
            <w:tcW w:w="1010" w:type="pct"/>
          </w:tcPr>
          <w:p w14:paraId="5493B7CB"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860-869, 900-904, 925-929</w:t>
            </w:r>
          </w:p>
        </w:tc>
        <w:tc>
          <w:tcPr>
            <w:tcW w:w="1442" w:type="pct"/>
          </w:tcPr>
          <w:p w14:paraId="41FED38B"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Crushing injury or internal injury</w:t>
            </w:r>
          </w:p>
        </w:tc>
        <w:tc>
          <w:tcPr>
            <w:tcW w:w="144" w:type="pct"/>
          </w:tcPr>
          <w:p w14:paraId="68064B71" w14:textId="77777777" w:rsidR="00C859B8" w:rsidRPr="00A36E3A" w:rsidRDefault="00C859B8" w:rsidP="00C859B8">
            <w:pPr>
              <w:spacing w:line="240" w:lineRule="auto"/>
              <w:rPr>
                <w:rFonts w:ascii="Arial" w:eastAsia="Times New Roman" w:hAnsi="Arial" w:cs="Arial"/>
                <w:sz w:val="20"/>
                <w:szCs w:val="20"/>
              </w:rPr>
            </w:pPr>
          </w:p>
        </w:tc>
        <w:tc>
          <w:tcPr>
            <w:tcW w:w="1202" w:type="pct"/>
          </w:tcPr>
          <w:p w14:paraId="548926FC"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R52</w:t>
            </w:r>
          </w:p>
        </w:tc>
        <w:tc>
          <w:tcPr>
            <w:tcW w:w="1202" w:type="pct"/>
          </w:tcPr>
          <w:p w14:paraId="2CA971D5"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Pain, not elsewhere classified</w:t>
            </w:r>
          </w:p>
        </w:tc>
      </w:tr>
      <w:tr w:rsidR="00C859B8" w:rsidRPr="00A36E3A" w14:paraId="165E784A" w14:textId="77777777" w:rsidTr="00C859B8">
        <w:tc>
          <w:tcPr>
            <w:tcW w:w="1010" w:type="pct"/>
          </w:tcPr>
          <w:p w14:paraId="14A68734"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870-897</w:t>
            </w:r>
          </w:p>
        </w:tc>
        <w:tc>
          <w:tcPr>
            <w:tcW w:w="1442" w:type="pct"/>
          </w:tcPr>
          <w:p w14:paraId="539D9E0C"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Open wounds</w:t>
            </w:r>
          </w:p>
        </w:tc>
        <w:tc>
          <w:tcPr>
            <w:tcW w:w="144" w:type="pct"/>
          </w:tcPr>
          <w:p w14:paraId="60C50920" w14:textId="77777777" w:rsidR="00C859B8" w:rsidRPr="00A36E3A" w:rsidRDefault="00C859B8" w:rsidP="00C859B8">
            <w:pPr>
              <w:spacing w:line="240" w:lineRule="auto"/>
              <w:rPr>
                <w:rFonts w:ascii="Arial" w:eastAsia="Times New Roman" w:hAnsi="Arial" w:cs="Arial"/>
                <w:sz w:val="20"/>
                <w:szCs w:val="20"/>
              </w:rPr>
            </w:pPr>
          </w:p>
        </w:tc>
        <w:tc>
          <w:tcPr>
            <w:tcW w:w="1202" w:type="pct"/>
          </w:tcPr>
          <w:p w14:paraId="01FBF781"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V00-V99, W00-W99, X00-X99, Y00-Y38</w:t>
            </w:r>
          </w:p>
        </w:tc>
        <w:tc>
          <w:tcPr>
            <w:tcW w:w="1202" w:type="pct"/>
          </w:tcPr>
          <w:p w14:paraId="3A52D266"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E codes</w:t>
            </w:r>
          </w:p>
        </w:tc>
      </w:tr>
      <w:tr w:rsidR="00C859B8" w:rsidRPr="00A36E3A" w14:paraId="09730E5E" w14:textId="77777777" w:rsidTr="00C859B8">
        <w:tc>
          <w:tcPr>
            <w:tcW w:w="1010" w:type="pct"/>
          </w:tcPr>
          <w:p w14:paraId="41396235"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910-924</w:t>
            </w:r>
          </w:p>
        </w:tc>
        <w:tc>
          <w:tcPr>
            <w:tcW w:w="1442" w:type="pct"/>
          </w:tcPr>
          <w:p w14:paraId="5179755A"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Superficial injury; contusion</w:t>
            </w:r>
          </w:p>
        </w:tc>
        <w:tc>
          <w:tcPr>
            <w:tcW w:w="144" w:type="pct"/>
          </w:tcPr>
          <w:p w14:paraId="3B97DF54" w14:textId="77777777" w:rsidR="00C859B8" w:rsidRPr="00A36E3A" w:rsidRDefault="00C859B8" w:rsidP="00C859B8">
            <w:pPr>
              <w:spacing w:line="240" w:lineRule="auto"/>
              <w:rPr>
                <w:rFonts w:ascii="Arial" w:eastAsia="Times New Roman" w:hAnsi="Arial" w:cs="Arial"/>
                <w:sz w:val="20"/>
                <w:szCs w:val="20"/>
              </w:rPr>
            </w:pPr>
          </w:p>
        </w:tc>
        <w:tc>
          <w:tcPr>
            <w:tcW w:w="1202" w:type="pct"/>
          </w:tcPr>
          <w:p w14:paraId="4C5F66FE" w14:textId="77777777" w:rsidR="00C859B8" w:rsidRPr="00A36E3A" w:rsidRDefault="00C859B8" w:rsidP="00C859B8">
            <w:pPr>
              <w:spacing w:line="240" w:lineRule="auto"/>
              <w:rPr>
                <w:rFonts w:ascii="Arial" w:eastAsia="Times New Roman" w:hAnsi="Arial" w:cs="Arial"/>
                <w:sz w:val="20"/>
                <w:szCs w:val="20"/>
              </w:rPr>
            </w:pPr>
          </w:p>
        </w:tc>
        <w:tc>
          <w:tcPr>
            <w:tcW w:w="1202" w:type="pct"/>
          </w:tcPr>
          <w:p w14:paraId="02FEF113" w14:textId="77777777" w:rsidR="00C859B8" w:rsidRPr="00A36E3A" w:rsidRDefault="00C859B8" w:rsidP="00C859B8">
            <w:pPr>
              <w:spacing w:line="240" w:lineRule="auto"/>
              <w:rPr>
                <w:rFonts w:ascii="Arial" w:eastAsia="Times New Roman" w:hAnsi="Arial" w:cs="Arial"/>
                <w:sz w:val="20"/>
                <w:szCs w:val="20"/>
              </w:rPr>
            </w:pPr>
          </w:p>
        </w:tc>
      </w:tr>
      <w:tr w:rsidR="00C859B8" w:rsidRPr="00A36E3A" w14:paraId="04C4E66C" w14:textId="77777777" w:rsidTr="00C859B8">
        <w:tc>
          <w:tcPr>
            <w:tcW w:w="1010" w:type="pct"/>
          </w:tcPr>
          <w:p w14:paraId="1DFAE2ED"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930-939, 951-951, 953-959</w:t>
            </w:r>
          </w:p>
        </w:tc>
        <w:tc>
          <w:tcPr>
            <w:tcW w:w="1442" w:type="pct"/>
          </w:tcPr>
          <w:p w14:paraId="3CE0601A"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Other injuries and conditions due to external causes</w:t>
            </w:r>
          </w:p>
        </w:tc>
        <w:tc>
          <w:tcPr>
            <w:tcW w:w="144" w:type="pct"/>
          </w:tcPr>
          <w:p w14:paraId="06D39104" w14:textId="77777777" w:rsidR="00C859B8" w:rsidRPr="00A36E3A" w:rsidRDefault="00C859B8" w:rsidP="00C859B8">
            <w:pPr>
              <w:spacing w:line="240" w:lineRule="auto"/>
              <w:rPr>
                <w:rFonts w:ascii="Arial" w:eastAsia="Times New Roman" w:hAnsi="Arial" w:cs="Arial"/>
                <w:sz w:val="20"/>
                <w:szCs w:val="20"/>
              </w:rPr>
            </w:pPr>
          </w:p>
        </w:tc>
        <w:tc>
          <w:tcPr>
            <w:tcW w:w="1202" w:type="pct"/>
          </w:tcPr>
          <w:p w14:paraId="7D6EEDDD" w14:textId="77777777" w:rsidR="00C859B8" w:rsidRPr="00A36E3A" w:rsidRDefault="00C859B8" w:rsidP="00C859B8">
            <w:pPr>
              <w:spacing w:line="240" w:lineRule="auto"/>
              <w:rPr>
                <w:rFonts w:ascii="Arial" w:eastAsia="Times New Roman" w:hAnsi="Arial" w:cs="Arial"/>
                <w:sz w:val="20"/>
                <w:szCs w:val="20"/>
              </w:rPr>
            </w:pPr>
          </w:p>
        </w:tc>
        <w:tc>
          <w:tcPr>
            <w:tcW w:w="1202" w:type="pct"/>
          </w:tcPr>
          <w:p w14:paraId="23A825F5" w14:textId="77777777" w:rsidR="00C859B8" w:rsidRPr="00A36E3A" w:rsidRDefault="00C859B8" w:rsidP="00C859B8">
            <w:pPr>
              <w:spacing w:line="240" w:lineRule="auto"/>
              <w:rPr>
                <w:rFonts w:ascii="Arial" w:eastAsia="Times New Roman" w:hAnsi="Arial" w:cs="Arial"/>
                <w:sz w:val="20"/>
                <w:szCs w:val="20"/>
              </w:rPr>
            </w:pPr>
          </w:p>
        </w:tc>
      </w:tr>
      <w:tr w:rsidR="00C859B8" w:rsidRPr="00A36E3A" w14:paraId="2EA9D197" w14:textId="77777777" w:rsidTr="00C859B8">
        <w:tc>
          <w:tcPr>
            <w:tcW w:w="1010" w:type="pct"/>
          </w:tcPr>
          <w:p w14:paraId="10C87C7A"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940-949</w:t>
            </w:r>
          </w:p>
        </w:tc>
        <w:tc>
          <w:tcPr>
            <w:tcW w:w="1442" w:type="pct"/>
          </w:tcPr>
          <w:p w14:paraId="765C137B"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Burns</w:t>
            </w:r>
          </w:p>
        </w:tc>
        <w:tc>
          <w:tcPr>
            <w:tcW w:w="144" w:type="pct"/>
          </w:tcPr>
          <w:p w14:paraId="45645A9B" w14:textId="77777777" w:rsidR="00C859B8" w:rsidRPr="00A36E3A" w:rsidRDefault="00C859B8" w:rsidP="00C859B8">
            <w:pPr>
              <w:spacing w:line="240" w:lineRule="auto"/>
              <w:rPr>
                <w:rFonts w:ascii="Arial" w:eastAsia="Times New Roman" w:hAnsi="Arial" w:cs="Arial"/>
                <w:sz w:val="20"/>
                <w:szCs w:val="20"/>
              </w:rPr>
            </w:pPr>
          </w:p>
        </w:tc>
        <w:tc>
          <w:tcPr>
            <w:tcW w:w="1202" w:type="pct"/>
          </w:tcPr>
          <w:p w14:paraId="35F4CF24" w14:textId="77777777" w:rsidR="00C859B8" w:rsidRPr="00A36E3A" w:rsidRDefault="00C859B8" w:rsidP="00C859B8">
            <w:pPr>
              <w:spacing w:line="240" w:lineRule="auto"/>
              <w:rPr>
                <w:rFonts w:ascii="Arial" w:eastAsia="Times New Roman" w:hAnsi="Arial" w:cs="Arial"/>
                <w:sz w:val="20"/>
                <w:szCs w:val="20"/>
              </w:rPr>
            </w:pPr>
          </w:p>
        </w:tc>
        <w:tc>
          <w:tcPr>
            <w:tcW w:w="1202" w:type="pct"/>
          </w:tcPr>
          <w:p w14:paraId="0BBB61F6" w14:textId="77777777" w:rsidR="00C859B8" w:rsidRPr="00A36E3A" w:rsidRDefault="00C859B8" w:rsidP="00C859B8">
            <w:pPr>
              <w:spacing w:line="240" w:lineRule="auto"/>
              <w:rPr>
                <w:rFonts w:ascii="Arial" w:eastAsia="Times New Roman" w:hAnsi="Arial" w:cs="Arial"/>
                <w:sz w:val="20"/>
                <w:szCs w:val="20"/>
              </w:rPr>
            </w:pPr>
          </w:p>
        </w:tc>
      </w:tr>
      <w:tr w:rsidR="00C859B8" w:rsidRPr="00A36E3A" w14:paraId="4CED2A10" w14:textId="77777777" w:rsidTr="00C859B8">
        <w:tc>
          <w:tcPr>
            <w:tcW w:w="1010" w:type="pct"/>
          </w:tcPr>
          <w:p w14:paraId="43DA62AD"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806, 952</w:t>
            </w:r>
          </w:p>
        </w:tc>
        <w:tc>
          <w:tcPr>
            <w:tcW w:w="1442" w:type="pct"/>
          </w:tcPr>
          <w:p w14:paraId="2C085201"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Spinal cord injury</w:t>
            </w:r>
          </w:p>
        </w:tc>
        <w:tc>
          <w:tcPr>
            <w:tcW w:w="144" w:type="pct"/>
          </w:tcPr>
          <w:p w14:paraId="563EAAF5" w14:textId="77777777" w:rsidR="00C859B8" w:rsidRPr="00A36E3A" w:rsidRDefault="00C859B8" w:rsidP="00C859B8">
            <w:pPr>
              <w:spacing w:line="240" w:lineRule="auto"/>
              <w:rPr>
                <w:rFonts w:ascii="Arial" w:eastAsia="Times New Roman" w:hAnsi="Arial" w:cs="Arial"/>
                <w:sz w:val="20"/>
                <w:szCs w:val="20"/>
              </w:rPr>
            </w:pPr>
          </w:p>
        </w:tc>
        <w:tc>
          <w:tcPr>
            <w:tcW w:w="1202" w:type="pct"/>
          </w:tcPr>
          <w:p w14:paraId="3D31547E" w14:textId="77777777" w:rsidR="00C859B8" w:rsidRPr="00A36E3A" w:rsidRDefault="00C859B8" w:rsidP="00C859B8">
            <w:pPr>
              <w:spacing w:line="240" w:lineRule="auto"/>
              <w:rPr>
                <w:rFonts w:ascii="Arial" w:eastAsia="Times New Roman" w:hAnsi="Arial" w:cs="Arial"/>
                <w:sz w:val="20"/>
                <w:szCs w:val="20"/>
              </w:rPr>
            </w:pPr>
          </w:p>
        </w:tc>
        <w:tc>
          <w:tcPr>
            <w:tcW w:w="1202" w:type="pct"/>
          </w:tcPr>
          <w:p w14:paraId="2883374C" w14:textId="77777777" w:rsidR="00C859B8" w:rsidRPr="00A36E3A" w:rsidRDefault="00C859B8" w:rsidP="00C859B8">
            <w:pPr>
              <w:spacing w:line="240" w:lineRule="auto"/>
              <w:rPr>
                <w:rFonts w:ascii="Arial" w:eastAsia="Times New Roman" w:hAnsi="Arial" w:cs="Arial"/>
                <w:sz w:val="20"/>
                <w:szCs w:val="20"/>
              </w:rPr>
            </w:pPr>
          </w:p>
        </w:tc>
      </w:tr>
      <w:tr w:rsidR="00C859B8" w:rsidRPr="00A36E3A" w14:paraId="1509DDF9" w14:textId="77777777" w:rsidTr="00C859B8">
        <w:tc>
          <w:tcPr>
            <w:tcW w:w="1010" w:type="pct"/>
            <w:tcBorders>
              <w:bottom w:val="single" w:sz="4" w:space="0" w:color="auto"/>
            </w:tcBorders>
          </w:tcPr>
          <w:p w14:paraId="41737E48"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E800-E999</w:t>
            </w:r>
          </w:p>
        </w:tc>
        <w:tc>
          <w:tcPr>
            <w:tcW w:w="1442" w:type="pct"/>
            <w:tcBorders>
              <w:bottom w:val="single" w:sz="4" w:space="0" w:color="auto"/>
            </w:tcBorders>
          </w:tcPr>
          <w:p w14:paraId="06C05B2A"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E codes</w:t>
            </w:r>
          </w:p>
        </w:tc>
        <w:tc>
          <w:tcPr>
            <w:tcW w:w="144" w:type="pct"/>
            <w:tcBorders>
              <w:bottom w:val="single" w:sz="4" w:space="0" w:color="auto"/>
            </w:tcBorders>
          </w:tcPr>
          <w:p w14:paraId="1C7606EB" w14:textId="77777777" w:rsidR="00C859B8" w:rsidRPr="00A36E3A" w:rsidRDefault="00C859B8" w:rsidP="00C859B8">
            <w:pPr>
              <w:spacing w:line="240" w:lineRule="auto"/>
              <w:rPr>
                <w:rFonts w:ascii="Arial" w:eastAsia="Times New Roman" w:hAnsi="Arial" w:cs="Arial"/>
                <w:sz w:val="20"/>
                <w:szCs w:val="20"/>
              </w:rPr>
            </w:pPr>
          </w:p>
        </w:tc>
        <w:tc>
          <w:tcPr>
            <w:tcW w:w="1202" w:type="pct"/>
            <w:tcBorders>
              <w:bottom w:val="single" w:sz="4" w:space="0" w:color="auto"/>
            </w:tcBorders>
          </w:tcPr>
          <w:p w14:paraId="76F422BC" w14:textId="77777777" w:rsidR="00C859B8" w:rsidRPr="00A36E3A" w:rsidRDefault="00C859B8" w:rsidP="00C859B8">
            <w:pPr>
              <w:spacing w:line="240" w:lineRule="auto"/>
              <w:rPr>
                <w:rFonts w:ascii="Arial" w:eastAsia="Times New Roman" w:hAnsi="Arial" w:cs="Arial"/>
                <w:sz w:val="20"/>
                <w:szCs w:val="20"/>
              </w:rPr>
            </w:pPr>
          </w:p>
        </w:tc>
        <w:tc>
          <w:tcPr>
            <w:tcW w:w="1202" w:type="pct"/>
            <w:tcBorders>
              <w:bottom w:val="single" w:sz="4" w:space="0" w:color="auto"/>
            </w:tcBorders>
          </w:tcPr>
          <w:p w14:paraId="0EE57D70" w14:textId="77777777" w:rsidR="00C859B8" w:rsidRPr="00A36E3A" w:rsidRDefault="00C859B8" w:rsidP="00C859B8">
            <w:pPr>
              <w:spacing w:line="240" w:lineRule="auto"/>
              <w:rPr>
                <w:rFonts w:ascii="Arial" w:eastAsia="Times New Roman" w:hAnsi="Arial" w:cs="Arial"/>
                <w:sz w:val="20"/>
                <w:szCs w:val="20"/>
              </w:rPr>
            </w:pPr>
          </w:p>
        </w:tc>
      </w:tr>
    </w:tbl>
    <w:p w14:paraId="40F35DF2" w14:textId="27FCD350" w:rsidR="00C859B8" w:rsidRDefault="00C859B8" w:rsidP="00C47BC4">
      <w:pPr>
        <w:spacing w:after="0" w:line="480" w:lineRule="auto"/>
        <w:rPr>
          <w:rFonts w:ascii="Arial" w:hAnsi="Arial" w:cs="Arial"/>
        </w:rPr>
      </w:pPr>
    </w:p>
    <w:p w14:paraId="54E8CD03" w14:textId="77777777" w:rsidR="00A36E3A" w:rsidRDefault="00A36E3A">
      <w:pPr>
        <w:rPr>
          <w:rFonts w:ascii="Arial" w:eastAsia="Times New Roman" w:hAnsi="Arial" w:cs="Arial"/>
          <w:b/>
          <w:bCs/>
        </w:rPr>
      </w:pPr>
      <w:bookmarkStart w:id="0" w:name="_Toc45053287"/>
      <w:r>
        <w:rPr>
          <w:rFonts w:ascii="Arial" w:eastAsia="Times New Roman" w:hAnsi="Arial" w:cs="Arial"/>
          <w:b/>
          <w:bCs/>
        </w:rPr>
        <w:br w:type="page"/>
      </w:r>
    </w:p>
    <w:p w14:paraId="7FAD0801" w14:textId="4926B6DB" w:rsidR="00C859B8" w:rsidRPr="00F7778C" w:rsidRDefault="00F7778C" w:rsidP="00C859B8">
      <w:pPr>
        <w:rPr>
          <w:rFonts w:ascii="Arial" w:eastAsia="Times New Roman" w:hAnsi="Arial" w:cs="Arial"/>
          <w:b/>
          <w:bCs/>
        </w:rPr>
      </w:pPr>
      <w:r w:rsidRPr="00F7778C">
        <w:rPr>
          <w:rFonts w:ascii="Arial" w:hAnsi="Arial" w:cs="Arial"/>
          <w:b/>
          <w:bCs/>
        </w:rPr>
        <w:lastRenderedPageBreak/>
        <w:t xml:space="preserve">Supplementary </w:t>
      </w:r>
      <w:r w:rsidR="00C859B8" w:rsidRPr="00F7778C">
        <w:rPr>
          <w:rFonts w:ascii="Arial" w:eastAsia="Times New Roman" w:hAnsi="Arial" w:cs="Arial"/>
          <w:b/>
          <w:bCs/>
        </w:rPr>
        <w:t>Table 3. ICD-9-CM and ICD-10-CM Diagnostic Codes for Chronic Pain</w:t>
      </w:r>
      <w:bookmarkEnd w:id="0"/>
    </w:p>
    <w:tbl>
      <w:tblPr>
        <w:tblW w:w="5000" w:type="pct"/>
        <w:tblLook w:val="04A0" w:firstRow="1" w:lastRow="0" w:firstColumn="1" w:lastColumn="0" w:noHBand="0" w:noVBand="1"/>
      </w:tblPr>
      <w:tblGrid>
        <w:gridCol w:w="1707"/>
        <w:gridCol w:w="2619"/>
        <w:gridCol w:w="367"/>
        <w:gridCol w:w="2280"/>
        <w:gridCol w:w="2361"/>
        <w:gridCol w:w="26"/>
      </w:tblGrid>
      <w:tr w:rsidR="00C859B8" w:rsidRPr="00A36E3A" w14:paraId="57762C40" w14:textId="77777777" w:rsidTr="00A36E3A">
        <w:trPr>
          <w:tblHeader/>
        </w:trPr>
        <w:tc>
          <w:tcPr>
            <w:tcW w:w="5000" w:type="pct"/>
            <w:gridSpan w:val="6"/>
            <w:tcBorders>
              <w:top w:val="single" w:sz="4" w:space="0" w:color="auto"/>
            </w:tcBorders>
          </w:tcPr>
          <w:p w14:paraId="2C1908DF" w14:textId="77777777" w:rsidR="00C859B8" w:rsidRPr="00A36E3A" w:rsidRDefault="00C859B8" w:rsidP="00C859B8">
            <w:pPr>
              <w:spacing w:line="240" w:lineRule="auto"/>
              <w:jc w:val="center"/>
              <w:rPr>
                <w:rFonts w:ascii="Arial" w:eastAsia="Times New Roman" w:hAnsi="Arial" w:cs="Arial"/>
                <w:sz w:val="20"/>
                <w:szCs w:val="20"/>
              </w:rPr>
            </w:pPr>
            <w:r w:rsidRPr="00A36E3A">
              <w:rPr>
                <w:rFonts w:ascii="Arial" w:eastAsia="Times New Roman" w:hAnsi="Arial" w:cs="Arial"/>
                <w:b/>
                <w:bCs/>
                <w:sz w:val="20"/>
                <w:szCs w:val="20"/>
              </w:rPr>
              <w:t>Chronic Pain</w:t>
            </w:r>
          </w:p>
        </w:tc>
      </w:tr>
      <w:tr w:rsidR="00C859B8" w:rsidRPr="00A36E3A" w14:paraId="6AB6D880" w14:textId="77777777" w:rsidTr="00A36E3A">
        <w:trPr>
          <w:gridAfter w:val="1"/>
          <w:wAfter w:w="14" w:type="pct"/>
          <w:tblHeader/>
        </w:trPr>
        <w:tc>
          <w:tcPr>
            <w:tcW w:w="912" w:type="pct"/>
            <w:tcBorders>
              <w:bottom w:val="single" w:sz="4" w:space="0" w:color="auto"/>
            </w:tcBorders>
          </w:tcPr>
          <w:p w14:paraId="6B8C79E6"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b/>
                <w:bCs/>
                <w:sz w:val="20"/>
                <w:szCs w:val="20"/>
              </w:rPr>
              <w:t>ICD-9-CM</w:t>
            </w:r>
          </w:p>
        </w:tc>
        <w:tc>
          <w:tcPr>
            <w:tcW w:w="1399" w:type="pct"/>
            <w:tcBorders>
              <w:bottom w:val="single" w:sz="4" w:space="0" w:color="auto"/>
            </w:tcBorders>
          </w:tcPr>
          <w:p w14:paraId="072D66EB"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b/>
                <w:bCs/>
                <w:sz w:val="20"/>
                <w:szCs w:val="20"/>
              </w:rPr>
              <w:t>Description</w:t>
            </w:r>
          </w:p>
        </w:tc>
        <w:tc>
          <w:tcPr>
            <w:tcW w:w="196" w:type="pct"/>
          </w:tcPr>
          <w:p w14:paraId="73D1EA4F" w14:textId="77777777" w:rsidR="00C859B8" w:rsidRPr="00A36E3A" w:rsidRDefault="00C859B8" w:rsidP="00C859B8">
            <w:pPr>
              <w:spacing w:line="240" w:lineRule="auto"/>
              <w:rPr>
                <w:rFonts w:ascii="Arial" w:eastAsia="Times New Roman" w:hAnsi="Arial" w:cs="Arial"/>
                <w:b/>
                <w:bCs/>
                <w:sz w:val="20"/>
                <w:szCs w:val="20"/>
              </w:rPr>
            </w:pPr>
          </w:p>
        </w:tc>
        <w:tc>
          <w:tcPr>
            <w:tcW w:w="1218" w:type="pct"/>
            <w:tcBorders>
              <w:bottom w:val="single" w:sz="4" w:space="0" w:color="auto"/>
            </w:tcBorders>
          </w:tcPr>
          <w:p w14:paraId="5716C798"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b/>
                <w:bCs/>
                <w:sz w:val="20"/>
                <w:szCs w:val="20"/>
              </w:rPr>
              <w:t>ICD-10-CM</w:t>
            </w:r>
          </w:p>
        </w:tc>
        <w:tc>
          <w:tcPr>
            <w:tcW w:w="1261" w:type="pct"/>
            <w:tcBorders>
              <w:bottom w:val="single" w:sz="4" w:space="0" w:color="auto"/>
            </w:tcBorders>
          </w:tcPr>
          <w:p w14:paraId="1FF3E577"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b/>
                <w:bCs/>
                <w:sz w:val="20"/>
                <w:szCs w:val="20"/>
              </w:rPr>
              <w:t>Description</w:t>
            </w:r>
          </w:p>
        </w:tc>
      </w:tr>
      <w:tr w:rsidR="00C859B8" w:rsidRPr="00A36E3A" w14:paraId="5FE7BA7A" w14:textId="77777777" w:rsidTr="001908F3">
        <w:trPr>
          <w:gridAfter w:val="1"/>
          <w:wAfter w:w="14" w:type="pct"/>
        </w:trPr>
        <w:tc>
          <w:tcPr>
            <w:tcW w:w="912" w:type="pct"/>
          </w:tcPr>
          <w:p w14:paraId="039C9147"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307.81</w:t>
            </w:r>
          </w:p>
        </w:tc>
        <w:tc>
          <w:tcPr>
            <w:tcW w:w="1399" w:type="pct"/>
          </w:tcPr>
          <w:p w14:paraId="287DFE0D"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Miscellaneous mental health disorders</w:t>
            </w:r>
          </w:p>
        </w:tc>
        <w:tc>
          <w:tcPr>
            <w:tcW w:w="196" w:type="pct"/>
          </w:tcPr>
          <w:p w14:paraId="0488077A" w14:textId="77777777" w:rsidR="00C859B8" w:rsidRPr="00A36E3A" w:rsidRDefault="00C859B8" w:rsidP="00C859B8">
            <w:pPr>
              <w:spacing w:line="240" w:lineRule="auto"/>
              <w:rPr>
                <w:rFonts w:ascii="Arial" w:eastAsia="Times New Roman" w:hAnsi="Arial" w:cs="Arial"/>
                <w:sz w:val="20"/>
                <w:szCs w:val="20"/>
              </w:rPr>
            </w:pPr>
          </w:p>
        </w:tc>
        <w:tc>
          <w:tcPr>
            <w:tcW w:w="1218" w:type="pct"/>
            <w:tcBorders>
              <w:top w:val="single" w:sz="4" w:space="0" w:color="auto"/>
            </w:tcBorders>
          </w:tcPr>
          <w:p w14:paraId="7193831F"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A18.01, A18.02</w:t>
            </w:r>
          </w:p>
        </w:tc>
        <w:tc>
          <w:tcPr>
            <w:tcW w:w="1261" w:type="pct"/>
            <w:tcBorders>
              <w:top w:val="single" w:sz="4" w:space="0" w:color="auto"/>
            </w:tcBorders>
          </w:tcPr>
          <w:p w14:paraId="431A381E"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Tuberculosis of other organs</w:t>
            </w:r>
          </w:p>
        </w:tc>
      </w:tr>
      <w:tr w:rsidR="00C859B8" w:rsidRPr="00A36E3A" w14:paraId="37CA4EA7" w14:textId="77777777" w:rsidTr="001908F3">
        <w:trPr>
          <w:gridAfter w:val="1"/>
          <w:wAfter w:w="14" w:type="pct"/>
        </w:trPr>
        <w:tc>
          <w:tcPr>
            <w:tcW w:w="912" w:type="pct"/>
          </w:tcPr>
          <w:p w14:paraId="57E9C385"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338.21, 338.22, 338.28, 338.29, 338.4</w:t>
            </w:r>
          </w:p>
        </w:tc>
        <w:tc>
          <w:tcPr>
            <w:tcW w:w="1399" w:type="pct"/>
          </w:tcPr>
          <w:p w14:paraId="3DFEA00E"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Other nervous system disorders</w:t>
            </w:r>
          </w:p>
        </w:tc>
        <w:tc>
          <w:tcPr>
            <w:tcW w:w="196" w:type="pct"/>
          </w:tcPr>
          <w:p w14:paraId="6C4F11A6" w14:textId="77777777" w:rsidR="00C859B8" w:rsidRPr="00A36E3A" w:rsidRDefault="00C859B8" w:rsidP="00C859B8">
            <w:pPr>
              <w:spacing w:line="240" w:lineRule="auto"/>
              <w:rPr>
                <w:rFonts w:ascii="Arial" w:eastAsia="Times New Roman" w:hAnsi="Arial" w:cs="Arial"/>
                <w:sz w:val="20"/>
                <w:szCs w:val="20"/>
              </w:rPr>
            </w:pPr>
          </w:p>
        </w:tc>
        <w:tc>
          <w:tcPr>
            <w:tcW w:w="1218" w:type="pct"/>
          </w:tcPr>
          <w:p w14:paraId="306501F8"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A52.16</w:t>
            </w:r>
          </w:p>
        </w:tc>
        <w:tc>
          <w:tcPr>
            <w:tcW w:w="1261" w:type="pct"/>
          </w:tcPr>
          <w:p w14:paraId="2E0959E4"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Late syphilis</w:t>
            </w:r>
          </w:p>
        </w:tc>
      </w:tr>
      <w:tr w:rsidR="00C859B8" w:rsidRPr="00A36E3A" w14:paraId="22A3CD22" w14:textId="77777777" w:rsidTr="001908F3">
        <w:trPr>
          <w:gridAfter w:val="1"/>
          <w:wAfter w:w="14" w:type="pct"/>
        </w:trPr>
        <w:tc>
          <w:tcPr>
            <w:tcW w:w="912" w:type="pct"/>
          </w:tcPr>
          <w:p w14:paraId="673839CD"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346.0-346.5, 346.7-346.9</w:t>
            </w:r>
          </w:p>
        </w:tc>
        <w:tc>
          <w:tcPr>
            <w:tcW w:w="1399" w:type="pct"/>
          </w:tcPr>
          <w:p w14:paraId="730E6535"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Headache, migraine</w:t>
            </w:r>
          </w:p>
        </w:tc>
        <w:tc>
          <w:tcPr>
            <w:tcW w:w="196" w:type="pct"/>
          </w:tcPr>
          <w:p w14:paraId="0A4D8623" w14:textId="77777777" w:rsidR="00C859B8" w:rsidRPr="00A36E3A" w:rsidRDefault="00C859B8" w:rsidP="00C859B8">
            <w:pPr>
              <w:spacing w:line="240" w:lineRule="auto"/>
              <w:rPr>
                <w:rFonts w:ascii="Arial" w:eastAsia="Times New Roman" w:hAnsi="Arial" w:cs="Arial"/>
                <w:sz w:val="20"/>
                <w:szCs w:val="20"/>
              </w:rPr>
            </w:pPr>
          </w:p>
        </w:tc>
        <w:tc>
          <w:tcPr>
            <w:tcW w:w="1218" w:type="pct"/>
          </w:tcPr>
          <w:p w14:paraId="5B1FA522"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E08.610, E08.618, E09.610, E09.618, E10.610, E10.618, E11.610, E11.618</w:t>
            </w:r>
          </w:p>
        </w:tc>
        <w:tc>
          <w:tcPr>
            <w:tcW w:w="1261" w:type="pct"/>
          </w:tcPr>
          <w:p w14:paraId="680F00EF"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Diabetes mellitus with complications</w:t>
            </w:r>
          </w:p>
        </w:tc>
      </w:tr>
      <w:tr w:rsidR="00C859B8" w:rsidRPr="00A36E3A" w14:paraId="7350E7EB" w14:textId="77777777" w:rsidTr="001908F3">
        <w:trPr>
          <w:gridAfter w:val="1"/>
          <w:wAfter w:w="14" w:type="pct"/>
        </w:trPr>
        <w:tc>
          <w:tcPr>
            <w:tcW w:w="912" w:type="pct"/>
          </w:tcPr>
          <w:p w14:paraId="010151F2"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346.6</w:t>
            </w:r>
          </w:p>
        </w:tc>
        <w:tc>
          <w:tcPr>
            <w:tcW w:w="1399" w:type="pct"/>
          </w:tcPr>
          <w:p w14:paraId="2AB1540F"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Acute cerebrovascular disease</w:t>
            </w:r>
          </w:p>
        </w:tc>
        <w:tc>
          <w:tcPr>
            <w:tcW w:w="196" w:type="pct"/>
          </w:tcPr>
          <w:p w14:paraId="6FF27E31" w14:textId="77777777" w:rsidR="00C859B8" w:rsidRPr="00A36E3A" w:rsidRDefault="00C859B8" w:rsidP="00C859B8">
            <w:pPr>
              <w:spacing w:line="240" w:lineRule="auto"/>
              <w:rPr>
                <w:rFonts w:ascii="Arial" w:eastAsia="Times New Roman" w:hAnsi="Arial" w:cs="Arial"/>
                <w:sz w:val="20"/>
                <w:szCs w:val="20"/>
              </w:rPr>
            </w:pPr>
          </w:p>
        </w:tc>
        <w:tc>
          <w:tcPr>
            <w:tcW w:w="1218" w:type="pct"/>
          </w:tcPr>
          <w:p w14:paraId="44E012BA"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G43, G44.209</w:t>
            </w:r>
          </w:p>
        </w:tc>
        <w:tc>
          <w:tcPr>
            <w:tcW w:w="1261" w:type="pct"/>
          </w:tcPr>
          <w:p w14:paraId="633B419C"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Headache, including migraine</w:t>
            </w:r>
          </w:p>
        </w:tc>
      </w:tr>
      <w:tr w:rsidR="00C859B8" w:rsidRPr="00A36E3A" w14:paraId="08B3B9AC" w14:textId="77777777" w:rsidTr="001908F3">
        <w:trPr>
          <w:gridAfter w:val="1"/>
          <w:wAfter w:w="14" w:type="pct"/>
        </w:trPr>
        <w:tc>
          <w:tcPr>
            <w:tcW w:w="912" w:type="pct"/>
          </w:tcPr>
          <w:p w14:paraId="01DE11F2"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710, 725-726, 727-729</w:t>
            </w:r>
          </w:p>
        </w:tc>
        <w:tc>
          <w:tcPr>
            <w:tcW w:w="1399" w:type="pct"/>
          </w:tcPr>
          <w:p w14:paraId="3F630FDC"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Other connective tissue disease</w:t>
            </w:r>
          </w:p>
        </w:tc>
        <w:tc>
          <w:tcPr>
            <w:tcW w:w="196" w:type="pct"/>
          </w:tcPr>
          <w:p w14:paraId="56644570" w14:textId="77777777" w:rsidR="00C859B8" w:rsidRPr="00A36E3A" w:rsidRDefault="00C859B8" w:rsidP="00C859B8">
            <w:pPr>
              <w:spacing w:line="240" w:lineRule="auto"/>
              <w:rPr>
                <w:rFonts w:ascii="Arial" w:eastAsia="Times New Roman" w:hAnsi="Arial" w:cs="Arial"/>
                <w:sz w:val="20"/>
                <w:szCs w:val="20"/>
              </w:rPr>
            </w:pPr>
          </w:p>
        </w:tc>
        <w:tc>
          <w:tcPr>
            <w:tcW w:w="1218" w:type="pct"/>
          </w:tcPr>
          <w:p w14:paraId="5FC8B459"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G89.21, G89.22, G89.28, G89.29, R26.2</w:t>
            </w:r>
          </w:p>
        </w:tc>
        <w:tc>
          <w:tcPr>
            <w:tcW w:w="1261" w:type="pct"/>
          </w:tcPr>
          <w:p w14:paraId="31BBB24B"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Other nervous system disorders</w:t>
            </w:r>
          </w:p>
        </w:tc>
      </w:tr>
      <w:tr w:rsidR="00C859B8" w:rsidRPr="00A36E3A" w14:paraId="58431482" w14:textId="77777777" w:rsidTr="001908F3">
        <w:trPr>
          <w:gridAfter w:val="1"/>
          <w:wAfter w:w="14" w:type="pct"/>
        </w:trPr>
        <w:tc>
          <w:tcPr>
            <w:tcW w:w="912" w:type="pct"/>
          </w:tcPr>
          <w:p w14:paraId="71E6A777"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711</w:t>
            </w:r>
          </w:p>
        </w:tc>
        <w:tc>
          <w:tcPr>
            <w:tcW w:w="1399" w:type="pct"/>
          </w:tcPr>
          <w:p w14:paraId="38B371F9"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Infective arthritis and osteomyelitis</w:t>
            </w:r>
          </w:p>
        </w:tc>
        <w:tc>
          <w:tcPr>
            <w:tcW w:w="196" w:type="pct"/>
          </w:tcPr>
          <w:p w14:paraId="57282D1B" w14:textId="77777777" w:rsidR="00C859B8" w:rsidRPr="00A36E3A" w:rsidRDefault="00C859B8" w:rsidP="00C859B8">
            <w:pPr>
              <w:spacing w:line="240" w:lineRule="auto"/>
              <w:rPr>
                <w:rFonts w:ascii="Arial" w:eastAsia="Times New Roman" w:hAnsi="Arial" w:cs="Arial"/>
                <w:sz w:val="20"/>
                <w:szCs w:val="20"/>
              </w:rPr>
            </w:pPr>
          </w:p>
        </w:tc>
        <w:tc>
          <w:tcPr>
            <w:tcW w:w="1218" w:type="pct"/>
          </w:tcPr>
          <w:p w14:paraId="3B5741DF"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M00.00, M01, M02.1, M02.3-M02.9</w:t>
            </w:r>
          </w:p>
        </w:tc>
        <w:tc>
          <w:tcPr>
            <w:tcW w:w="1261" w:type="pct"/>
          </w:tcPr>
          <w:p w14:paraId="1D86D26B"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Infective arthritis and osteomyelitis</w:t>
            </w:r>
          </w:p>
        </w:tc>
      </w:tr>
      <w:tr w:rsidR="00C859B8" w:rsidRPr="00A36E3A" w14:paraId="57CDA057" w14:textId="77777777" w:rsidTr="001908F3">
        <w:trPr>
          <w:gridAfter w:val="1"/>
          <w:wAfter w:w="14" w:type="pct"/>
        </w:trPr>
        <w:tc>
          <w:tcPr>
            <w:tcW w:w="912" w:type="pct"/>
          </w:tcPr>
          <w:p w14:paraId="20769D90"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712</w:t>
            </w:r>
          </w:p>
        </w:tc>
        <w:tc>
          <w:tcPr>
            <w:tcW w:w="1399" w:type="pct"/>
          </w:tcPr>
          <w:p w14:paraId="01876B18"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Gout</w:t>
            </w:r>
          </w:p>
        </w:tc>
        <w:tc>
          <w:tcPr>
            <w:tcW w:w="196" w:type="pct"/>
          </w:tcPr>
          <w:p w14:paraId="432419A9" w14:textId="77777777" w:rsidR="00C859B8" w:rsidRPr="00A36E3A" w:rsidRDefault="00C859B8" w:rsidP="00C859B8">
            <w:pPr>
              <w:spacing w:line="240" w:lineRule="auto"/>
              <w:rPr>
                <w:rFonts w:ascii="Arial" w:eastAsia="Times New Roman" w:hAnsi="Arial" w:cs="Arial"/>
                <w:sz w:val="20"/>
                <w:szCs w:val="20"/>
              </w:rPr>
            </w:pPr>
          </w:p>
        </w:tc>
        <w:tc>
          <w:tcPr>
            <w:tcW w:w="1218" w:type="pct"/>
          </w:tcPr>
          <w:p w14:paraId="5AF94D19"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M02.0, M02.2, M12.1, M13, M14.6, M14.8, M36.1-M36.4, R29.4</w:t>
            </w:r>
          </w:p>
        </w:tc>
        <w:tc>
          <w:tcPr>
            <w:tcW w:w="1261" w:type="pct"/>
          </w:tcPr>
          <w:p w14:paraId="290FA22F"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Other non-traumatic joint disorders</w:t>
            </w:r>
          </w:p>
        </w:tc>
      </w:tr>
      <w:tr w:rsidR="00C859B8" w:rsidRPr="00A36E3A" w14:paraId="68888E14" w14:textId="77777777" w:rsidTr="001908F3">
        <w:trPr>
          <w:gridAfter w:val="1"/>
          <w:wAfter w:w="14" w:type="pct"/>
        </w:trPr>
        <w:tc>
          <w:tcPr>
            <w:tcW w:w="912" w:type="pct"/>
          </w:tcPr>
          <w:p w14:paraId="068D1D73"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713, 716, 718.1-718.9, 719</w:t>
            </w:r>
          </w:p>
        </w:tc>
        <w:tc>
          <w:tcPr>
            <w:tcW w:w="1399" w:type="pct"/>
          </w:tcPr>
          <w:p w14:paraId="6EAF7135"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Other non-traumatic joint disorders</w:t>
            </w:r>
          </w:p>
        </w:tc>
        <w:tc>
          <w:tcPr>
            <w:tcW w:w="196" w:type="pct"/>
          </w:tcPr>
          <w:p w14:paraId="5B96F371" w14:textId="77777777" w:rsidR="00C859B8" w:rsidRPr="00A36E3A" w:rsidRDefault="00C859B8" w:rsidP="00C859B8">
            <w:pPr>
              <w:spacing w:line="240" w:lineRule="auto"/>
              <w:rPr>
                <w:rFonts w:ascii="Arial" w:eastAsia="Times New Roman" w:hAnsi="Arial" w:cs="Arial"/>
                <w:sz w:val="20"/>
                <w:szCs w:val="20"/>
              </w:rPr>
            </w:pPr>
          </w:p>
        </w:tc>
        <w:tc>
          <w:tcPr>
            <w:tcW w:w="1218" w:type="pct"/>
          </w:tcPr>
          <w:p w14:paraId="49061330"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M04.2, M04.8, M04.9</w:t>
            </w:r>
          </w:p>
        </w:tc>
        <w:tc>
          <w:tcPr>
            <w:tcW w:w="1261" w:type="pct"/>
          </w:tcPr>
          <w:p w14:paraId="091AE9D0"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Immunity disorders</w:t>
            </w:r>
          </w:p>
        </w:tc>
      </w:tr>
      <w:tr w:rsidR="00C859B8" w:rsidRPr="00A36E3A" w14:paraId="4A7EA1EB" w14:textId="77777777" w:rsidTr="001908F3">
        <w:trPr>
          <w:gridAfter w:val="1"/>
          <w:wAfter w:w="14" w:type="pct"/>
        </w:trPr>
        <w:tc>
          <w:tcPr>
            <w:tcW w:w="912" w:type="pct"/>
          </w:tcPr>
          <w:p w14:paraId="59BF73F9"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714-715, 720.0</w:t>
            </w:r>
          </w:p>
        </w:tc>
        <w:tc>
          <w:tcPr>
            <w:tcW w:w="1399" w:type="pct"/>
          </w:tcPr>
          <w:p w14:paraId="20D10814"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Rheumatoid arthritis and osteoarthritis</w:t>
            </w:r>
          </w:p>
        </w:tc>
        <w:tc>
          <w:tcPr>
            <w:tcW w:w="196" w:type="pct"/>
          </w:tcPr>
          <w:p w14:paraId="0E2F9AF8" w14:textId="77777777" w:rsidR="00C859B8" w:rsidRPr="00A36E3A" w:rsidRDefault="00C859B8" w:rsidP="00C859B8">
            <w:pPr>
              <w:spacing w:line="240" w:lineRule="auto"/>
              <w:rPr>
                <w:rFonts w:ascii="Arial" w:eastAsia="Times New Roman" w:hAnsi="Arial" w:cs="Arial"/>
                <w:sz w:val="20"/>
                <w:szCs w:val="20"/>
              </w:rPr>
            </w:pPr>
          </w:p>
        </w:tc>
        <w:tc>
          <w:tcPr>
            <w:tcW w:w="1218" w:type="pct"/>
          </w:tcPr>
          <w:p w14:paraId="5358DC4E"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M05-M08, M12, M14.6, M14.8, M15-M19, M45, M48.8</w:t>
            </w:r>
          </w:p>
        </w:tc>
        <w:tc>
          <w:tcPr>
            <w:tcW w:w="1261" w:type="pct"/>
          </w:tcPr>
          <w:p w14:paraId="13088FBB"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Rheumatoid arthritis and osteomyelitis</w:t>
            </w:r>
          </w:p>
        </w:tc>
      </w:tr>
      <w:tr w:rsidR="00C859B8" w:rsidRPr="00A36E3A" w14:paraId="50C76914" w14:textId="77777777" w:rsidTr="001908F3">
        <w:trPr>
          <w:gridAfter w:val="1"/>
          <w:wAfter w:w="14" w:type="pct"/>
        </w:trPr>
        <w:tc>
          <w:tcPr>
            <w:tcW w:w="912" w:type="pct"/>
          </w:tcPr>
          <w:p w14:paraId="77169BEB"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716.1, 717-718</w:t>
            </w:r>
          </w:p>
        </w:tc>
        <w:tc>
          <w:tcPr>
            <w:tcW w:w="1399" w:type="pct"/>
          </w:tcPr>
          <w:p w14:paraId="396887A0"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Joint disorders and dislocations, trauma-related</w:t>
            </w:r>
          </w:p>
        </w:tc>
        <w:tc>
          <w:tcPr>
            <w:tcW w:w="196" w:type="pct"/>
          </w:tcPr>
          <w:p w14:paraId="7A27C556" w14:textId="77777777" w:rsidR="00C859B8" w:rsidRPr="00A36E3A" w:rsidRDefault="00C859B8" w:rsidP="00C859B8">
            <w:pPr>
              <w:spacing w:line="240" w:lineRule="auto"/>
              <w:rPr>
                <w:rFonts w:ascii="Arial" w:eastAsia="Times New Roman" w:hAnsi="Arial" w:cs="Arial"/>
                <w:sz w:val="20"/>
                <w:szCs w:val="20"/>
              </w:rPr>
            </w:pPr>
          </w:p>
        </w:tc>
        <w:tc>
          <w:tcPr>
            <w:tcW w:w="1218" w:type="pct"/>
          </w:tcPr>
          <w:p w14:paraId="62CA67A1"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M11</w:t>
            </w:r>
          </w:p>
        </w:tc>
        <w:tc>
          <w:tcPr>
            <w:tcW w:w="1261" w:type="pct"/>
          </w:tcPr>
          <w:p w14:paraId="09F68134"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Gout</w:t>
            </w:r>
          </w:p>
        </w:tc>
      </w:tr>
      <w:tr w:rsidR="00C859B8" w:rsidRPr="00A36E3A" w14:paraId="6532B0C4" w14:textId="77777777" w:rsidTr="001908F3">
        <w:trPr>
          <w:gridAfter w:val="1"/>
          <w:wAfter w:w="14" w:type="pct"/>
        </w:trPr>
        <w:tc>
          <w:tcPr>
            <w:tcW w:w="912" w:type="pct"/>
          </w:tcPr>
          <w:p w14:paraId="0D16FF28"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718.4</w:t>
            </w:r>
          </w:p>
        </w:tc>
        <w:tc>
          <w:tcPr>
            <w:tcW w:w="1399" w:type="pct"/>
          </w:tcPr>
          <w:p w14:paraId="464761AB"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Other acquired deformities</w:t>
            </w:r>
          </w:p>
        </w:tc>
        <w:tc>
          <w:tcPr>
            <w:tcW w:w="196" w:type="pct"/>
          </w:tcPr>
          <w:p w14:paraId="3B7AC98B" w14:textId="77777777" w:rsidR="00C859B8" w:rsidRPr="00A36E3A" w:rsidRDefault="00C859B8" w:rsidP="00C859B8">
            <w:pPr>
              <w:spacing w:line="240" w:lineRule="auto"/>
              <w:rPr>
                <w:rFonts w:ascii="Arial" w:eastAsia="Times New Roman" w:hAnsi="Arial" w:cs="Arial"/>
                <w:sz w:val="20"/>
                <w:szCs w:val="20"/>
              </w:rPr>
            </w:pPr>
          </w:p>
        </w:tc>
        <w:tc>
          <w:tcPr>
            <w:tcW w:w="1218" w:type="pct"/>
          </w:tcPr>
          <w:p w14:paraId="7092ACF7"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M12.5, M22, M23, M24.0-M24.3, M24.6-M24.9, M43.3-M43.5</w:t>
            </w:r>
          </w:p>
        </w:tc>
        <w:tc>
          <w:tcPr>
            <w:tcW w:w="1261" w:type="pct"/>
          </w:tcPr>
          <w:p w14:paraId="460266E8"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Joint disorders and dislocations; trauma-related</w:t>
            </w:r>
          </w:p>
        </w:tc>
      </w:tr>
      <w:tr w:rsidR="00C859B8" w:rsidRPr="00A36E3A" w14:paraId="054D64A2" w14:textId="77777777" w:rsidTr="001908F3">
        <w:trPr>
          <w:gridAfter w:val="1"/>
          <w:wAfter w:w="14" w:type="pct"/>
        </w:trPr>
        <w:tc>
          <w:tcPr>
            <w:tcW w:w="912" w:type="pct"/>
          </w:tcPr>
          <w:p w14:paraId="64B42AEA"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720.1, 721-724</w:t>
            </w:r>
          </w:p>
        </w:tc>
        <w:tc>
          <w:tcPr>
            <w:tcW w:w="1399" w:type="pct"/>
          </w:tcPr>
          <w:p w14:paraId="6EDF396F"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Spondylosis; intervertebral disc disorders; other back problems</w:t>
            </w:r>
          </w:p>
        </w:tc>
        <w:tc>
          <w:tcPr>
            <w:tcW w:w="196" w:type="pct"/>
          </w:tcPr>
          <w:p w14:paraId="04AB3CC8" w14:textId="77777777" w:rsidR="00C859B8" w:rsidRPr="00A36E3A" w:rsidRDefault="00C859B8" w:rsidP="00C859B8">
            <w:pPr>
              <w:spacing w:line="240" w:lineRule="auto"/>
              <w:rPr>
                <w:rFonts w:ascii="Arial" w:eastAsia="Times New Roman" w:hAnsi="Arial" w:cs="Arial"/>
                <w:sz w:val="20"/>
                <w:szCs w:val="20"/>
              </w:rPr>
            </w:pPr>
          </w:p>
        </w:tc>
        <w:tc>
          <w:tcPr>
            <w:tcW w:w="1218" w:type="pct"/>
          </w:tcPr>
          <w:p w14:paraId="38477609"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M20.1, M20.6</w:t>
            </w:r>
          </w:p>
        </w:tc>
        <w:tc>
          <w:tcPr>
            <w:tcW w:w="1261" w:type="pct"/>
          </w:tcPr>
          <w:p w14:paraId="288805A5"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Acquired foot deformities</w:t>
            </w:r>
          </w:p>
        </w:tc>
      </w:tr>
      <w:tr w:rsidR="00C859B8" w:rsidRPr="00A36E3A" w14:paraId="5802DF77" w14:textId="77777777" w:rsidTr="001908F3">
        <w:trPr>
          <w:gridAfter w:val="1"/>
          <w:wAfter w:w="14" w:type="pct"/>
        </w:trPr>
        <w:tc>
          <w:tcPr>
            <w:tcW w:w="912" w:type="pct"/>
          </w:tcPr>
          <w:p w14:paraId="051A5E97"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727.1</w:t>
            </w:r>
          </w:p>
        </w:tc>
        <w:tc>
          <w:tcPr>
            <w:tcW w:w="1399" w:type="pct"/>
          </w:tcPr>
          <w:p w14:paraId="5FAB821F"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Acquired foot deformities</w:t>
            </w:r>
          </w:p>
        </w:tc>
        <w:tc>
          <w:tcPr>
            <w:tcW w:w="196" w:type="pct"/>
          </w:tcPr>
          <w:p w14:paraId="51ABD31A" w14:textId="77777777" w:rsidR="00C859B8" w:rsidRPr="00A36E3A" w:rsidRDefault="00C859B8" w:rsidP="00C859B8">
            <w:pPr>
              <w:spacing w:line="240" w:lineRule="auto"/>
              <w:rPr>
                <w:rFonts w:ascii="Arial" w:eastAsia="Times New Roman" w:hAnsi="Arial" w:cs="Arial"/>
                <w:sz w:val="20"/>
                <w:szCs w:val="20"/>
              </w:rPr>
            </w:pPr>
          </w:p>
        </w:tc>
        <w:tc>
          <w:tcPr>
            <w:tcW w:w="1218" w:type="pct"/>
          </w:tcPr>
          <w:p w14:paraId="47CE5F3E"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M24.5, M43.8X9</w:t>
            </w:r>
          </w:p>
        </w:tc>
        <w:tc>
          <w:tcPr>
            <w:tcW w:w="1261" w:type="pct"/>
          </w:tcPr>
          <w:p w14:paraId="53289C59"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Other acquired deformities</w:t>
            </w:r>
          </w:p>
        </w:tc>
      </w:tr>
      <w:tr w:rsidR="00C859B8" w:rsidRPr="00A36E3A" w14:paraId="50A53D7E" w14:textId="77777777" w:rsidTr="001908F3">
        <w:trPr>
          <w:gridAfter w:val="1"/>
          <w:wAfter w:w="14" w:type="pct"/>
        </w:trPr>
        <w:tc>
          <w:tcPr>
            <w:tcW w:w="912" w:type="pct"/>
          </w:tcPr>
          <w:p w14:paraId="0143CFF8" w14:textId="77777777" w:rsidR="00C859B8" w:rsidRPr="00A36E3A" w:rsidRDefault="00C859B8" w:rsidP="00C859B8">
            <w:pPr>
              <w:spacing w:line="240" w:lineRule="auto"/>
              <w:rPr>
                <w:rFonts w:ascii="Arial" w:eastAsia="Times New Roman" w:hAnsi="Arial" w:cs="Arial"/>
                <w:sz w:val="20"/>
                <w:szCs w:val="20"/>
              </w:rPr>
            </w:pPr>
          </w:p>
        </w:tc>
        <w:tc>
          <w:tcPr>
            <w:tcW w:w="1399" w:type="pct"/>
          </w:tcPr>
          <w:p w14:paraId="218E1A9D" w14:textId="77777777" w:rsidR="00C859B8" w:rsidRPr="00A36E3A" w:rsidRDefault="00C859B8" w:rsidP="00C859B8">
            <w:pPr>
              <w:spacing w:line="240" w:lineRule="auto"/>
              <w:rPr>
                <w:rFonts w:ascii="Arial" w:eastAsia="Times New Roman" w:hAnsi="Arial" w:cs="Arial"/>
                <w:sz w:val="20"/>
                <w:szCs w:val="20"/>
              </w:rPr>
            </w:pPr>
          </w:p>
        </w:tc>
        <w:tc>
          <w:tcPr>
            <w:tcW w:w="196" w:type="pct"/>
          </w:tcPr>
          <w:p w14:paraId="639FB161" w14:textId="77777777" w:rsidR="00C859B8" w:rsidRPr="00A36E3A" w:rsidRDefault="00C859B8" w:rsidP="00C859B8">
            <w:pPr>
              <w:spacing w:line="240" w:lineRule="auto"/>
              <w:rPr>
                <w:rFonts w:ascii="Arial" w:eastAsia="Times New Roman" w:hAnsi="Arial" w:cs="Arial"/>
                <w:sz w:val="20"/>
                <w:szCs w:val="20"/>
              </w:rPr>
            </w:pPr>
          </w:p>
        </w:tc>
        <w:tc>
          <w:tcPr>
            <w:tcW w:w="1218" w:type="pct"/>
          </w:tcPr>
          <w:p w14:paraId="0064D25C"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M32-M34, M35, M36.0, M36.8, M60-M62, M63.8, M65-M67, M75-M79, R25.2, R29.898</w:t>
            </w:r>
          </w:p>
        </w:tc>
        <w:tc>
          <w:tcPr>
            <w:tcW w:w="1261" w:type="pct"/>
          </w:tcPr>
          <w:p w14:paraId="36E6D5CF"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Systemic lupus and connective tissue disorders</w:t>
            </w:r>
          </w:p>
        </w:tc>
      </w:tr>
      <w:tr w:rsidR="00C859B8" w:rsidRPr="00A36E3A" w14:paraId="72B3CC1A" w14:textId="77777777" w:rsidTr="001908F3">
        <w:trPr>
          <w:gridAfter w:val="1"/>
          <w:wAfter w:w="14" w:type="pct"/>
        </w:trPr>
        <w:tc>
          <w:tcPr>
            <w:tcW w:w="912" w:type="pct"/>
          </w:tcPr>
          <w:p w14:paraId="6E34E416" w14:textId="77777777" w:rsidR="00C859B8" w:rsidRPr="00A36E3A" w:rsidRDefault="00C859B8" w:rsidP="00C859B8">
            <w:pPr>
              <w:spacing w:line="240" w:lineRule="auto"/>
              <w:rPr>
                <w:rFonts w:ascii="Arial" w:eastAsia="Times New Roman" w:hAnsi="Arial" w:cs="Arial"/>
                <w:sz w:val="20"/>
                <w:szCs w:val="20"/>
              </w:rPr>
            </w:pPr>
          </w:p>
        </w:tc>
        <w:tc>
          <w:tcPr>
            <w:tcW w:w="1399" w:type="pct"/>
          </w:tcPr>
          <w:p w14:paraId="7E1F0D9C" w14:textId="77777777" w:rsidR="00C859B8" w:rsidRPr="00A36E3A" w:rsidRDefault="00C859B8" w:rsidP="00C859B8">
            <w:pPr>
              <w:spacing w:line="240" w:lineRule="auto"/>
              <w:rPr>
                <w:rFonts w:ascii="Arial" w:eastAsia="Times New Roman" w:hAnsi="Arial" w:cs="Arial"/>
                <w:sz w:val="20"/>
                <w:szCs w:val="20"/>
              </w:rPr>
            </w:pPr>
          </w:p>
        </w:tc>
        <w:tc>
          <w:tcPr>
            <w:tcW w:w="196" w:type="pct"/>
          </w:tcPr>
          <w:p w14:paraId="085A0FFD" w14:textId="77777777" w:rsidR="00C859B8" w:rsidRPr="00A36E3A" w:rsidRDefault="00C859B8" w:rsidP="00C859B8">
            <w:pPr>
              <w:spacing w:line="240" w:lineRule="auto"/>
              <w:rPr>
                <w:rFonts w:ascii="Arial" w:eastAsia="Times New Roman" w:hAnsi="Arial" w:cs="Arial"/>
                <w:sz w:val="20"/>
                <w:szCs w:val="20"/>
              </w:rPr>
            </w:pPr>
          </w:p>
        </w:tc>
        <w:tc>
          <w:tcPr>
            <w:tcW w:w="1218" w:type="pct"/>
          </w:tcPr>
          <w:p w14:paraId="02240932"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M43.2, M48.0-M48, M49.8, M50, M51, M53, M54, M62.830, M96, M99.2</w:t>
            </w:r>
          </w:p>
        </w:tc>
        <w:tc>
          <w:tcPr>
            <w:tcW w:w="1261" w:type="pct"/>
          </w:tcPr>
          <w:p w14:paraId="3B81840D"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Spondylosis; intervertebral disc disorders, other back problems</w:t>
            </w:r>
          </w:p>
        </w:tc>
      </w:tr>
      <w:tr w:rsidR="00C859B8" w:rsidRPr="00A36E3A" w14:paraId="0BF73BD6" w14:textId="77777777" w:rsidTr="001908F3">
        <w:trPr>
          <w:gridAfter w:val="1"/>
          <w:wAfter w:w="14" w:type="pct"/>
        </w:trPr>
        <w:tc>
          <w:tcPr>
            <w:tcW w:w="912" w:type="pct"/>
            <w:tcBorders>
              <w:bottom w:val="single" w:sz="4" w:space="0" w:color="auto"/>
            </w:tcBorders>
          </w:tcPr>
          <w:p w14:paraId="76A9E911" w14:textId="77777777" w:rsidR="00C859B8" w:rsidRPr="00A36E3A" w:rsidRDefault="00C859B8" w:rsidP="00C859B8">
            <w:pPr>
              <w:spacing w:line="240" w:lineRule="auto"/>
              <w:rPr>
                <w:rFonts w:ascii="Arial" w:eastAsia="Times New Roman" w:hAnsi="Arial" w:cs="Arial"/>
                <w:sz w:val="20"/>
                <w:szCs w:val="20"/>
              </w:rPr>
            </w:pPr>
          </w:p>
        </w:tc>
        <w:tc>
          <w:tcPr>
            <w:tcW w:w="1399" w:type="pct"/>
            <w:tcBorders>
              <w:bottom w:val="single" w:sz="4" w:space="0" w:color="auto"/>
            </w:tcBorders>
          </w:tcPr>
          <w:p w14:paraId="6F5F3978" w14:textId="77777777" w:rsidR="00C859B8" w:rsidRPr="00A36E3A" w:rsidRDefault="00C859B8" w:rsidP="00C859B8">
            <w:pPr>
              <w:spacing w:line="240" w:lineRule="auto"/>
              <w:rPr>
                <w:rFonts w:ascii="Arial" w:eastAsia="Times New Roman" w:hAnsi="Arial" w:cs="Arial"/>
                <w:sz w:val="20"/>
                <w:szCs w:val="20"/>
              </w:rPr>
            </w:pPr>
          </w:p>
        </w:tc>
        <w:tc>
          <w:tcPr>
            <w:tcW w:w="196" w:type="pct"/>
            <w:tcBorders>
              <w:bottom w:val="single" w:sz="4" w:space="0" w:color="auto"/>
            </w:tcBorders>
          </w:tcPr>
          <w:p w14:paraId="332C9A05" w14:textId="77777777" w:rsidR="00C859B8" w:rsidRPr="00A36E3A" w:rsidRDefault="00C859B8" w:rsidP="00C859B8">
            <w:pPr>
              <w:spacing w:line="240" w:lineRule="auto"/>
              <w:rPr>
                <w:rFonts w:ascii="Arial" w:eastAsia="Times New Roman" w:hAnsi="Arial" w:cs="Arial"/>
                <w:sz w:val="20"/>
                <w:szCs w:val="20"/>
              </w:rPr>
            </w:pPr>
          </w:p>
        </w:tc>
        <w:tc>
          <w:tcPr>
            <w:tcW w:w="1218" w:type="pct"/>
            <w:tcBorders>
              <w:bottom w:val="single" w:sz="4" w:space="0" w:color="auto"/>
            </w:tcBorders>
          </w:tcPr>
          <w:p w14:paraId="511D7B2C"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Q68.6</w:t>
            </w:r>
          </w:p>
        </w:tc>
        <w:tc>
          <w:tcPr>
            <w:tcW w:w="1261" w:type="pct"/>
            <w:tcBorders>
              <w:bottom w:val="single" w:sz="4" w:space="0" w:color="auto"/>
            </w:tcBorders>
          </w:tcPr>
          <w:p w14:paraId="730B1A27" w14:textId="77777777" w:rsidR="00C859B8" w:rsidRPr="00A36E3A" w:rsidRDefault="00C859B8" w:rsidP="00C859B8">
            <w:pPr>
              <w:spacing w:line="240" w:lineRule="auto"/>
              <w:rPr>
                <w:rFonts w:ascii="Arial" w:eastAsia="Times New Roman" w:hAnsi="Arial" w:cs="Arial"/>
                <w:sz w:val="20"/>
                <w:szCs w:val="20"/>
              </w:rPr>
            </w:pPr>
            <w:r w:rsidRPr="00A36E3A">
              <w:rPr>
                <w:rFonts w:ascii="Arial" w:eastAsia="Times New Roman" w:hAnsi="Arial" w:cs="Arial"/>
                <w:sz w:val="20"/>
                <w:szCs w:val="20"/>
              </w:rPr>
              <w:t>Other congenital anomalies</w:t>
            </w:r>
          </w:p>
        </w:tc>
      </w:tr>
    </w:tbl>
    <w:p w14:paraId="26BF4959" w14:textId="77777777" w:rsidR="00C859B8" w:rsidRDefault="00C859B8" w:rsidP="00C859B8">
      <w:pPr>
        <w:rPr>
          <w:rFonts w:ascii="Times New Roman" w:eastAsia="Times New Roman" w:hAnsi="Times New Roman" w:cs="Times New Roman"/>
          <w:b/>
          <w:bCs/>
        </w:rPr>
      </w:pPr>
    </w:p>
    <w:p w14:paraId="72DA8A02" w14:textId="77777777" w:rsidR="00C859B8" w:rsidRDefault="00C859B8">
      <w:pPr>
        <w:rPr>
          <w:rFonts w:ascii="Arial" w:hAnsi="Arial" w:cs="Arial"/>
        </w:rPr>
      </w:pPr>
      <w:r>
        <w:rPr>
          <w:rFonts w:ascii="Arial" w:hAnsi="Arial" w:cs="Arial"/>
        </w:rPr>
        <w:br w:type="page"/>
      </w:r>
    </w:p>
    <w:p w14:paraId="4E06503F" w14:textId="0D7C7AE3" w:rsidR="00C859B8" w:rsidRPr="00F7778C" w:rsidRDefault="00F7778C" w:rsidP="00C859B8">
      <w:pPr>
        <w:rPr>
          <w:rFonts w:ascii="Arial" w:hAnsi="Arial" w:cs="Arial"/>
          <w:b/>
          <w:bCs/>
        </w:rPr>
      </w:pPr>
      <w:r w:rsidRPr="00F7778C">
        <w:rPr>
          <w:rFonts w:ascii="Arial" w:hAnsi="Arial" w:cs="Arial"/>
          <w:b/>
          <w:bCs/>
        </w:rPr>
        <w:lastRenderedPageBreak/>
        <w:t xml:space="preserve">Supplementary </w:t>
      </w:r>
      <w:r w:rsidR="00C859B8" w:rsidRPr="00F7778C">
        <w:rPr>
          <w:rFonts w:ascii="Arial" w:hAnsi="Arial" w:cs="Arial"/>
          <w:b/>
          <w:bCs/>
        </w:rPr>
        <w:t>Table 4. Number of monthly insured prescription opioid- or benzodiazepine- naïve persons and incident prescriptions, by pain indication overall and within cancer status, from a single North Carolina provider of private health insurance, January 2012–August 2018</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971"/>
        <w:gridCol w:w="2789"/>
      </w:tblGrid>
      <w:tr w:rsidR="00C859B8" w:rsidRPr="00A36E3A" w14:paraId="5BB0F0E2" w14:textId="77777777" w:rsidTr="001908F3">
        <w:trPr>
          <w:trHeight w:val="288"/>
        </w:trPr>
        <w:tc>
          <w:tcPr>
            <w:tcW w:w="1923" w:type="pct"/>
            <w:vMerge w:val="restart"/>
            <w:tcBorders>
              <w:top w:val="single" w:sz="4" w:space="0" w:color="auto"/>
            </w:tcBorders>
            <w:vAlign w:val="center"/>
          </w:tcPr>
          <w:p w14:paraId="63416C55" w14:textId="77777777" w:rsidR="00C859B8" w:rsidRPr="00A36E3A" w:rsidRDefault="00C859B8" w:rsidP="001908F3">
            <w:pPr>
              <w:rPr>
                <w:rFonts w:ascii="Arial" w:hAnsi="Arial" w:cs="Arial"/>
                <w:b/>
                <w:bCs/>
                <w:sz w:val="20"/>
                <w:szCs w:val="20"/>
              </w:rPr>
            </w:pPr>
            <w:r w:rsidRPr="00A36E3A">
              <w:rPr>
                <w:rFonts w:ascii="Arial" w:hAnsi="Arial" w:cs="Arial"/>
                <w:b/>
                <w:bCs/>
                <w:sz w:val="20"/>
                <w:szCs w:val="20"/>
              </w:rPr>
              <w:t>Categories per month</w:t>
            </w:r>
          </w:p>
        </w:tc>
        <w:tc>
          <w:tcPr>
            <w:tcW w:w="1587" w:type="pct"/>
            <w:tcBorders>
              <w:top w:val="single" w:sz="4" w:space="0" w:color="auto"/>
              <w:bottom w:val="single" w:sz="4" w:space="0" w:color="auto"/>
            </w:tcBorders>
            <w:vAlign w:val="center"/>
          </w:tcPr>
          <w:p w14:paraId="5FE5E4D9" w14:textId="77777777" w:rsidR="00C859B8" w:rsidRPr="00A36E3A" w:rsidRDefault="00C859B8" w:rsidP="001908F3">
            <w:pPr>
              <w:jc w:val="center"/>
              <w:rPr>
                <w:rFonts w:ascii="Arial" w:hAnsi="Arial" w:cs="Arial"/>
                <w:b/>
                <w:bCs/>
                <w:sz w:val="20"/>
                <w:szCs w:val="20"/>
              </w:rPr>
            </w:pPr>
            <w:r w:rsidRPr="00A36E3A">
              <w:rPr>
                <w:rFonts w:ascii="Arial" w:hAnsi="Arial" w:cs="Arial"/>
                <w:b/>
                <w:bCs/>
                <w:sz w:val="20"/>
                <w:szCs w:val="20"/>
              </w:rPr>
              <w:t>Number of prescription opioid or benzodiazepine naïve persons per month</w:t>
            </w:r>
          </w:p>
        </w:tc>
        <w:tc>
          <w:tcPr>
            <w:tcW w:w="1490" w:type="pct"/>
            <w:tcBorders>
              <w:top w:val="single" w:sz="4" w:space="0" w:color="auto"/>
              <w:bottom w:val="single" w:sz="4" w:space="0" w:color="auto"/>
            </w:tcBorders>
            <w:vAlign w:val="center"/>
          </w:tcPr>
          <w:p w14:paraId="11894F39" w14:textId="77777777" w:rsidR="00C859B8" w:rsidRPr="00A36E3A" w:rsidRDefault="00C859B8" w:rsidP="001908F3">
            <w:pPr>
              <w:jc w:val="center"/>
              <w:rPr>
                <w:rFonts w:ascii="Arial" w:hAnsi="Arial" w:cs="Arial"/>
                <w:b/>
                <w:bCs/>
                <w:sz w:val="20"/>
                <w:szCs w:val="20"/>
              </w:rPr>
            </w:pPr>
            <w:r w:rsidRPr="00A36E3A">
              <w:rPr>
                <w:rFonts w:ascii="Arial" w:hAnsi="Arial" w:cs="Arial"/>
                <w:b/>
                <w:bCs/>
                <w:sz w:val="20"/>
                <w:szCs w:val="20"/>
              </w:rPr>
              <w:t>Number of new prescriptions per month</w:t>
            </w:r>
          </w:p>
        </w:tc>
      </w:tr>
      <w:tr w:rsidR="00C859B8" w:rsidRPr="00A36E3A" w14:paraId="37AFC198" w14:textId="77777777" w:rsidTr="001908F3">
        <w:trPr>
          <w:trHeight w:val="288"/>
        </w:trPr>
        <w:tc>
          <w:tcPr>
            <w:tcW w:w="1923" w:type="pct"/>
            <w:vMerge/>
            <w:tcBorders>
              <w:bottom w:val="single" w:sz="4" w:space="0" w:color="auto"/>
            </w:tcBorders>
            <w:vAlign w:val="center"/>
          </w:tcPr>
          <w:p w14:paraId="2E15EA44" w14:textId="77777777" w:rsidR="00C859B8" w:rsidRPr="00A36E3A" w:rsidRDefault="00C859B8" w:rsidP="001908F3">
            <w:pPr>
              <w:rPr>
                <w:rFonts w:ascii="Arial" w:hAnsi="Arial" w:cs="Arial"/>
                <w:b/>
                <w:bCs/>
                <w:sz w:val="20"/>
                <w:szCs w:val="20"/>
              </w:rPr>
            </w:pPr>
          </w:p>
        </w:tc>
        <w:tc>
          <w:tcPr>
            <w:tcW w:w="1587" w:type="pct"/>
            <w:tcBorders>
              <w:top w:val="single" w:sz="4" w:space="0" w:color="auto"/>
              <w:bottom w:val="single" w:sz="4" w:space="0" w:color="auto"/>
            </w:tcBorders>
            <w:vAlign w:val="center"/>
          </w:tcPr>
          <w:p w14:paraId="19C8F637" w14:textId="77777777" w:rsidR="00C859B8" w:rsidRPr="00A36E3A" w:rsidRDefault="00C859B8" w:rsidP="001908F3">
            <w:pPr>
              <w:jc w:val="center"/>
              <w:rPr>
                <w:rFonts w:ascii="Arial" w:hAnsi="Arial" w:cs="Arial"/>
                <w:b/>
                <w:bCs/>
                <w:sz w:val="20"/>
                <w:szCs w:val="20"/>
              </w:rPr>
            </w:pPr>
            <w:r w:rsidRPr="00A36E3A">
              <w:rPr>
                <w:rFonts w:ascii="Arial" w:hAnsi="Arial" w:cs="Arial"/>
                <w:b/>
                <w:bCs/>
                <w:sz w:val="20"/>
                <w:szCs w:val="20"/>
              </w:rPr>
              <w:t>Mean (Range)</w:t>
            </w:r>
          </w:p>
        </w:tc>
        <w:tc>
          <w:tcPr>
            <w:tcW w:w="1490" w:type="pct"/>
            <w:tcBorders>
              <w:top w:val="single" w:sz="4" w:space="0" w:color="auto"/>
              <w:bottom w:val="single" w:sz="4" w:space="0" w:color="auto"/>
            </w:tcBorders>
            <w:vAlign w:val="center"/>
          </w:tcPr>
          <w:p w14:paraId="4D9A68B5" w14:textId="77777777" w:rsidR="00C859B8" w:rsidRPr="00A36E3A" w:rsidRDefault="00C859B8" w:rsidP="001908F3">
            <w:pPr>
              <w:jc w:val="center"/>
              <w:rPr>
                <w:rFonts w:ascii="Arial" w:hAnsi="Arial" w:cs="Arial"/>
                <w:b/>
                <w:bCs/>
                <w:sz w:val="20"/>
                <w:szCs w:val="20"/>
              </w:rPr>
            </w:pPr>
            <w:r w:rsidRPr="00A36E3A">
              <w:rPr>
                <w:rFonts w:ascii="Arial" w:hAnsi="Arial" w:cs="Arial"/>
                <w:b/>
                <w:bCs/>
                <w:sz w:val="20"/>
                <w:szCs w:val="20"/>
              </w:rPr>
              <w:t>Mean (Range)</w:t>
            </w:r>
          </w:p>
        </w:tc>
      </w:tr>
      <w:tr w:rsidR="00C859B8" w:rsidRPr="00A36E3A" w14:paraId="0CB863AA" w14:textId="77777777" w:rsidTr="001908F3">
        <w:trPr>
          <w:trHeight w:val="288"/>
        </w:trPr>
        <w:tc>
          <w:tcPr>
            <w:tcW w:w="1923" w:type="pct"/>
            <w:tcBorders>
              <w:top w:val="single" w:sz="4" w:space="0" w:color="auto"/>
            </w:tcBorders>
            <w:vAlign w:val="center"/>
          </w:tcPr>
          <w:p w14:paraId="6CA2B5E3" w14:textId="77777777" w:rsidR="00C859B8" w:rsidRPr="00A36E3A" w:rsidRDefault="00C859B8" w:rsidP="001908F3">
            <w:pPr>
              <w:rPr>
                <w:rFonts w:ascii="Arial" w:hAnsi="Arial" w:cs="Arial"/>
                <w:b/>
                <w:bCs/>
                <w:sz w:val="20"/>
                <w:szCs w:val="20"/>
              </w:rPr>
            </w:pPr>
            <w:r w:rsidRPr="00A36E3A">
              <w:rPr>
                <w:rFonts w:ascii="Arial" w:hAnsi="Arial" w:cs="Arial"/>
                <w:b/>
                <w:bCs/>
                <w:sz w:val="20"/>
                <w:szCs w:val="20"/>
              </w:rPr>
              <w:t>Opioid prescriptions</w:t>
            </w:r>
          </w:p>
        </w:tc>
        <w:tc>
          <w:tcPr>
            <w:tcW w:w="1587" w:type="pct"/>
            <w:tcBorders>
              <w:top w:val="single" w:sz="4" w:space="0" w:color="auto"/>
            </w:tcBorders>
            <w:vAlign w:val="center"/>
          </w:tcPr>
          <w:p w14:paraId="3928C538" w14:textId="77777777" w:rsidR="00C859B8" w:rsidRPr="00A36E3A" w:rsidRDefault="00C859B8" w:rsidP="001908F3">
            <w:pPr>
              <w:jc w:val="center"/>
              <w:rPr>
                <w:rFonts w:ascii="Arial" w:hAnsi="Arial" w:cs="Arial"/>
                <w:b/>
                <w:bCs/>
                <w:sz w:val="20"/>
                <w:szCs w:val="20"/>
              </w:rPr>
            </w:pPr>
          </w:p>
        </w:tc>
        <w:tc>
          <w:tcPr>
            <w:tcW w:w="1490" w:type="pct"/>
            <w:tcBorders>
              <w:top w:val="single" w:sz="4" w:space="0" w:color="auto"/>
            </w:tcBorders>
            <w:vAlign w:val="center"/>
          </w:tcPr>
          <w:p w14:paraId="6C22C3A4" w14:textId="77777777" w:rsidR="00C859B8" w:rsidRPr="00A36E3A" w:rsidRDefault="00C859B8" w:rsidP="001908F3">
            <w:pPr>
              <w:jc w:val="center"/>
              <w:rPr>
                <w:rFonts w:ascii="Arial" w:hAnsi="Arial" w:cs="Arial"/>
                <w:sz w:val="20"/>
                <w:szCs w:val="20"/>
              </w:rPr>
            </w:pPr>
          </w:p>
        </w:tc>
      </w:tr>
      <w:tr w:rsidR="00C859B8" w:rsidRPr="00A36E3A" w14:paraId="3D2A07ED" w14:textId="77777777" w:rsidTr="001908F3">
        <w:trPr>
          <w:trHeight w:val="288"/>
        </w:trPr>
        <w:tc>
          <w:tcPr>
            <w:tcW w:w="1923" w:type="pct"/>
            <w:vAlign w:val="center"/>
          </w:tcPr>
          <w:p w14:paraId="18D4389E" w14:textId="77777777" w:rsidR="00C859B8" w:rsidRPr="00A36E3A" w:rsidRDefault="00C859B8" w:rsidP="001908F3">
            <w:pPr>
              <w:ind w:left="339" w:hanging="339"/>
              <w:rPr>
                <w:rFonts w:ascii="Arial" w:hAnsi="Arial" w:cs="Arial"/>
                <w:sz w:val="20"/>
                <w:szCs w:val="20"/>
              </w:rPr>
            </w:pPr>
            <w:r w:rsidRPr="00A36E3A">
              <w:rPr>
                <w:rFonts w:ascii="Arial" w:hAnsi="Arial" w:cs="Arial"/>
                <w:sz w:val="20"/>
                <w:szCs w:val="20"/>
              </w:rPr>
              <w:t>Overall</w:t>
            </w:r>
          </w:p>
        </w:tc>
        <w:tc>
          <w:tcPr>
            <w:tcW w:w="1587" w:type="pct"/>
            <w:vAlign w:val="center"/>
          </w:tcPr>
          <w:p w14:paraId="208CC04B" w14:textId="77777777" w:rsidR="00C859B8" w:rsidRPr="00A36E3A" w:rsidRDefault="00C859B8" w:rsidP="001908F3">
            <w:pPr>
              <w:jc w:val="center"/>
              <w:rPr>
                <w:rFonts w:ascii="Arial" w:hAnsi="Arial" w:cs="Arial"/>
                <w:b/>
                <w:bCs/>
                <w:sz w:val="20"/>
                <w:szCs w:val="20"/>
              </w:rPr>
            </w:pPr>
            <w:r w:rsidRPr="00A36E3A">
              <w:rPr>
                <w:rFonts w:ascii="Arial" w:eastAsia="Times New Roman" w:hAnsi="Arial" w:cs="Arial"/>
                <w:sz w:val="20"/>
                <w:szCs w:val="20"/>
              </w:rPr>
              <w:t>796,199 (711,440–905,453)</w:t>
            </w:r>
          </w:p>
        </w:tc>
        <w:tc>
          <w:tcPr>
            <w:tcW w:w="1490" w:type="pct"/>
            <w:vAlign w:val="center"/>
          </w:tcPr>
          <w:p w14:paraId="52B9CE3E" w14:textId="77777777" w:rsidR="00C859B8" w:rsidRPr="00A36E3A" w:rsidRDefault="00C859B8" w:rsidP="001908F3">
            <w:pPr>
              <w:jc w:val="center"/>
              <w:rPr>
                <w:rFonts w:ascii="Arial" w:hAnsi="Arial" w:cs="Arial"/>
                <w:sz w:val="20"/>
                <w:szCs w:val="20"/>
              </w:rPr>
            </w:pPr>
          </w:p>
        </w:tc>
      </w:tr>
      <w:tr w:rsidR="00C859B8" w:rsidRPr="00A36E3A" w14:paraId="552D657C" w14:textId="77777777" w:rsidTr="001908F3">
        <w:trPr>
          <w:trHeight w:val="288"/>
        </w:trPr>
        <w:tc>
          <w:tcPr>
            <w:tcW w:w="1923" w:type="pct"/>
            <w:vAlign w:val="center"/>
          </w:tcPr>
          <w:p w14:paraId="107EDC0D" w14:textId="77777777" w:rsidR="00C859B8" w:rsidRPr="00A36E3A" w:rsidRDefault="00C859B8" w:rsidP="001908F3">
            <w:pPr>
              <w:ind w:left="339"/>
              <w:rPr>
                <w:rFonts w:ascii="Arial" w:hAnsi="Arial" w:cs="Arial"/>
                <w:sz w:val="20"/>
                <w:szCs w:val="20"/>
              </w:rPr>
            </w:pPr>
            <w:r w:rsidRPr="00A36E3A">
              <w:rPr>
                <w:rFonts w:ascii="Arial" w:hAnsi="Arial" w:cs="Arial"/>
                <w:sz w:val="20"/>
                <w:szCs w:val="20"/>
              </w:rPr>
              <w:t>Postsurgical pain</w:t>
            </w:r>
          </w:p>
        </w:tc>
        <w:tc>
          <w:tcPr>
            <w:tcW w:w="1587" w:type="pct"/>
            <w:vAlign w:val="center"/>
          </w:tcPr>
          <w:p w14:paraId="6DCCA71A" w14:textId="77777777" w:rsidR="00C859B8" w:rsidRPr="00A36E3A" w:rsidRDefault="00C859B8" w:rsidP="001908F3">
            <w:pPr>
              <w:jc w:val="center"/>
              <w:rPr>
                <w:rFonts w:ascii="Arial" w:hAnsi="Arial" w:cs="Arial"/>
                <w:b/>
                <w:bCs/>
                <w:sz w:val="20"/>
                <w:szCs w:val="20"/>
              </w:rPr>
            </w:pPr>
          </w:p>
        </w:tc>
        <w:tc>
          <w:tcPr>
            <w:tcW w:w="1490" w:type="pct"/>
            <w:vAlign w:val="center"/>
          </w:tcPr>
          <w:p w14:paraId="5F337C1E" w14:textId="77777777" w:rsidR="00C859B8" w:rsidRPr="00A36E3A" w:rsidRDefault="00C859B8" w:rsidP="001908F3">
            <w:pPr>
              <w:jc w:val="center"/>
              <w:rPr>
                <w:rFonts w:ascii="Arial" w:hAnsi="Arial" w:cs="Arial"/>
                <w:sz w:val="20"/>
                <w:szCs w:val="20"/>
              </w:rPr>
            </w:pPr>
            <w:r w:rsidRPr="00A36E3A">
              <w:rPr>
                <w:rFonts w:ascii="Arial" w:eastAsia="Times New Roman" w:hAnsi="Arial" w:cs="Arial"/>
                <w:sz w:val="20"/>
                <w:szCs w:val="20"/>
              </w:rPr>
              <w:t>2,340 (1,909–3,399)</w:t>
            </w:r>
          </w:p>
        </w:tc>
      </w:tr>
      <w:tr w:rsidR="00C859B8" w:rsidRPr="00A36E3A" w14:paraId="5E5401B0" w14:textId="77777777" w:rsidTr="001908F3">
        <w:trPr>
          <w:trHeight w:val="288"/>
        </w:trPr>
        <w:tc>
          <w:tcPr>
            <w:tcW w:w="1923" w:type="pct"/>
            <w:vAlign w:val="center"/>
          </w:tcPr>
          <w:p w14:paraId="499B370A" w14:textId="77777777" w:rsidR="00C859B8" w:rsidRPr="00A36E3A" w:rsidRDefault="00C859B8" w:rsidP="001908F3">
            <w:pPr>
              <w:ind w:left="339"/>
              <w:rPr>
                <w:rFonts w:ascii="Arial" w:hAnsi="Arial" w:cs="Arial"/>
                <w:sz w:val="20"/>
                <w:szCs w:val="20"/>
              </w:rPr>
            </w:pPr>
            <w:r w:rsidRPr="00A36E3A">
              <w:rPr>
                <w:rFonts w:ascii="Arial" w:hAnsi="Arial" w:cs="Arial"/>
                <w:sz w:val="20"/>
                <w:szCs w:val="20"/>
              </w:rPr>
              <w:t>Acute pain</w:t>
            </w:r>
          </w:p>
        </w:tc>
        <w:tc>
          <w:tcPr>
            <w:tcW w:w="1587" w:type="pct"/>
            <w:vAlign w:val="center"/>
          </w:tcPr>
          <w:p w14:paraId="629B512C" w14:textId="77777777" w:rsidR="00C859B8" w:rsidRPr="00A36E3A" w:rsidRDefault="00C859B8" w:rsidP="001908F3">
            <w:pPr>
              <w:jc w:val="center"/>
              <w:rPr>
                <w:rFonts w:ascii="Arial" w:hAnsi="Arial" w:cs="Arial"/>
                <w:b/>
                <w:bCs/>
                <w:sz w:val="20"/>
                <w:szCs w:val="20"/>
              </w:rPr>
            </w:pPr>
          </w:p>
        </w:tc>
        <w:tc>
          <w:tcPr>
            <w:tcW w:w="1490" w:type="pct"/>
            <w:vAlign w:val="center"/>
          </w:tcPr>
          <w:p w14:paraId="7B85FD51" w14:textId="77777777" w:rsidR="00C859B8" w:rsidRPr="00A36E3A" w:rsidRDefault="00C859B8" w:rsidP="001908F3">
            <w:pPr>
              <w:tabs>
                <w:tab w:val="left" w:pos="527"/>
              </w:tabs>
              <w:jc w:val="center"/>
              <w:rPr>
                <w:rFonts w:ascii="Arial" w:hAnsi="Arial" w:cs="Arial"/>
                <w:sz w:val="20"/>
                <w:szCs w:val="20"/>
              </w:rPr>
            </w:pPr>
            <w:r w:rsidRPr="00A36E3A">
              <w:rPr>
                <w:rFonts w:ascii="Arial" w:hAnsi="Arial" w:cs="Arial"/>
                <w:sz w:val="20"/>
                <w:szCs w:val="20"/>
              </w:rPr>
              <w:t>1,792 (1,143–2,290)</w:t>
            </w:r>
          </w:p>
        </w:tc>
      </w:tr>
      <w:tr w:rsidR="00C859B8" w:rsidRPr="00A36E3A" w14:paraId="2C38E178" w14:textId="77777777" w:rsidTr="001908F3">
        <w:trPr>
          <w:trHeight w:val="288"/>
        </w:trPr>
        <w:tc>
          <w:tcPr>
            <w:tcW w:w="1923" w:type="pct"/>
            <w:vAlign w:val="center"/>
          </w:tcPr>
          <w:p w14:paraId="57D1A11E" w14:textId="77777777" w:rsidR="00C859B8" w:rsidRPr="00A36E3A" w:rsidRDefault="00C859B8" w:rsidP="001908F3">
            <w:pPr>
              <w:ind w:left="339"/>
              <w:rPr>
                <w:rFonts w:ascii="Arial" w:hAnsi="Arial" w:cs="Arial"/>
                <w:sz w:val="20"/>
                <w:szCs w:val="20"/>
              </w:rPr>
            </w:pPr>
            <w:r w:rsidRPr="00A36E3A">
              <w:rPr>
                <w:rFonts w:ascii="Arial" w:hAnsi="Arial" w:cs="Arial"/>
                <w:sz w:val="20"/>
                <w:szCs w:val="20"/>
              </w:rPr>
              <w:t>Chronic pain</w:t>
            </w:r>
          </w:p>
        </w:tc>
        <w:tc>
          <w:tcPr>
            <w:tcW w:w="1587" w:type="pct"/>
            <w:vAlign w:val="center"/>
          </w:tcPr>
          <w:p w14:paraId="201ED01F" w14:textId="77777777" w:rsidR="00C859B8" w:rsidRPr="00A36E3A" w:rsidRDefault="00C859B8" w:rsidP="001908F3">
            <w:pPr>
              <w:jc w:val="center"/>
              <w:rPr>
                <w:rFonts w:ascii="Arial" w:hAnsi="Arial" w:cs="Arial"/>
                <w:b/>
                <w:bCs/>
                <w:sz w:val="20"/>
                <w:szCs w:val="20"/>
              </w:rPr>
            </w:pPr>
          </w:p>
        </w:tc>
        <w:tc>
          <w:tcPr>
            <w:tcW w:w="1490" w:type="pct"/>
            <w:vAlign w:val="center"/>
          </w:tcPr>
          <w:p w14:paraId="5922EF08" w14:textId="77777777" w:rsidR="00C859B8" w:rsidRPr="00A36E3A" w:rsidRDefault="00C859B8" w:rsidP="001908F3">
            <w:pPr>
              <w:jc w:val="center"/>
              <w:rPr>
                <w:rFonts w:ascii="Arial" w:hAnsi="Arial" w:cs="Arial"/>
                <w:sz w:val="20"/>
                <w:szCs w:val="20"/>
              </w:rPr>
            </w:pPr>
            <w:r w:rsidRPr="00A36E3A">
              <w:rPr>
                <w:rFonts w:ascii="Arial" w:hAnsi="Arial" w:cs="Arial"/>
                <w:sz w:val="20"/>
                <w:szCs w:val="20"/>
              </w:rPr>
              <w:t>2,092 (1,307–2,660)</w:t>
            </w:r>
          </w:p>
        </w:tc>
      </w:tr>
      <w:tr w:rsidR="00C859B8" w:rsidRPr="00A36E3A" w14:paraId="749C2C1E" w14:textId="77777777" w:rsidTr="001908F3">
        <w:trPr>
          <w:trHeight w:val="288"/>
        </w:trPr>
        <w:tc>
          <w:tcPr>
            <w:tcW w:w="1923" w:type="pct"/>
            <w:vAlign w:val="center"/>
          </w:tcPr>
          <w:p w14:paraId="1D2E9116" w14:textId="77777777" w:rsidR="00C859B8" w:rsidRPr="00A36E3A" w:rsidRDefault="00C859B8" w:rsidP="001908F3">
            <w:pPr>
              <w:ind w:left="339" w:hanging="180"/>
              <w:rPr>
                <w:rFonts w:ascii="Arial" w:hAnsi="Arial" w:cs="Arial"/>
                <w:sz w:val="20"/>
                <w:szCs w:val="20"/>
              </w:rPr>
            </w:pPr>
          </w:p>
        </w:tc>
        <w:tc>
          <w:tcPr>
            <w:tcW w:w="1587" w:type="pct"/>
            <w:vAlign w:val="center"/>
          </w:tcPr>
          <w:p w14:paraId="1E80C054" w14:textId="77777777" w:rsidR="00C859B8" w:rsidRPr="00A36E3A" w:rsidRDefault="00C859B8" w:rsidP="001908F3">
            <w:pPr>
              <w:jc w:val="center"/>
              <w:rPr>
                <w:rFonts w:ascii="Arial" w:hAnsi="Arial" w:cs="Arial"/>
                <w:b/>
                <w:bCs/>
                <w:sz w:val="20"/>
                <w:szCs w:val="20"/>
              </w:rPr>
            </w:pPr>
          </w:p>
        </w:tc>
        <w:tc>
          <w:tcPr>
            <w:tcW w:w="1490" w:type="pct"/>
            <w:vAlign w:val="center"/>
          </w:tcPr>
          <w:p w14:paraId="4C5F06FE" w14:textId="77777777" w:rsidR="00C859B8" w:rsidRPr="00A36E3A" w:rsidRDefault="00C859B8" w:rsidP="001908F3">
            <w:pPr>
              <w:jc w:val="center"/>
              <w:rPr>
                <w:rFonts w:ascii="Arial" w:hAnsi="Arial" w:cs="Arial"/>
                <w:b/>
                <w:bCs/>
                <w:sz w:val="20"/>
                <w:szCs w:val="20"/>
              </w:rPr>
            </w:pPr>
          </w:p>
        </w:tc>
      </w:tr>
      <w:tr w:rsidR="00C859B8" w:rsidRPr="00A36E3A" w14:paraId="439EB2C9" w14:textId="77777777" w:rsidTr="001908F3">
        <w:trPr>
          <w:trHeight w:val="288"/>
        </w:trPr>
        <w:tc>
          <w:tcPr>
            <w:tcW w:w="1923" w:type="pct"/>
            <w:vAlign w:val="center"/>
          </w:tcPr>
          <w:p w14:paraId="26555FAE" w14:textId="77777777" w:rsidR="00C859B8" w:rsidRPr="00A36E3A" w:rsidRDefault="00C859B8" w:rsidP="001908F3">
            <w:pPr>
              <w:ind w:left="339" w:hanging="339"/>
              <w:rPr>
                <w:rFonts w:ascii="Arial" w:hAnsi="Arial" w:cs="Arial"/>
                <w:sz w:val="20"/>
                <w:szCs w:val="20"/>
              </w:rPr>
            </w:pPr>
            <w:r w:rsidRPr="00A36E3A">
              <w:rPr>
                <w:rFonts w:ascii="Arial" w:hAnsi="Arial" w:cs="Arial"/>
                <w:sz w:val="20"/>
                <w:szCs w:val="20"/>
              </w:rPr>
              <w:t>History of cancer</w:t>
            </w:r>
          </w:p>
        </w:tc>
        <w:tc>
          <w:tcPr>
            <w:tcW w:w="1587" w:type="pct"/>
            <w:vAlign w:val="center"/>
          </w:tcPr>
          <w:p w14:paraId="34445587" w14:textId="77777777" w:rsidR="00C859B8" w:rsidRPr="00A36E3A" w:rsidRDefault="00C859B8" w:rsidP="001908F3">
            <w:pPr>
              <w:jc w:val="center"/>
              <w:rPr>
                <w:rFonts w:ascii="Arial" w:hAnsi="Arial" w:cs="Arial"/>
                <w:b/>
                <w:bCs/>
                <w:sz w:val="20"/>
                <w:szCs w:val="20"/>
              </w:rPr>
            </w:pPr>
            <w:r w:rsidRPr="00A36E3A">
              <w:rPr>
                <w:rFonts w:ascii="Arial" w:eastAsia="Times New Roman" w:hAnsi="Arial" w:cs="Arial"/>
                <w:sz w:val="20"/>
                <w:szCs w:val="20"/>
              </w:rPr>
              <w:t>35,195 (25,709–42,387)</w:t>
            </w:r>
          </w:p>
        </w:tc>
        <w:tc>
          <w:tcPr>
            <w:tcW w:w="1490" w:type="pct"/>
            <w:vAlign w:val="center"/>
          </w:tcPr>
          <w:p w14:paraId="3C91E22D" w14:textId="77777777" w:rsidR="00C859B8" w:rsidRPr="00A36E3A" w:rsidRDefault="00C859B8" w:rsidP="001908F3">
            <w:pPr>
              <w:jc w:val="center"/>
              <w:rPr>
                <w:rFonts w:ascii="Arial" w:hAnsi="Arial" w:cs="Arial"/>
                <w:b/>
                <w:bCs/>
                <w:sz w:val="20"/>
                <w:szCs w:val="20"/>
              </w:rPr>
            </w:pPr>
          </w:p>
        </w:tc>
      </w:tr>
      <w:tr w:rsidR="00C859B8" w:rsidRPr="00A36E3A" w14:paraId="419BD2D6" w14:textId="77777777" w:rsidTr="001908F3">
        <w:trPr>
          <w:trHeight w:val="288"/>
        </w:trPr>
        <w:tc>
          <w:tcPr>
            <w:tcW w:w="1923" w:type="pct"/>
            <w:vAlign w:val="center"/>
          </w:tcPr>
          <w:p w14:paraId="3A3DAC13" w14:textId="77777777" w:rsidR="00C859B8" w:rsidRPr="00A36E3A" w:rsidRDefault="00C859B8" w:rsidP="001908F3">
            <w:pPr>
              <w:ind w:left="339" w:firstLine="5"/>
              <w:rPr>
                <w:rFonts w:ascii="Arial" w:hAnsi="Arial" w:cs="Arial"/>
                <w:sz w:val="20"/>
                <w:szCs w:val="20"/>
              </w:rPr>
            </w:pPr>
            <w:r w:rsidRPr="00A36E3A">
              <w:rPr>
                <w:rFonts w:ascii="Arial" w:hAnsi="Arial" w:cs="Arial"/>
                <w:sz w:val="20"/>
                <w:szCs w:val="20"/>
              </w:rPr>
              <w:t>Postsurgical pain</w:t>
            </w:r>
          </w:p>
        </w:tc>
        <w:tc>
          <w:tcPr>
            <w:tcW w:w="1587" w:type="pct"/>
            <w:vAlign w:val="center"/>
          </w:tcPr>
          <w:p w14:paraId="6AFF33AF" w14:textId="77777777" w:rsidR="00C859B8" w:rsidRPr="00A36E3A" w:rsidRDefault="00C859B8" w:rsidP="001908F3">
            <w:pPr>
              <w:jc w:val="center"/>
              <w:rPr>
                <w:rFonts w:ascii="Arial" w:hAnsi="Arial" w:cs="Arial"/>
                <w:b/>
                <w:bCs/>
                <w:sz w:val="20"/>
                <w:szCs w:val="20"/>
              </w:rPr>
            </w:pPr>
          </w:p>
        </w:tc>
        <w:tc>
          <w:tcPr>
            <w:tcW w:w="1490" w:type="pct"/>
            <w:vAlign w:val="center"/>
          </w:tcPr>
          <w:p w14:paraId="5B6EB829" w14:textId="77777777" w:rsidR="00C859B8" w:rsidRPr="00A36E3A" w:rsidRDefault="00C859B8" w:rsidP="001908F3">
            <w:pPr>
              <w:jc w:val="center"/>
              <w:rPr>
                <w:rFonts w:ascii="Arial" w:hAnsi="Arial" w:cs="Arial"/>
                <w:b/>
                <w:bCs/>
                <w:sz w:val="20"/>
                <w:szCs w:val="20"/>
              </w:rPr>
            </w:pPr>
            <w:r w:rsidRPr="00A36E3A">
              <w:rPr>
                <w:rFonts w:ascii="Arial" w:eastAsia="Times New Roman" w:hAnsi="Arial" w:cs="Arial"/>
                <w:sz w:val="20"/>
                <w:szCs w:val="20"/>
              </w:rPr>
              <w:t>469 (347–669)</w:t>
            </w:r>
          </w:p>
        </w:tc>
      </w:tr>
      <w:tr w:rsidR="00C859B8" w:rsidRPr="00A36E3A" w14:paraId="60C882FE" w14:textId="77777777" w:rsidTr="001908F3">
        <w:trPr>
          <w:trHeight w:val="288"/>
        </w:trPr>
        <w:tc>
          <w:tcPr>
            <w:tcW w:w="1923" w:type="pct"/>
            <w:vAlign w:val="center"/>
          </w:tcPr>
          <w:p w14:paraId="11F442B2" w14:textId="77777777" w:rsidR="00C859B8" w:rsidRPr="00A36E3A" w:rsidRDefault="00C859B8" w:rsidP="001908F3">
            <w:pPr>
              <w:ind w:left="339" w:firstLine="5"/>
              <w:rPr>
                <w:rFonts w:ascii="Arial" w:hAnsi="Arial" w:cs="Arial"/>
                <w:sz w:val="20"/>
                <w:szCs w:val="20"/>
              </w:rPr>
            </w:pPr>
            <w:r w:rsidRPr="00A36E3A">
              <w:rPr>
                <w:rFonts w:ascii="Arial" w:hAnsi="Arial" w:cs="Arial"/>
                <w:sz w:val="20"/>
                <w:szCs w:val="20"/>
              </w:rPr>
              <w:t>Acute pain</w:t>
            </w:r>
          </w:p>
        </w:tc>
        <w:tc>
          <w:tcPr>
            <w:tcW w:w="1587" w:type="pct"/>
            <w:vAlign w:val="center"/>
          </w:tcPr>
          <w:p w14:paraId="62AF702B" w14:textId="77777777" w:rsidR="00C859B8" w:rsidRPr="00A36E3A" w:rsidRDefault="00C859B8" w:rsidP="001908F3">
            <w:pPr>
              <w:jc w:val="center"/>
              <w:rPr>
                <w:rFonts w:ascii="Arial" w:hAnsi="Arial" w:cs="Arial"/>
                <w:b/>
                <w:bCs/>
                <w:sz w:val="20"/>
                <w:szCs w:val="20"/>
              </w:rPr>
            </w:pPr>
          </w:p>
        </w:tc>
        <w:tc>
          <w:tcPr>
            <w:tcW w:w="1490" w:type="pct"/>
            <w:vAlign w:val="center"/>
          </w:tcPr>
          <w:p w14:paraId="7F6F02BA" w14:textId="77777777" w:rsidR="00C859B8" w:rsidRPr="00A36E3A" w:rsidRDefault="00C859B8" w:rsidP="001908F3">
            <w:pPr>
              <w:jc w:val="center"/>
              <w:rPr>
                <w:rFonts w:ascii="Arial" w:hAnsi="Arial" w:cs="Arial"/>
                <w:b/>
                <w:bCs/>
                <w:sz w:val="20"/>
                <w:szCs w:val="20"/>
              </w:rPr>
            </w:pPr>
            <w:r w:rsidRPr="00A36E3A">
              <w:rPr>
                <w:rFonts w:ascii="Arial" w:eastAsia="Times New Roman" w:hAnsi="Arial" w:cs="Arial"/>
                <w:sz w:val="20"/>
                <w:szCs w:val="20"/>
              </w:rPr>
              <w:t>197 (145–261)</w:t>
            </w:r>
          </w:p>
        </w:tc>
      </w:tr>
      <w:tr w:rsidR="00C859B8" w:rsidRPr="00A36E3A" w14:paraId="2A051360" w14:textId="77777777" w:rsidTr="001908F3">
        <w:trPr>
          <w:trHeight w:val="288"/>
        </w:trPr>
        <w:tc>
          <w:tcPr>
            <w:tcW w:w="1923" w:type="pct"/>
            <w:vAlign w:val="center"/>
          </w:tcPr>
          <w:p w14:paraId="075639FF" w14:textId="77777777" w:rsidR="00C859B8" w:rsidRPr="00A36E3A" w:rsidRDefault="00C859B8" w:rsidP="001908F3">
            <w:pPr>
              <w:ind w:left="339" w:firstLine="5"/>
              <w:rPr>
                <w:rFonts w:ascii="Arial" w:hAnsi="Arial" w:cs="Arial"/>
                <w:sz w:val="20"/>
                <w:szCs w:val="20"/>
              </w:rPr>
            </w:pPr>
            <w:r w:rsidRPr="00A36E3A">
              <w:rPr>
                <w:rFonts w:ascii="Arial" w:hAnsi="Arial" w:cs="Arial"/>
                <w:sz w:val="20"/>
                <w:szCs w:val="20"/>
              </w:rPr>
              <w:t>Chronic pain</w:t>
            </w:r>
          </w:p>
        </w:tc>
        <w:tc>
          <w:tcPr>
            <w:tcW w:w="1587" w:type="pct"/>
            <w:vAlign w:val="center"/>
          </w:tcPr>
          <w:p w14:paraId="11FB9872" w14:textId="77777777" w:rsidR="00C859B8" w:rsidRPr="00A36E3A" w:rsidRDefault="00C859B8" w:rsidP="001908F3">
            <w:pPr>
              <w:jc w:val="center"/>
              <w:rPr>
                <w:rFonts w:ascii="Arial" w:hAnsi="Arial" w:cs="Arial"/>
                <w:b/>
                <w:bCs/>
                <w:sz w:val="20"/>
                <w:szCs w:val="20"/>
              </w:rPr>
            </w:pPr>
          </w:p>
        </w:tc>
        <w:tc>
          <w:tcPr>
            <w:tcW w:w="1490" w:type="pct"/>
            <w:vAlign w:val="center"/>
          </w:tcPr>
          <w:p w14:paraId="7C1418B7" w14:textId="77777777" w:rsidR="00C859B8" w:rsidRPr="00A36E3A" w:rsidRDefault="00C859B8" w:rsidP="001908F3">
            <w:pPr>
              <w:jc w:val="center"/>
              <w:rPr>
                <w:rFonts w:ascii="Arial" w:hAnsi="Arial" w:cs="Arial"/>
                <w:b/>
                <w:bCs/>
                <w:sz w:val="20"/>
                <w:szCs w:val="20"/>
              </w:rPr>
            </w:pPr>
            <w:r w:rsidRPr="00A36E3A">
              <w:rPr>
                <w:rFonts w:ascii="Arial" w:eastAsia="Times New Roman" w:hAnsi="Arial" w:cs="Arial"/>
                <w:sz w:val="20"/>
                <w:szCs w:val="20"/>
              </w:rPr>
              <w:t>272 (178–361)</w:t>
            </w:r>
          </w:p>
        </w:tc>
      </w:tr>
      <w:tr w:rsidR="00C859B8" w:rsidRPr="00A36E3A" w14:paraId="5A875454" w14:textId="77777777" w:rsidTr="001908F3">
        <w:trPr>
          <w:trHeight w:val="288"/>
        </w:trPr>
        <w:tc>
          <w:tcPr>
            <w:tcW w:w="1923" w:type="pct"/>
            <w:vAlign w:val="center"/>
          </w:tcPr>
          <w:p w14:paraId="1FC51D1F" w14:textId="77777777" w:rsidR="00C859B8" w:rsidRPr="00A36E3A" w:rsidRDefault="00C859B8" w:rsidP="001908F3">
            <w:pPr>
              <w:ind w:left="339" w:hanging="180"/>
              <w:rPr>
                <w:rFonts w:ascii="Arial" w:hAnsi="Arial" w:cs="Arial"/>
                <w:sz w:val="20"/>
                <w:szCs w:val="20"/>
              </w:rPr>
            </w:pPr>
          </w:p>
        </w:tc>
        <w:tc>
          <w:tcPr>
            <w:tcW w:w="1587" w:type="pct"/>
            <w:vAlign w:val="center"/>
          </w:tcPr>
          <w:p w14:paraId="67FB0088" w14:textId="77777777" w:rsidR="00C859B8" w:rsidRPr="00A36E3A" w:rsidRDefault="00C859B8" w:rsidP="001908F3">
            <w:pPr>
              <w:jc w:val="center"/>
              <w:rPr>
                <w:rFonts w:ascii="Arial" w:hAnsi="Arial" w:cs="Arial"/>
                <w:b/>
                <w:bCs/>
                <w:sz w:val="20"/>
                <w:szCs w:val="20"/>
              </w:rPr>
            </w:pPr>
          </w:p>
        </w:tc>
        <w:tc>
          <w:tcPr>
            <w:tcW w:w="1490" w:type="pct"/>
            <w:vAlign w:val="center"/>
          </w:tcPr>
          <w:p w14:paraId="23504C2E" w14:textId="77777777" w:rsidR="00C859B8" w:rsidRPr="00A36E3A" w:rsidRDefault="00C859B8" w:rsidP="001908F3">
            <w:pPr>
              <w:jc w:val="center"/>
              <w:rPr>
                <w:rFonts w:ascii="Arial" w:hAnsi="Arial" w:cs="Arial"/>
                <w:b/>
                <w:bCs/>
                <w:sz w:val="20"/>
                <w:szCs w:val="20"/>
              </w:rPr>
            </w:pPr>
          </w:p>
        </w:tc>
      </w:tr>
      <w:tr w:rsidR="00C859B8" w:rsidRPr="00A36E3A" w14:paraId="283E2330" w14:textId="77777777" w:rsidTr="001908F3">
        <w:trPr>
          <w:trHeight w:val="288"/>
        </w:trPr>
        <w:tc>
          <w:tcPr>
            <w:tcW w:w="1923" w:type="pct"/>
            <w:vAlign w:val="center"/>
          </w:tcPr>
          <w:p w14:paraId="14BB0FA2" w14:textId="77777777" w:rsidR="00C859B8" w:rsidRPr="00A36E3A" w:rsidRDefault="00C859B8" w:rsidP="001908F3">
            <w:pPr>
              <w:ind w:left="339" w:hanging="355"/>
              <w:rPr>
                <w:rFonts w:ascii="Arial" w:hAnsi="Arial" w:cs="Arial"/>
                <w:sz w:val="20"/>
                <w:szCs w:val="20"/>
              </w:rPr>
            </w:pPr>
            <w:r w:rsidRPr="00A36E3A">
              <w:rPr>
                <w:rFonts w:ascii="Arial" w:hAnsi="Arial" w:cs="Arial"/>
                <w:sz w:val="20"/>
                <w:szCs w:val="20"/>
              </w:rPr>
              <w:t>No history of cancer</w:t>
            </w:r>
          </w:p>
        </w:tc>
        <w:tc>
          <w:tcPr>
            <w:tcW w:w="1587" w:type="pct"/>
            <w:vAlign w:val="center"/>
          </w:tcPr>
          <w:p w14:paraId="675369A7" w14:textId="77777777" w:rsidR="00C859B8" w:rsidRPr="00A36E3A" w:rsidRDefault="00C859B8" w:rsidP="001908F3">
            <w:pPr>
              <w:jc w:val="center"/>
              <w:rPr>
                <w:rFonts w:ascii="Arial" w:hAnsi="Arial" w:cs="Arial"/>
                <w:b/>
                <w:bCs/>
                <w:sz w:val="20"/>
                <w:szCs w:val="20"/>
              </w:rPr>
            </w:pPr>
            <w:r w:rsidRPr="00A36E3A">
              <w:rPr>
                <w:rFonts w:ascii="Arial" w:eastAsia="Times New Roman" w:hAnsi="Arial" w:cs="Arial"/>
                <w:sz w:val="20"/>
                <w:szCs w:val="20"/>
              </w:rPr>
              <w:t>761,003 (676,278–867,705)</w:t>
            </w:r>
          </w:p>
        </w:tc>
        <w:tc>
          <w:tcPr>
            <w:tcW w:w="1490" w:type="pct"/>
            <w:vAlign w:val="center"/>
          </w:tcPr>
          <w:p w14:paraId="06092787" w14:textId="77777777" w:rsidR="00C859B8" w:rsidRPr="00A36E3A" w:rsidRDefault="00C859B8" w:rsidP="001908F3">
            <w:pPr>
              <w:jc w:val="center"/>
              <w:rPr>
                <w:rFonts w:ascii="Arial" w:hAnsi="Arial" w:cs="Arial"/>
                <w:b/>
                <w:bCs/>
                <w:sz w:val="20"/>
                <w:szCs w:val="20"/>
              </w:rPr>
            </w:pPr>
          </w:p>
        </w:tc>
      </w:tr>
      <w:tr w:rsidR="00C859B8" w:rsidRPr="00A36E3A" w14:paraId="397DEDB3" w14:textId="77777777" w:rsidTr="001908F3">
        <w:trPr>
          <w:trHeight w:val="288"/>
        </w:trPr>
        <w:tc>
          <w:tcPr>
            <w:tcW w:w="1923" w:type="pct"/>
            <w:vAlign w:val="center"/>
          </w:tcPr>
          <w:p w14:paraId="72D8A44D" w14:textId="77777777" w:rsidR="00C859B8" w:rsidRPr="00A36E3A" w:rsidRDefault="00C859B8" w:rsidP="001908F3">
            <w:pPr>
              <w:ind w:left="339" w:firstLine="5"/>
              <w:rPr>
                <w:rFonts w:ascii="Arial" w:hAnsi="Arial" w:cs="Arial"/>
                <w:b/>
                <w:bCs/>
                <w:sz w:val="20"/>
                <w:szCs w:val="20"/>
              </w:rPr>
            </w:pPr>
            <w:r w:rsidRPr="00A36E3A">
              <w:rPr>
                <w:rFonts w:ascii="Arial" w:hAnsi="Arial" w:cs="Arial"/>
                <w:sz w:val="20"/>
                <w:szCs w:val="20"/>
              </w:rPr>
              <w:t>Postsurgical pain</w:t>
            </w:r>
          </w:p>
        </w:tc>
        <w:tc>
          <w:tcPr>
            <w:tcW w:w="1587" w:type="pct"/>
            <w:vAlign w:val="center"/>
          </w:tcPr>
          <w:p w14:paraId="7C242331" w14:textId="77777777" w:rsidR="00C859B8" w:rsidRPr="00A36E3A" w:rsidRDefault="00C859B8" w:rsidP="001908F3">
            <w:pPr>
              <w:jc w:val="center"/>
              <w:rPr>
                <w:rFonts w:ascii="Arial" w:hAnsi="Arial" w:cs="Arial"/>
                <w:b/>
                <w:bCs/>
                <w:sz w:val="20"/>
                <w:szCs w:val="20"/>
              </w:rPr>
            </w:pPr>
          </w:p>
        </w:tc>
        <w:tc>
          <w:tcPr>
            <w:tcW w:w="1490" w:type="pct"/>
            <w:vAlign w:val="center"/>
          </w:tcPr>
          <w:p w14:paraId="11670D82" w14:textId="77777777" w:rsidR="00C859B8" w:rsidRPr="00A36E3A" w:rsidRDefault="00C859B8" w:rsidP="00AB651A">
            <w:pPr>
              <w:jc w:val="center"/>
              <w:rPr>
                <w:rFonts w:ascii="Arial" w:hAnsi="Arial" w:cs="Arial"/>
                <w:b/>
                <w:bCs/>
                <w:sz w:val="20"/>
                <w:szCs w:val="20"/>
              </w:rPr>
            </w:pPr>
            <w:r w:rsidRPr="00A36E3A">
              <w:rPr>
                <w:rFonts w:ascii="Arial" w:eastAsia="Times New Roman" w:hAnsi="Arial" w:cs="Arial"/>
                <w:sz w:val="20"/>
                <w:szCs w:val="20"/>
              </w:rPr>
              <w:t>1,871 (1,504–2,792)</w:t>
            </w:r>
          </w:p>
        </w:tc>
      </w:tr>
      <w:tr w:rsidR="00C859B8" w:rsidRPr="00A36E3A" w14:paraId="7B1B322B" w14:textId="77777777" w:rsidTr="001908F3">
        <w:trPr>
          <w:trHeight w:val="288"/>
        </w:trPr>
        <w:tc>
          <w:tcPr>
            <w:tcW w:w="1923" w:type="pct"/>
            <w:vAlign w:val="center"/>
          </w:tcPr>
          <w:p w14:paraId="2F14ABB8" w14:textId="77777777" w:rsidR="00C859B8" w:rsidRPr="00A36E3A" w:rsidRDefault="00C859B8" w:rsidP="001908F3">
            <w:pPr>
              <w:ind w:left="339" w:firstLine="5"/>
              <w:rPr>
                <w:rFonts w:ascii="Arial" w:hAnsi="Arial" w:cs="Arial"/>
                <w:b/>
                <w:bCs/>
                <w:sz w:val="20"/>
                <w:szCs w:val="20"/>
              </w:rPr>
            </w:pPr>
            <w:r w:rsidRPr="00A36E3A">
              <w:rPr>
                <w:rFonts w:ascii="Arial" w:hAnsi="Arial" w:cs="Arial"/>
                <w:sz w:val="20"/>
                <w:szCs w:val="20"/>
              </w:rPr>
              <w:t>Acute pain</w:t>
            </w:r>
          </w:p>
        </w:tc>
        <w:tc>
          <w:tcPr>
            <w:tcW w:w="1587" w:type="pct"/>
            <w:vAlign w:val="center"/>
          </w:tcPr>
          <w:p w14:paraId="470C7474" w14:textId="77777777" w:rsidR="00C859B8" w:rsidRPr="00A36E3A" w:rsidRDefault="00C859B8" w:rsidP="001908F3">
            <w:pPr>
              <w:jc w:val="center"/>
              <w:rPr>
                <w:rFonts w:ascii="Arial" w:hAnsi="Arial" w:cs="Arial"/>
                <w:b/>
                <w:bCs/>
                <w:sz w:val="20"/>
                <w:szCs w:val="20"/>
              </w:rPr>
            </w:pPr>
          </w:p>
        </w:tc>
        <w:tc>
          <w:tcPr>
            <w:tcW w:w="1490" w:type="pct"/>
            <w:vAlign w:val="center"/>
          </w:tcPr>
          <w:p w14:paraId="43DC7256" w14:textId="77777777" w:rsidR="00C859B8" w:rsidRPr="00A36E3A" w:rsidRDefault="00C859B8" w:rsidP="00AB651A">
            <w:pPr>
              <w:jc w:val="center"/>
              <w:rPr>
                <w:rFonts w:ascii="Arial" w:hAnsi="Arial" w:cs="Arial"/>
                <w:b/>
                <w:bCs/>
                <w:sz w:val="20"/>
                <w:szCs w:val="20"/>
              </w:rPr>
            </w:pPr>
            <w:r w:rsidRPr="00A36E3A">
              <w:rPr>
                <w:rFonts w:ascii="Arial" w:eastAsia="Times New Roman" w:hAnsi="Arial" w:cs="Arial"/>
                <w:sz w:val="20"/>
                <w:szCs w:val="20"/>
              </w:rPr>
              <w:t>1,595 (998–2,040)</w:t>
            </w:r>
          </w:p>
        </w:tc>
      </w:tr>
      <w:tr w:rsidR="00C859B8" w:rsidRPr="00A36E3A" w14:paraId="24E2003D" w14:textId="77777777" w:rsidTr="001908F3">
        <w:trPr>
          <w:trHeight w:val="288"/>
        </w:trPr>
        <w:tc>
          <w:tcPr>
            <w:tcW w:w="1923" w:type="pct"/>
            <w:vAlign w:val="center"/>
          </w:tcPr>
          <w:p w14:paraId="5D608F29" w14:textId="77777777" w:rsidR="00C859B8" w:rsidRPr="00A36E3A" w:rsidRDefault="00C859B8" w:rsidP="001908F3">
            <w:pPr>
              <w:ind w:left="339" w:firstLine="5"/>
              <w:rPr>
                <w:rFonts w:ascii="Arial" w:hAnsi="Arial" w:cs="Arial"/>
                <w:b/>
                <w:bCs/>
                <w:sz w:val="20"/>
                <w:szCs w:val="20"/>
              </w:rPr>
            </w:pPr>
            <w:r w:rsidRPr="00A36E3A">
              <w:rPr>
                <w:rFonts w:ascii="Arial" w:hAnsi="Arial" w:cs="Arial"/>
                <w:sz w:val="20"/>
                <w:szCs w:val="20"/>
              </w:rPr>
              <w:t>Chronic pain</w:t>
            </w:r>
          </w:p>
        </w:tc>
        <w:tc>
          <w:tcPr>
            <w:tcW w:w="1587" w:type="pct"/>
            <w:vAlign w:val="center"/>
          </w:tcPr>
          <w:p w14:paraId="5C60F554" w14:textId="77777777" w:rsidR="00C859B8" w:rsidRPr="00A36E3A" w:rsidRDefault="00C859B8" w:rsidP="001908F3">
            <w:pPr>
              <w:jc w:val="center"/>
              <w:rPr>
                <w:rFonts w:ascii="Arial" w:hAnsi="Arial" w:cs="Arial"/>
                <w:b/>
                <w:bCs/>
                <w:sz w:val="20"/>
                <w:szCs w:val="20"/>
              </w:rPr>
            </w:pPr>
          </w:p>
        </w:tc>
        <w:tc>
          <w:tcPr>
            <w:tcW w:w="1490" w:type="pct"/>
            <w:vAlign w:val="center"/>
          </w:tcPr>
          <w:p w14:paraId="0EB084C4" w14:textId="77777777" w:rsidR="00C859B8" w:rsidRPr="00A36E3A" w:rsidRDefault="00C859B8" w:rsidP="00AB651A">
            <w:pPr>
              <w:jc w:val="center"/>
              <w:rPr>
                <w:rFonts w:ascii="Arial" w:hAnsi="Arial" w:cs="Arial"/>
                <w:b/>
                <w:bCs/>
                <w:sz w:val="20"/>
                <w:szCs w:val="20"/>
              </w:rPr>
            </w:pPr>
            <w:r w:rsidRPr="00A36E3A">
              <w:rPr>
                <w:rFonts w:ascii="Arial" w:eastAsia="Times New Roman" w:hAnsi="Arial" w:cs="Arial"/>
                <w:sz w:val="20"/>
                <w:szCs w:val="20"/>
              </w:rPr>
              <w:t>1,820 (1,106–2,327)</w:t>
            </w:r>
          </w:p>
        </w:tc>
      </w:tr>
      <w:tr w:rsidR="00C859B8" w:rsidRPr="00A36E3A" w14:paraId="70436B05" w14:textId="77777777" w:rsidTr="001908F3">
        <w:trPr>
          <w:trHeight w:val="288"/>
        </w:trPr>
        <w:tc>
          <w:tcPr>
            <w:tcW w:w="1923" w:type="pct"/>
            <w:vAlign w:val="center"/>
          </w:tcPr>
          <w:p w14:paraId="0D2FDE02" w14:textId="77777777" w:rsidR="00C859B8" w:rsidRPr="00A36E3A" w:rsidRDefault="00C859B8" w:rsidP="001908F3">
            <w:pPr>
              <w:rPr>
                <w:rFonts w:ascii="Arial" w:hAnsi="Arial" w:cs="Arial"/>
                <w:sz w:val="20"/>
                <w:szCs w:val="20"/>
              </w:rPr>
            </w:pPr>
          </w:p>
        </w:tc>
        <w:tc>
          <w:tcPr>
            <w:tcW w:w="1587" w:type="pct"/>
            <w:vAlign w:val="center"/>
          </w:tcPr>
          <w:p w14:paraId="0064AEE6" w14:textId="77777777" w:rsidR="00C859B8" w:rsidRPr="00A36E3A" w:rsidRDefault="00C859B8" w:rsidP="001908F3">
            <w:pPr>
              <w:jc w:val="center"/>
              <w:rPr>
                <w:rFonts w:ascii="Arial" w:hAnsi="Arial" w:cs="Arial"/>
                <w:b/>
                <w:bCs/>
                <w:sz w:val="20"/>
                <w:szCs w:val="20"/>
              </w:rPr>
            </w:pPr>
          </w:p>
        </w:tc>
        <w:tc>
          <w:tcPr>
            <w:tcW w:w="1490" w:type="pct"/>
            <w:vAlign w:val="center"/>
          </w:tcPr>
          <w:p w14:paraId="31965B90" w14:textId="77777777" w:rsidR="00C859B8" w:rsidRPr="00A36E3A" w:rsidRDefault="00C859B8" w:rsidP="001908F3">
            <w:pPr>
              <w:jc w:val="center"/>
              <w:rPr>
                <w:rFonts w:ascii="Arial" w:hAnsi="Arial" w:cs="Arial"/>
                <w:b/>
                <w:bCs/>
                <w:sz w:val="20"/>
                <w:szCs w:val="20"/>
              </w:rPr>
            </w:pPr>
          </w:p>
        </w:tc>
      </w:tr>
      <w:tr w:rsidR="00C859B8" w:rsidRPr="00A36E3A" w14:paraId="0458BC2D" w14:textId="77777777" w:rsidTr="001908F3">
        <w:trPr>
          <w:trHeight w:val="288"/>
        </w:trPr>
        <w:tc>
          <w:tcPr>
            <w:tcW w:w="1923" w:type="pct"/>
            <w:vAlign w:val="center"/>
          </w:tcPr>
          <w:p w14:paraId="656D8085" w14:textId="77777777" w:rsidR="00C859B8" w:rsidRPr="00A36E3A" w:rsidRDefault="00C859B8" w:rsidP="001908F3">
            <w:pPr>
              <w:rPr>
                <w:rFonts w:ascii="Arial" w:hAnsi="Arial" w:cs="Arial"/>
                <w:b/>
                <w:bCs/>
                <w:sz w:val="20"/>
                <w:szCs w:val="20"/>
              </w:rPr>
            </w:pPr>
            <w:r w:rsidRPr="00A36E3A">
              <w:rPr>
                <w:rFonts w:ascii="Arial" w:hAnsi="Arial" w:cs="Arial"/>
                <w:b/>
                <w:bCs/>
                <w:sz w:val="20"/>
                <w:szCs w:val="20"/>
              </w:rPr>
              <w:t>Benzodiazepine prescriptions</w:t>
            </w:r>
          </w:p>
        </w:tc>
        <w:tc>
          <w:tcPr>
            <w:tcW w:w="1587" w:type="pct"/>
            <w:vAlign w:val="center"/>
          </w:tcPr>
          <w:p w14:paraId="34E86920" w14:textId="77777777" w:rsidR="00C859B8" w:rsidRPr="00A36E3A" w:rsidRDefault="00C859B8" w:rsidP="001908F3">
            <w:pPr>
              <w:jc w:val="center"/>
              <w:rPr>
                <w:rFonts w:ascii="Arial" w:hAnsi="Arial" w:cs="Arial"/>
                <w:b/>
                <w:bCs/>
                <w:sz w:val="20"/>
                <w:szCs w:val="20"/>
              </w:rPr>
            </w:pPr>
          </w:p>
        </w:tc>
        <w:tc>
          <w:tcPr>
            <w:tcW w:w="1490" w:type="pct"/>
            <w:vAlign w:val="center"/>
          </w:tcPr>
          <w:p w14:paraId="5315BF4D" w14:textId="77777777" w:rsidR="00C859B8" w:rsidRPr="00A36E3A" w:rsidRDefault="00C859B8" w:rsidP="001908F3">
            <w:pPr>
              <w:jc w:val="center"/>
              <w:rPr>
                <w:rFonts w:ascii="Arial" w:hAnsi="Arial" w:cs="Arial"/>
                <w:b/>
                <w:bCs/>
                <w:sz w:val="20"/>
                <w:szCs w:val="20"/>
              </w:rPr>
            </w:pPr>
          </w:p>
        </w:tc>
      </w:tr>
      <w:tr w:rsidR="00C859B8" w:rsidRPr="00A36E3A" w14:paraId="7994D81C" w14:textId="77777777" w:rsidTr="001908F3">
        <w:trPr>
          <w:trHeight w:val="288"/>
        </w:trPr>
        <w:tc>
          <w:tcPr>
            <w:tcW w:w="1923" w:type="pct"/>
            <w:tcBorders>
              <w:bottom w:val="single" w:sz="4" w:space="0" w:color="auto"/>
            </w:tcBorders>
            <w:vAlign w:val="center"/>
          </w:tcPr>
          <w:p w14:paraId="5B37BD99" w14:textId="77777777" w:rsidR="00C859B8" w:rsidRPr="00A36E3A" w:rsidRDefault="00C859B8" w:rsidP="001908F3">
            <w:pPr>
              <w:ind w:left="339" w:hanging="339"/>
              <w:rPr>
                <w:rFonts w:ascii="Arial" w:hAnsi="Arial" w:cs="Arial"/>
                <w:sz w:val="20"/>
                <w:szCs w:val="20"/>
              </w:rPr>
            </w:pPr>
            <w:r w:rsidRPr="00A36E3A">
              <w:rPr>
                <w:rFonts w:ascii="Arial" w:hAnsi="Arial" w:cs="Arial"/>
                <w:sz w:val="20"/>
                <w:szCs w:val="20"/>
              </w:rPr>
              <w:t xml:space="preserve">Overall </w:t>
            </w:r>
          </w:p>
        </w:tc>
        <w:tc>
          <w:tcPr>
            <w:tcW w:w="1587" w:type="pct"/>
            <w:tcBorders>
              <w:bottom w:val="single" w:sz="4" w:space="0" w:color="auto"/>
            </w:tcBorders>
            <w:vAlign w:val="center"/>
          </w:tcPr>
          <w:p w14:paraId="047179B7" w14:textId="77777777" w:rsidR="00C859B8" w:rsidRPr="00A36E3A" w:rsidRDefault="00C859B8" w:rsidP="001908F3">
            <w:pPr>
              <w:jc w:val="center"/>
              <w:rPr>
                <w:rFonts w:ascii="Arial" w:hAnsi="Arial" w:cs="Arial"/>
                <w:b/>
                <w:bCs/>
                <w:sz w:val="20"/>
                <w:szCs w:val="20"/>
              </w:rPr>
            </w:pPr>
            <w:r w:rsidRPr="00A36E3A">
              <w:rPr>
                <w:rFonts w:ascii="Arial" w:eastAsia="Times New Roman" w:hAnsi="Arial" w:cs="Arial"/>
                <w:sz w:val="20"/>
                <w:szCs w:val="20"/>
              </w:rPr>
              <w:t>838,340 (746,499–959,345)</w:t>
            </w:r>
          </w:p>
        </w:tc>
        <w:tc>
          <w:tcPr>
            <w:tcW w:w="1490" w:type="pct"/>
            <w:tcBorders>
              <w:bottom w:val="single" w:sz="4" w:space="0" w:color="auto"/>
            </w:tcBorders>
            <w:vAlign w:val="center"/>
          </w:tcPr>
          <w:p w14:paraId="105720DF" w14:textId="77777777" w:rsidR="00C859B8" w:rsidRPr="00A36E3A" w:rsidRDefault="00C859B8" w:rsidP="001908F3">
            <w:pPr>
              <w:jc w:val="center"/>
              <w:rPr>
                <w:rFonts w:ascii="Arial" w:hAnsi="Arial" w:cs="Arial"/>
                <w:b/>
                <w:bCs/>
                <w:sz w:val="20"/>
                <w:szCs w:val="20"/>
              </w:rPr>
            </w:pPr>
            <w:r w:rsidRPr="00A36E3A">
              <w:rPr>
                <w:rFonts w:ascii="Arial" w:eastAsia="Times New Roman" w:hAnsi="Arial" w:cs="Arial"/>
                <w:sz w:val="20"/>
                <w:szCs w:val="20"/>
              </w:rPr>
              <w:t>4,398 (3,352–5,453)</w:t>
            </w:r>
          </w:p>
        </w:tc>
      </w:tr>
    </w:tbl>
    <w:p w14:paraId="5E33A6DA" w14:textId="77777777" w:rsidR="00C859B8" w:rsidRPr="00CA79DA" w:rsidRDefault="00C859B8" w:rsidP="00C859B8">
      <w:pPr>
        <w:rPr>
          <w:rFonts w:ascii="Times New Roman" w:hAnsi="Times New Roman" w:cs="Times New Roman"/>
          <w:b/>
          <w:bCs/>
        </w:rPr>
      </w:pPr>
    </w:p>
    <w:p w14:paraId="5F8BF039" w14:textId="77777777" w:rsidR="00B67277" w:rsidRDefault="00B67277">
      <w:pPr>
        <w:rPr>
          <w:rFonts w:ascii="Arial" w:hAnsi="Arial" w:cs="Arial"/>
        </w:rPr>
      </w:pPr>
      <w:r>
        <w:rPr>
          <w:rFonts w:ascii="Arial" w:hAnsi="Arial" w:cs="Arial"/>
        </w:rPr>
        <w:br w:type="page"/>
      </w:r>
    </w:p>
    <w:p w14:paraId="2242D0FF" w14:textId="77777777" w:rsidR="00EE3487" w:rsidRDefault="00EE3487">
      <w:pPr>
        <w:rPr>
          <w:rFonts w:ascii="Arial" w:hAnsi="Arial" w:cs="Arial"/>
        </w:rPr>
        <w:sectPr w:rsidR="00EE3487">
          <w:footerReference w:type="even" r:id="rId8"/>
          <w:footerReference w:type="default" r:id="rId9"/>
          <w:pgSz w:w="12240" w:h="15840"/>
          <w:pgMar w:top="1440" w:right="1440" w:bottom="1440" w:left="1440" w:header="720" w:footer="720" w:gutter="0"/>
          <w:cols w:space="720"/>
          <w:docGrid w:linePitch="360"/>
        </w:sectPr>
      </w:pPr>
    </w:p>
    <w:p w14:paraId="166A12A3" w14:textId="4F58AC58" w:rsidR="00D70F86" w:rsidRPr="007548B8" w:rsidRDefault="00D70F86" w:rsidP="00D70F86">
      <w:pPr>
        <w:rPr>
          <w:rFonts w:ascii="Arial" w:eastAsia="Times New Roman" w:hAnsi="Arial" w:cs="Arial"/>
          <w:b/>
          <w:bCs/>
        </w:rPr>
      </w:pPr>
      <w:r>
        <w:rPr>
          <w:rFonts w:ascii="Arial" w:hAnsi="Arial" w:cs="Arial"/>
          <w:b/>
          <w:bCs/>
        </w:rPr>
        <w:lastRenderedPageBreak/>
        <w:t xml:space="preserve">Supplementary </w:t>
      </w:r>
      <w:r w:rsidRPr="002208E8">
        <w:rPr>
          <w:rFonts w:ascii="Arial" w:hAnsi="Arial" w:cs="Arial"/>
          <w:b/>
          <w:bCs/>
        </w:rPr>
        <w:t xml:space="preserve">Table </w:t>
      </w:r>
      <w:r w:rsidR="00F55A66">
        <w:rPr>
          <w:rFonts w:ascii="Arial" w:hAnsi="Arial" w:cs="Arial"/>
          <w:b/>
          <w:bCs/>
        </w:rPr>
        <w:t>5</w:t>
      </w:r>
      <w:r w:rsidRPr="002208E8">
        <w:rPr>
          <w:rFonts w:ascii="Arial" w:hAnsi="Arial" w:cs="Arial"/>
          <w:b/>
          <w:bCs/>
        </w:rPr>
        <w:t xml:space="preserve">. Association of </w:t>
      </w:r>
      <w:r>
        <w:rPr>
          <w:rFonts w:ascii="Arial" w:hAnsi="Arial" w:cs="Arial"/>
          <w:b/>
          <w:bCs/>
        </w:rPr>
        <w:t>a</w:t>
      </w:r>
      <w:r w:rsidRPr="002208E8">
        <w:rPr>
          <w:rFonts w:ascii="Arial" w:hAnsi="Arial" w:cs="Arial"/>
          <w:b/>
          <w:bCs/>
        </w:rPr>
        <w:t xml:space="preserve"> statewide </w:t>
      </w:r>
      <w:r>
        <w:rPr>
          <w:rFonts w:ascii="Arial" w:hAnsi="Arial" w:cs="Arial"/>
          <w:b/>
          <w:bCs/>
        </w:rPr>
        <w:t>initiative and an insurance reimbursement policy</w:t>
      </w:r>
      <w:r w:rsidRPr="002208E8">
        <w:rPr>
          <w:rFonts w:ascii="Arial" w:hAnsi="Arial" w:cs="Arial"/>
          <w:b/>
          <w:bCs/>
        </w:rPr>
        <w:t xml:space="preserve"> on </w:t>
      </w:r>
      <w:r w:rsidRPr="001232AC">
        <w:rPr>
          <w:rFonts w:ascii="Arial" w:hAnsi="Arial" w:cs="Arial"/>
          <w:b/>
          <w:bCs/>
        </w:rPr>
        <w:t xml:space="preserve">mean days’ supply </w:t>
      </w:r>
      <w:r w:rsidRPr="002208E8">
        <w:rPr>
          <w:rFonts w:ascii="Arial" w:hAnsi="Arial" w:cs="Arial"/>
          <w:b/>
          <w:bCs/>
        </w:rPr>
        <w:t>of initial opioid prescriptions, by pain indication overall and within cancer status</w:t>
      </w:r>
      <w:r w:rsidR="00B26FB9">
        <w:rPr>
          <w:rFonts w:ascii="Arial" w:hAnsi="Arial" w:cs="Arial"/>
          <w:b/>
          <w:bCs/>
        </w:rPr>
        <w:t xml:space="preserve"> – controlled ITS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9"/>
        <w:gridCol w:w="2159"/>
        <w:gridCol w:w="2159"/>
        <w:gridCol w:w="2159"/>
        <w:gridCol w:w="2162"/>
        <w:gridCol w:w="2162"/>
      </w:tblGrid>
      <w:tr w:rsidR="00D70F86" w:rsidRPr="00D74175" w14:paraId="7034F0AF" w14:textId="77777777" w:rsidTr="008E1BD6">
        <w:trPr>
          <w:tblHeader/>
        </w:trPr>
        <w:tc>
          <w:tcPr>
            <w:tcW w:w="833" w:type="pct"/>
            <w:tcBorders>
              <w:top w:val="single" w:sz="4" w:space="0" w:color="auto"/>
            </w:tcBorders>
            <w:vAlign w:val="center"/>
          </w:tcPr>
          <w:p w14:paraId="7E59B122" w14:textId="77777777" w:rsidR="00D70F86" w:rsidRPr="00D74175" w:rsidRDefault="00D70F86" w:rsidP="008E1BD6">
            <w:pPr>
              <w:jc w:val="center"/>
              <w:rPr>
                <w:rFonts w:ascii="Arial" w:hAnsi="Arial" w:cs="Arial"/>
                <w:sz w:val="20"/>
                <w:szCs w:val="20"/>
              </w:rPr>
            </w:pPr>
          </w:p>
        </w:tc>
        <w:tc>
          <w:tcPr>
            <w:tcW w:w="833" w:type="pct"/>
            <w:tcBorders>
              <w:top w:val="single" w:sz="4" w:space="0" w:color="auto"/>
              <w:bottom w:val="single" w:sz="4" w:space="0" w:color="auto"/>
            </w:tcBorders>
            <w:vAlign w:val="center"/>
          </w:tcPr>
          <w:p w14:paraId="51ED4EDA" w14:textId="77777777" w:rsidR="00D70F86" w:rsidRPr="00D74175" w:rsidRDefault="00D70F86" w:rsidP="008E1BD6">
            <w:pPr>
              <w:jc w:val="center"/>
              <w:rPr>
                <w:rFonts w:ascii="Arial" w:hAnsi="Arial" w:cs="Arial"/>
                <w:sz w:val="20"/>
                <w:szCs w:val="20"/>
              </w:rPr>
            </w:pPr>
            <w:r w:rsidRPr="00D74175">
              <w:rPr>
                <w:rFonts w:ascii="Arial" w:hAnsi="Arial" w:cs="Arial"/>
                <w:b/>
                <w:bCs/>
                <w:sz w:val="20"/>
                <w:szCs w:val="20"/>
              </w:rPr>
              <w:t>pre-Medical Board Initiative</w:t>
            </w:r>
          </w:p>
        </w:tc>
        <w:tc>
          <w:tcPr>
            <w:tcW w:w="1666" w:type="pct"/>
            <w:gridSpan w:val="2"/>
            <w:tcBorders>
              <w:top w:val="single" w:sz="4" w:space="0" w:color="auto"/>
              <w:bottom w:val="single" w:sz="4" w:space="0" w:color="auto"/>
            </w:tcBorders>
            <w:vAlign w:val="center"/>
          </w:tcPr>
          <w:p w14:paraId="17F6D172" w14:textId="77777777" w:rsidR="00D70F86" w:rsidRPr="00D74175" w:rsidRDefault="00D70F86" w:rsidP="008E1BD6">
            <w:pPr>
              <w:jc w:val="center"/>
              <w:rPr>
                <w:rFonts w:ascii="Arial" w:hAnsi="Arial" w:cs="Arial"/>
                <w:b/>
                <w:bCs/>
                <w:sz w:val="20"/>
                <w:szCs w:val="20"/>
              </w:rPr>
            </w:pPr>
            <w:r w:rsidRPr="00D74175">
              <w:rPr>
                <w:rFonts w:ascii="Arial" w:hAnsi="Arial" w:cs="Arial"/>
                <w:b/>
                <w:bCs/>
                <w:sz w:val="20"/>
                <w:szCs w:val="20"/>
              </w:rPr>
              <w:t xml:space="preserve">post-Medical Board </w:t>
            </w:r>
          </w:p>
          <w:p w14:paraId="72CDCA7E" w14:textId="77777777" w:rsidR="00D70F86" w:rsidRPr="00D74175" w:rsidRDefault="00D70F86" w:rsidP="008E1BD6">
            <w:pPr>
              <w:jc w:val="center"/>
              <w:rPr>
                <w:rFonts w:ascii="Arial" w:hAnsi="Arial" w:cs="Arial"/>
                <w:sz w:val="20"/>
                <w:szCs w:val="20"/>
              </w:rPr>
            </w:pPr>
            <w:r w:rsidRPr="00D74175">
              <w:rPr>
                <w:rFonts w:ascii="Arial" w:hAnsi="Arial" w:cs="Arial"/>
                <w:b/>
                <w:bCs/>
                <w:sz w:val="20"/>
                <w:szCs w:val="20"/>
              </w:rPr>
              <w:t>Initiative</w:t>
            </w:r>
          </w:p>
        </w:tc>
        <w:tc>
          <w:tcPr>
            <w:tcW w:w="1668" w:type="pct"/>
            <w:gridSpan w:val="2"/>
            <w:tcBorders>
              <w:top w:val="single" w:sz="4" w:space="0" w:color="auto"/>
              <w:bottom w:val="single" w:sz="4" w:space="0" w:color="auto"/>
            </w:tcBorders>
            <w:vAlign w:val="center"/>
          </w:tcPr>
          <w:p w14:paraId="5BDE39EF" w14:textId="77777777" w:rsidR="00D70F86" w:rsidRDefault="00D70F86" w:rsidP="008E1BD6">
            <w:pPr>
              <w:jc w:val="center"/>
              <w:rPr>
                <w:rFonts w:ascii="Arial" w:hAnsi="Arial" w:cs="Arial"/>
                <w:b/>
                <w:bCs/>
                <w:sz w:val="20"/>
                <w:szCs w:val="20"/>
              </w:rPr>
            </w:pPr>
            <w:r w:rsidRPr="00D74175">
              <w:rPr>
                <w:rFonts w:ascii="Arial" w:hAnsi="Arial" w:cs="Arial"/>
                <w:b/>
                <w:bCs/>
                <w:sz w:val="20"/>
                <w:szCs w:val="20"/>
              </w:rPr>
              <w:t>post-</w:t>
            </w:r>
            <w:r>
              <w:rPr>
                <w:rFonts w:ascii="Arial" w:hAnsi="Arial" w:cs="Arial"/>
                <w:b/>
                <w:bCs/>
                <w:sz w:val="20"/>
                <w:szCs w:val="20"/>
              </w:rPr>
              <w:t xml:space="preserve">Reimbursement </w:t>
            </w:r>
          </w:p>
          <w:p w14:paraId="776170E5" w14:textId="77777777" w:rsidR="00D70F86" w:rsidRPr="00D74175" w:rsidRDefault="00D70F86" w:rsidP="008E1BD6">
            <w:pPr>
              <w:jc w:val="center"/>
              <w:rPr>
                <w:rFonts w:ascii="Arial" w:hAnsi="Arial" w:cs="Arial"/>
                <w:sz w:val="20"/>
                <w:szCs w:val="20"/>
              </w:rPr>
            </w:pPr>
            <w:r>
              <w:rPr>
                <w:rFonts w:ascii="Arial" w:hAnsi="Arial" w:cs="Arial"/>
                <w:b/>
                <w:bCs/>
                <w:sz w:val="20"/>
                <w:szCs w:val="20"/>
              </w:rPr>
              <w:t>Policy</w:t>
            </w:r>
          </w:p>
        </w:tc>
      </w:tr>
      <w:tr w:rsidR="00D70F86" w:rsidRPr="00D74175" w14:paraId="3331935D" w14:textId="77777777" w:rsidTr="008E1BD6">
        <w:trPr>
          <w:tblHeader/>
        </w:trPr>
        <w:tc>
          <w:tcPr>
            <w:tcW w:w="833" w:type="pct"/>
            <w:vAlign w:val="center"/>
          </w:tcPr>
          <w:p w14:paraId="3A024E34" w14:textId="77777777" w:rsidR="00D70F86" w:rsidRPr="00B2495D" w:rsidRDefault="00D70F86" w:rsidP="008E1BD6">
            <w:pPr>
              <w:rPr>
                <w:rFonts w:ascii="Arial" w:hAnsi="Arial" w:cs="Arial"/>
                <w:b/>
                <w:bCs/>
                <w:sz w:val="20"/>
                <w:szCs w:val="20"/>
                <w:vertAlign w:val="superscript"/>
              </w:rPr>
            </w:pPr>
            <w:proofErr w:type="spellStart"/>
            <w:r>
              <w:rPr>
                <w:rFonts w:ascii="Arial" w:hAnsi="Arial" w:cs="Arial"/>
                <w:b/>
                <w:bCs/>
                <w:sz w:val="20"/>
                <w:szCs w:val="20"/>
              </w:rPr>
              <w:t>Outcomes</w:t>
            </w:r>
            <w:r w:rsidRPr="00B2495D">
              <w:rPr>
                <w:rFonts w:ascii="Arial" w:hAnsi="Arial" w:cs="Arial"/>
                <w:sz w:val="20"/>
                <w:szCs w:val="20"/>
                <w:vertAlign w:val="superscript"/>
              </w:rPr>
              <w:t>a</w:t>
            </w:r>
            <w:proofErr w:type="spellEnd"/>
          </w:p>
        </w:tc>
        <w:tc>
          <w:tcPr>
            <w:tcW w:w="833" w:type="pct"/>
            <w:tcBorders>
              <w:top w:val="single" w:sz="4" w:space="0" w:color="auto"/>
              <w:bottom w:val="single" w:sz="4" w:space="0" w:color="auto"/>
            </w:tcBorders>
            <w:vAlign w:val="center"/>
          </w:tcPr>
          <w:p w14:paraId="057EF8A3" w14:textId="77777777" w:rsidR="00D70F86" w:rsidRPr="00B2495D" w:rsidRDefault="00D70F86" w:rsidP="008E1BD6">
            <w:pPr>
              <w:jc w:val="center"/>
              <w:rPr>
                <w:rFonts w:ascii="Arial" w:hAnsi="Arial" w:cs="Arial"/>
                <w:sz w:val="20"/>
                <w:szCs w:val="20"/>
                <w:vertAlign w:val="superscript"/>
              </w:rPr>
            </w:pPr>
            <w:proofErr w:type="spellStart"/>
            <w:r w:rsidRPr="00D74175">
              <w:rPr>
                <w:rFonts w:ascii="Arial" w:hAnsi="Arial" w:cs="Arial"/>
                <w:b/>
                <w:bCs/>
                <w:sz w:val="20"/>
                <w:szCs w:val="20"/>
              </w:rPr>
              <w:t>Trend</w:t>
            </w:r>
            <w:r>
              <w:rPr>
                <w:rFonts w:ascii="Arial" w:hAnsi="Arial" w:cs="Arial"/>
                <w:sz w:val="20"/>
                <w:szCs w:val="20"/>
                <w:vertAlign w:val="superscript"/>
              </w:rPr>
              <w:t>b</w:t>
            </w:r>
            <w:proofErr w:type="spellEnd"/>
          </w:p>
          <w:p w14:paraId="73152D39" w14:textId="77777777" w:rsidR="00D70F86" w:rsidRPr="00D74175" w:rsidRDefault="00D70F86" w:rsidP="008E1BD6">
            <w:pPr>
              <w:jc w:val="center"/>
              <w:rPr>
                <w:rFonts w:ascii="Arial" w:hAnsi="Arial" w:cs="Arial"/>
                <w:b/>
                <w:bCs/>
                <w:sz w:val="20"/>
                <w:szCs w:val="20"/>
              </w:rPr>
            </w:pPr>
            <w:r w:rsidRPr="00D74175">
              <w:rPr>
                <w:rFonts w:ascii="Arial" w:hAnsi="Arial" w:cs="Arial"/>
                <w:b/>
                <w:bCs/>
                <w:sz w:val="20"/>
                <w:szCs w:val="20"/>
              </w:rPr>
              <w:t>(95% CI)</w:t>
            </w:r>
          </w:p>
        </w:tc>
        <w:tc>
          <w:tcPr>
            <w:tcW w:w="833" w:type="pct"/>
            <w:tcBorders>
              <w:top w:val="single" w:sz="4" w:space="0" w:color="auto"/>
              <w:bottom w:val="single" w:sz="4" w:space="0" w:color="auto"/>
            </w:tcBorders>
            <w:vAlign w:val="center"/>
          </w:tcPr>
          <w:p w14:paraId="0E74E3C3" w14:textId="77777777" w:rsidR="00D70F86" w:rsidRPr="00D74175" w:rsidRDefault="00D70F86" w:rsidP="008E1BD6">
            <w:pPr>
              <w:jc w:val="center"/>
              <w:rPr>
                <w:rFonts w:ascii="Arial" w:hAnsi="Arial" w:cs="Arial"/>
                <w:b/>
                <w:bCs/>
                <w:sz w:val="20"/>
                <w:szCs w:val="20"/>
                <w:vertAlign w:val="superscript"/>
              </w:rPr>
            </w:pPr>
            <w:r w:rsidRPr="00D74175">
              <w:rPr>
                <w:rFonts w:ascii="Arial" w:hAnsi="Arial" w:cs="Arial"/>
                <w:b/>
                <w:bCs/>
                <w:sz w:val="20"/>
                <w:szCs w:val="20"/>
              </w:rPr>
              <w:t xml:space="preserve">Absolute </w:t>
            </w:r>
            <w:proofErr w:type="spellStart"/>
            <w:r w:rsidRPr="00D74175">
              <w:rPr>
                <w:rFonts w:ascii="Arial" w:hAnsi="Arial" w:cs="Arial"/>
                <w:b/>
                <w:bCs/>
                <w:sz w:val="20"/>
                <w:szCs w:val="20"/>
              </w:rPr>
              <w:t>difference</w:t>
            </w:r>
            <w:r w:rsidRPr="00B2495D">
              <w:rPr>
                <w:rFonts w:ascii="Arial" w:hAnsi="Arial" w:cs="Arial"/>
                <w:sz w:val="20"/>
                <w:szCs w:val="20"/>
                <w:vertAlign w:val="superscript"/>
              </w:rPr>
              <w:t>c</w:t>
            </w:r>
            <w:proofErr w:type="spellEnd"/>
          </w:p>
          <w:p w14:paraId="355273A7" w14:textId="77777777" w:rsidR="00D70F86" w:rsidRPr="00D74175" w:rsidRDefault="00D70F86" w:rsidP="008E1BD6">
            <w:pPr>
              <w:jc w:val="center"/>
              <w:rPr>
                <w:rFonts w:ascii="Arial" w:hAnsi="Arial" w:cs="Arial"/>
                <w:b/>
                <w:bCs/>
                <w:sz w:val="20"/>
                <w:szCs w:val="20"/>
              </w:rPr>
            </w:pPr>
            <w:r w:rsidRPr="00D74175">
              <w:rPr>
                <w:rFonts w:ascii="Arial" w:hAnsi="Arial" w:cs="Arial"/>
                <w:b/>
                <w:bCs/>
                <w:sz w:val="20"/>
                <w:szCs w:val="20"/>
              </w:rPr>
              <w:t>(95% CI)</w:t>
            </w:r>
          </w:p>
        </w:tc>
        <w:tc>
          <w:tcPr>
            <w:tcW w:w="833" w:type="pct"/>
            <w:tcBorders>
              <w:top w:val="single" w:sz="4" w:space="0" w:color="auto"/>
              <w:bottom w:val="single" w:sz="4" w:space="0" w:color="auto"/>
            </w:tcBorders>
            <w:vAlign w:val="center"/>
          </w:tcPr>
          <w:p w14:paraId="372B8FE8" w14:textId="77777777" w:rsidR="00D70F86" w:rsidRPr="00D74175" w:rsidRDefault="00D70F86" w:rsidP="008E1BD6">
            <w:pPr>
              <w:jc w:val="center"/>
              <w:rPr>
                <w:rFonts w:ascii="Arial" w:hAnsi="Arial" w:cs="Arial"/>
                <w:b/>
                <w:bCs/>
                <w:sz w:val="20"/>
                <w:szCs w:val="20"/>
                <w:vertAlign w:val="superscript"/>
              </w:rPr>
            </w:pPr>
            <w:r w:rsidRPr="00D74175">
              <w:rPr>
                <w:rFonts w:ascii="Arial" w:hAnsi="Arial" w:cs="Arial"/>
                <w:b/>
                <w:bCs/>
                <w:sz w:val="20"/>
                <w:szCs w:val="20"/>
              </w:rPr>
              <w:t xml:space="preserve">Change in </w:t>
            </w:r>
            <w:proofErr w:type="spellStart"/>
            <w:proofErr w:type="gramStart"/>
            <w:r w:rsidRPr="00D74175">
              <w:rPr>
                <w:rFonts w:ascii="Arial" w:hAnsi="Arial" w:cs="Arial"/>
                <w:b/>
                <w:bCs/>
                <w:sz w:val="20"/>
                <w:szCs w:val="20"/>
              </w:rPr>
              <w:t>trend</w:t>
            </w:r>
            <w:r>
              <w:rPr>
                <w:rFonts w:ascii="Arial" w:hAnsi="Arial" w:cs="Arial"/>
                <w:sz w:val="20"/>
                <w:szCs w:val="20"/>
                <w:vertAlign w:val="superscript"/>
              </w:rPr>
              <w:t>b,d</w:t>
            </w:r>
            <w:proofErr w:type="spellEnd"/>
            <w:proofErr w:type="gramEnd"/>
          </w:p>
          <w:p w14:paraId="1D3C80A3" w14:textId="77777777" w:rsidR="00D70F86" w:rsidRPr="00D74175" w:rsidRDefault="00D70F86" w:rsidP="008E1BD6">
            <w:pPr>
              <w:jc w:val="center"/>
              <w:rPr>
                <w:rFonts w:ascii="Arial" w:hAnsi="Arial" w:cs="Arial"/>
                <w:b/>
                <w:bCs/>
                <w:sz w:val="20"/>
                <w:szCs w:val="20"/>
              </w:rPr>
            </w:pPr>
            <w:r w:rsidRPr="00D74175">
              <w:rPr>
                <w:rFonts w:ascii="Arial" w:hAnsi="Arial" w:cs="Arial"/>
                <w:b/>
                <w:bCs/>
                <w:sz w:val="20"/>
                <w:szCs w:val="20"/>
              </w:rPr>
              <w:t>(95% CI)</w:t>
            </w:r>
          </w:p>
        </w:tc>
        <w:tc>
          <w:tcPr>
            <w:tcW w:w="834" w:type="pct"/>
            <w:tcBorders>
              <w:top w:val="single" w:sz="4" w:space="0" w:color="auto"/>
              <w:bottom w:val="single" w:sz="4" w:space="0" w:color="auto"/>
            </w:tcBorders>
            <w:vAlign w:val="center"/>
          </w:tcPr>
          <w:p w14:paraId="351FC063" w14:textId="77777777" w:rsidR="00D70F86" w:rsidRPr="00D74175" w:rsidRDefault="00D70F86" w:rsidP="008E1BD6">
            <w:pPr>
              <w:jc w:val="center"/>
              <w:rPr>
                <w:rFonts w:ascii="Arial" w:hAnsi="Arial" w:cs="Arial"/>
                <w:b/>
                <w:bCs/>
                <w:sz w:val="20"/>
                <w:szCs w:val="20"/>
                <w:vertAlign w:val="superscript"/>
              </w:rPr>
            </w:pPr>
            <w:r w:rsidRPr="00D74175">
              <w:rPr>
                <w:rFonts w:ascii="Arial" w:hAnsi="Arial" w:cs="Arial"/>
                <w:b/>
                <w:bCs/>
                <w:sz w:val="20"/>
                <w:szCs w:val="20"/>
              </w:rPr>
              <w:t xml:space="preserve">Absolute </w:t>
            </w:r>
            <w:proofErr w:type="spellStart"/>
            <w:r w:rsidRPr="00D74175">
              <w:rPr>
                <w:rFonts w:ascii="Arial" w:hAnsi="Arial" w:cs="Arial"/>
                <w:b/>
                <w:bCs/>
                <w:sz w:val="20"/>
                <w:szCs w:val="20"/>
              </w:rPr>
              <w:t>difference</w:t>
            </w:r>
            <w:r w:rsidRPr="00B2495D">
              <w:rPr>
                <w:rFonts w:ascii="Arial" w:hAnsi="Arial" w:cs="Arial"/>
                <w:sz w:val="20"/>
                <w:szCs w:val="20"/>
                <w:vertAlign w:val="superscript"/>
              </w:rPr>
              <w:t>c</w:t>
            </w:r>
            <w:proofErr w:type="spellEnd"/>
          </w:p>
          <w:p w14:paraId="1E246145" w14:textId="77777777" w:rsidR="00D70F86" w:rsidRPr="00D74175" w:rsidRDefault="00D70F86" w:rsidP="008E1BD6">
            <w:pPr>
              <w:jc w:val="center"/>
              <w:rPr>
                <w:rFonts w:ascii="Arial" w:hAnsi="Arial" w:cs="Arial"/>
                <w:b/>
                <w:bCs/>
                <w:sz w:val="20"/>
                <w:szCs w:val="20"/>
              </w:rPr>
            </w:pPr>
            <w:r w:rsidRPr="00D74175">
              <w:rPr>
                <w:rFonts w:ascii="Arial" w:hAnsi="Arial" w:cs="Arial"/>
                <w:b/>
                <w:bCs/>
                <w:sz w:val="20"/>
                <w:szCs w:val="20"/>
              </w:rPr>
              <w:t>(95% CI)</w:t>
            </w:r>
          </w:p>
        </w:tc>
        <w:tc>
          <w:tcPr>
            <w:tcW w:w="834" w:type="pct"/>
            <w:tcBorders>
              <w:top w:val="single" w:sz="4" w:space="0" w:color="auto"/>
              <w:bottom w:val="single" w:sz="4" w:space="0" w:color="auto"/>
            </w:tcBorders>
            <w:vAlign w:val="center"/>
          </w:tcPr>
          <w:p w14:paraId="74B45C98" w14:textId="77777777" w:rsidR="00D70F86" w:rsidRPr="00D74175" w:rsidRDefault="00D70F86" w:rsidP="008E1BD6">
            <w:pPr>
              <w:jc w:val="center"/>
              <w:rPr>
                <w:rFonts w:ascii="Arial" w:hAnsi="Arial" w:cs="Arial"/>
                <w:b/>
                <w:bCs/>
                <w:sz w:val="20"/>
                <w:szCs w:val="20"/>
                <w:vertAlign w:val="superscript"/>
              </w:rPr>
            </w:pPr>
            <w:r w:rsidRPr="00D74175">
              <w:rPr>
                <w:rFonts w:ascii="Arial" w:hAnsi="Arial" w:cs="Arial"/>
                <w:b/>
                <w:bCs/>
                <w:sz w:val="20"/>
                <w:szCs w:val="20"/>
              </w:rPr>
              <w:t xml:space="preserve">Change in </w:t>
            </w:r>
            <w:proofErr w:type="spellStart"/>
            <w:proofErr w:type="gramStart"/>
            <w:r w:rsidRPr="00D74175">
              <w:rPr>
                <w:rFonts w:ascii="Arial" w:hAnsi="Arial" w:cs="Arial"/>
                <w:b/>
                <w:bCs/>
                <w:sz w:val="20"/>
                <w:szCs w:val="20"/>
              </w:rPr>
              <w:t>trend</w:t>
            </w:r>
            <w:r>
              <w:rPr>
                <w:rFonts w:ascii="Arial" w:hAnsi="Arial" w:cs="Arial"/>
                <w:sz w:val="20"/>
                <w:szCs w:val="20"/>
                <w:vertAlign w:val="superscript"/>
              </w:rPr>
              <w:t>b,d</w:t>
            </w:r>
            <w:proofErr w:type="spellEnd"/>
            <w:proofErr w:type="gramEnd"/>
          </w:p>
          <w:p w14:paraId="46512CD4" w14:textId="77777777" w:rsidR="00D70F86" w:rsidRPr="00D74175" w:rsidRDefault="00D70F86" w:rsidP="008E1BD6">
            <w:pPr>
              <w:jc w:val="center"/>
              <w:rPr>
                <w:rFonts w:ascii="Arial" w:hAnsi="Arial" w:cs="Arial"/>
                <w:b/>
                <w:bCs/>
                <w:sz w:val="20"/>
                <w:szCs w:val="20"/>
              </w:rPr>
            </w:pPr>
            <w:r w:rsidRPr="00D74175">
              <w:rPr>
                <w:rFonts w:ascii="Arial" w:hAnsi="Arial" w:cs="Arial"/>
                <w:b/>
                <w:bCs/>
                <w:sz w:val="20"/>
                <w:szCs w:val="20"/>
              </w:rPr>
              <w:t>(95% CI)</w:t>
            </w:r>
          </w:p>
        </w:tc>
      </w:tr>
      <w:tr w:rsidR="00D70F86" w:rsidRPr="00D74175" w14:paraId="0A2BEA10" w14:textId="77777777" w:rsidTr="008E1BD6">
        <w:trPr>
          <w:tblHeader/>
        </w:trPr>
        <w:tc>
          <w:tcPr>
            <w:tcW w:w="833" w:type="pct"/>
            <w:tcBorders>
              <w:bottom w:val="single" w:sz="4" w:space="0" w:color="auto"/>
            </w:tcBorders>
            <w:vAlign w:val="center"/>
          </w:tcPr>
          <w:p w14:paraId="0FEF222B" w14:textId="77777777" w:rsidR="00D70F86" w:rsidRPr="00D74175" w:rsidRDefault="00D70F86" w:rsidP="008E1BD6">
            <w:pPr>
              <w:jc w:val="center"/>
              <w:rPr>
                <w:rFonts w:ascii="Arial" w:hAnsi="Arial" w:cs="Arial"/>
                <w:sz w:val="20"/>
                <w:szCs w:val="20"/>
              </w:rPr>
            </w:pPr>
          </w:p>
        </w:tc>
        <w:tc>
          <w:tcPr>
            <w:tcW w:w="833" w:type="pct"/>
            <w:tcBorders>
              <w:top w:val="single" w:sz="4" w:space="0" w:color="auto"/>
              <w:bottom w:val="single" w:sz="4" w:space="0" w:color="auto"/>
            </w:tcBorders>
            <w:vAlign w:val="center"/>
          </w:tcPr>
          <w:p w14:paraId="63FE74C1" w14:textId="77777777" w:rsidR="00D70F86" w:rsidRPr="00D74175" w:rsidRDefault="00D70F86" w:rsidP="008E1BD6">
            <w:pPr>
              <w:jc w:val="center"/>
              <w:rPr>
                <w:rFonts w:ascii="Arial" w:hAnsi="Arial" w:cs="Arial"/>
                <w:sz w:val="20"/>
                <w:szCs w:val="20"/>
              </w:rPr>
            </w:pPr>
            <w:r w:rsidRPr="00D74175">
              <w:rPr>
                <w:rFonts w:ascii="Arial" w:hAnsi="Arial" w:cs="Arial"/>
                <w:sz w:val="20"/>
                <w:szCs w:val="20"/>
              </w:rPr>
              <w:t>β7</w:t>
            </w:r>
          </w:p>
        </w:tc>
        <w:tc>
          <w:tcPr>
            <w:tcW w:w="833" w:type="pct"/>
            <w:tcBorders>
              <w:top w:val="single" w:sz="4" w:space="0" w:color="auto"/>
              <w:bottom w:val="single" w:sz="4" w:space="0" w:color="auto"/>
            </w:tcBorders>
            <w:vAlign w:val="center"/>
          </w:tcPr>
          <w:p w14:paraId="33D2059A" w14:textId="77777777" w:rsidR="00D70F86" w:rsidRPr="00D74175" w:rsidRDefault="00D70F86" w:rsidP="008E1BD6">
            <w:pPr>
              <w:jc w:val="center"/>
              <w:rPr>
                <w:rFonts w:ascii="Arial" w:hAnsi="Arial" w:cs="Arial"/>
                <w:sz w:val="20"/>
                <w:szCs w:val="20"/>
              </w:rPr>
            </w:pPr>
            <w:r w:rsidRPr="00D74175">
              <w:rPr>
                <w:rFonts w:ascii="Arial" w:hAnsi="Arial" w:cs="Arial"/>
                <w:sz w:val="20"/>
                <w:szCs w:val="20"/>
              </w:rPr>
              <w:t>β8</w:t>
            </w:r>
          </w:p>
        </w:tc>
        <w:tc>
          <w:tcPr>
            <w:tcW w:w="833" w:type="pct"/>
            <w:tcBorders>
              <w:top w:val="single" w:sz="4" w:space="0" w:color="auto"/>
              <w:bottom w:val="single" w:sz="4" w:space="0" w:color="auto"/>
            </w:tcBorders>
            <w:vAlign w:val="center"/>
          </w:tcPr>
          <w:p w14:paraId="1B2DB798" w14:textId="77777777" w:rsidR="00D70F86" w:rsidRPr="00D74175" w:rsidRDefault="00D70F86" w:rsidP="008E1BD6">
            <w:pPr>
              <w:jc w:val="center"/>
              <w:rPr>
                <w:rFonts w:ascii="Arial" w:hAnsi="Arial" w:cs="Arial"/>
                <w:sz w:val="20"/>
                <w:szCs w:val="20"/>
              </w:rPr>
            </w:pPr>
            <w:r w:rsidRPr="00D74175">
              <w:rPr>
                <w:rFonts w:ascii="Arial" w:hAnsi="Arial" w:cs="Arial"/>
                <w:sz w:val="20"/>
                <w:szCs w:val="20"/>
              </w:rPr>
              <w:t>β9</w:t>
            </w:r>
          </w:p>
        </w:tc>
        <w:tc>
          <w:tcPr>
            <w:tcW w:w="834" w:type="pct"/>
            <w:tcBorders>
              <w:top w:val="single" w:sz="4" w:space="0" w:color="auto"/>
              <w:bottom w:val="single" w:sz="4" w:space="0" w:color="auto"/>
            </w:tcBorders>
            <w:vAlign w:val="center"/>
          </w:tcPr>
          <w:p w14:paraId="43E9031B" w14:textId="77777777" w:rsidR="00D70F86" w:rsidRPr="00D74175" w:rsidRDefault="00D70F86" w:rsidP="008E1BD6">
            <w:pPr>
              <w:jc w:val="center"/>
              <w:rPr>
                <w:rFonts w:ascii="Arial" w:hAnsi="Arial" w:cs="Arial"/>
                <w:sz w:val="20"/>
                <w:szCs w:val="20"/>
              </w:rPr>
            </w:pPr>
            <w:r w:rsidRPr="00D74175">
              <w:rPr>
                <w:rFonts w:ascii="Arial" w:hAnsi="Arial" w:cs="Arial"/>
                <w:sz w:val="20"/>
                <w:szCs w:val="20"/>
              </w:rPr>
              <w:t>β10</w:t>
            </w:r>
          </w:p>
        </w:tc>
        <w:tc>
          <w:tcPr>
            <w:tcW w:w="834" w:type="pct"/>
            <w:tcBorders>
              <w:top w:val="single" w:sz="4" w:space="0" w:color="auto"/>
              <w:bottom w:val="single" w:sz="4" w:space="0" w:color="auto"/>
            </w:tcBorders>
            <w:vAlign w:val="center"/>
          </w:tcPr>
          <w:p w14:paraId="5D29082F" w14:textId="77777777" w:rsidR="00D70F86" w:rsidRPr="00D74175" w:rsidRDefault="00D70F86" w:rsidP="008E1BD6">
            <w:pPr>
              <w:jc w:val="center"/>
              <w:rPr>
                <w:rFonts w:ascii="Arial" w:hAnsi="Arial" w:cs="Arial"/>
                <w:sz w:val="20"/>
                <w:szCs w:val="20"/>
              </w:rPr>
            </w:pPr>
            <w:r w:rsidRPr="00D74175">
              <w:rPr>
                <w:rFonts w:ascii="Arial" w:hAnsi="Arial" w:cs="Arial"/>
                <w:sz w:val="20"/>
                <w:szCs w:val="20"/>
              </w:rPr>
              <w:t>β11</w:t>
            </w:r>
          </w:p>
        </w:tc>
      </w:tr>
      <w:tr w:rsidR="00D70F86" w:rsidRPr="00D74175" w14:paraId="3195F5B1" w14:textId="77777777" w:rsidTr="008E1BD6">
        <w:tc>
          <w:tcPr>
            <w:tcW w:w="833" w:type="pct"/>
            <w:vAlign w:val="center"/>
          </w:tcPr>
          <w:p w14:paraId="51BF2C5F" w14:textId="77777777" w:rsidR="00D70F86" w:rsidRPr="00D74175" w:rsidRDefault="00D70F86" w:rsidP="008E1BD6">
            <w:pPr>
              <w:rPr>
                <w:rFonts w:ascii="Arial" w:hAnsi="Arial" w:cs="Arial"/>
                <w:sz w:val="20"/>
                <w:szCs w:val="20"/>
              </w:rPr>
            </w:pPr>
            <w:r>
              <w:rPr>
                <w:rFonts w:ascii="Arial" w:hAnsi="Arial" w:cs="Arial"/>
                <w:b/>
                <w:bCs/>
                <w:sz w:val="20"/>
                <w:szCs w:val="20"/>
              </w:rPr>
              <w:t>Mean days’ supply</w:t>
            </w:r>
          </w:p>
        </w:tc>
        <w:tc>
          <w:tcPr>
            <w:tcW w:w="833" w:type="pct"/>
            <w:tcBorders>
              <w:top w:val="single" w:sz="4" w:space="0" w:color="auto"/>
              <w:left w:val="nil"/>
            </w:tcBorders>
          </w:tcPr>
          <w:p w14:paraId="2E161A12" w14:textId="77777777" w:rsidR="00D70F86" w:rsidRPr="003434B1" w:rsidRDefault="00D70F86" w:rsidP="008E1BD6">
            <w:pPr>
              <w:jc w:val="right"/>
              <w:rPr>
                <w:rFonts w:ascii="Arial" w:hAnsi="Arial" w:cs="Arial"/>
                <w:color w:val="000000"/>
                <w:sz w:val="20"/>
                <w:szCs w:val="20"/>
              </w:rPr>
            </w:pPr>
          </w:p>
        </w:tc>
        <w:tc>
          <w:tcPr>
            <w:tcW w:w="833" w:type="pct"/>
            <w:tcBorders>
              <w:top w:val="single" w:sz="4" w:space="0" w:color="auto"/>
            </w:tcBorders>
          </w:tcPr>
          <w:p w14:paraId="20F2EB0C" w14:textId="77777777" w:rsidR="00D70F86" w:rsidRPr="003434B1" w:rsidRDefault="00D70F86" w:rsidP="008E1BD6">
            <w:pPr>
              <w:jc w:val="right"/>
              <w:rPr>
                <w:rFonts w:ascii="Arial" w:hAnsi="Arial" w:cs="Arial"/>
                <w:color w:val="000000"/>
                <w:sz w:val="20"/>
                <w:szCs w:val="20"/>
              </w:rPr>
            </w:pPr>
          </w:p>
        </w:tc>
        <w:tc>
          <w:tcPr>
            <w:tcW w:w="833" w:type="pct"/>
            <w:tcBorders>
              <w:top w:val="single" w:sz="4" w:space="0" w:color="auto"/>
            </w:tcBorders>
          </w:tcPr>
          <w:p w14:paraId="22300247" w14:textId="77777777" w:rsidR="00D70F86" w:rsidRPr="003434B1" w:rsidRDefault="00D70F86" w:rsidP="008E1BD6">
            <w:pPr>
              <w:jc w:val="right"/>
              <w:rPr>
                <w:rFonts w:ascii="Arial" w:hAnsi="Arial" w:cs="Arial"/>
                <w:color w:val="000000"/>
                <w:sz w:val="20"/>
                <w:szCs w:val="20"/>
              </w:rPr>
            </w:pPr>
          </w:p>
        </w:tc>
        <w:tc>
          <w:tcPr>
            <w:tcW w:w="834" w:type="pct"/>
            <w:tcBorders>
              <w:top w:val="single" w:sz="4" w:space="0" w:color="auto"/>
            </w:tcBorders>
          </w:tcPr>
          <w:p w14:paraId="26D42C3F" w14:textId="77777777" w:rsidR="00D70F86" w:rsidRPr="003434B1" w:rsidRDefault="00D70F86" w:rsidP="008E1BD6">
            <w:pPr>
              <w:jc w:val="right"/>
              <w:rPr>
                <w:rFonts w:ascii="Arial" w:hAnsi="Arial" w:cs="Arial"/>
                <w:color w:val="000000"/>
                <w:sz w:val="20"/>
                <w:szCs w:val="20"/>
              </w:rPr>
            </w:pPr>
          </w:p>
        </w:tc>
        <w:tc>
          <w:tcPr>
            <w:tcW w:w="834" w:type="pct"/>
            <w:tcBorders>
              <w:top w:val="single" w:sz="4" w:space="0" w:color="auto"/>
            </w:tcBorders>
          </w:tcPr>
          <w:p w14:paraId="34B2272F" w14:textId="77777777" w:rsidR="00D70F86" w:rsidRPr="003434B1" w:rsidRDefault="00D70F86" w:rsidP="008E1BD6">
            <w:pPr>
              <w:jc w:val="right"/>
              <w:rPr>
                <w:rFonts w:ascii="Arial" w:hAnsi="Arial" w:cs="Arial"/>
                <w:color w:val="000000"/>
                <w:sz w:val="20"/>
                <w:szCs w:val="20"/>
              </w:rPr>
            </w:pPr>
          </w:p>
        </w:tc>
      </w:tr>
      <w:tr w:rsidR="00D70F86" w:rsidRPr="00D74175" w14:paraId="09BA4685" w14:textId="77777777" w:rsidTr="008E1BD6">
        <w:tc>
          <w:tcPr>
            <w:tcW w:w="833" w:type="pct"/>
            <w:vAlign w:val="center"/>
          </w:tcPr>
          <w:p w14:paraId="60FF42F1" w14:textId="77777777" w:rsidR="00D70F86" w:rsidRPr="00D74175" w:rsidRDefault="00D70F86" w:rsidP="008E1BD6">
            <w:pPr>
              <w:rPr>
                <w:rFonts w:ascii="Arial" w:hAnsi="Arial" w:cs="Arial"/>
                <w:sz w:val="20"/>
                <w:szCs w:val="20"/>
              </w:rPr>
            </w:pPr>
          </w:p>
        </w:tc>
        <w:tc>
          <w:tcPr>
            <w:tcW w:w="833" w:type="pct"/>
            <w:tcBorders>
              <w:left w:val="nil"/>
            </w:tcBorders>
          </w:tcPr>
          <w:p w14:paraId="3BB807DE" w14:textId="77777777" w:rsidR="00D70F86" w:rsidRPr="003434B1" w:rsidRDefault="00D70F86" w:rsidP="008E1BD6">
            <w:pPr>
              <w:jc w:val="right"/>
              <w:rPr>
                <w:rFonts w:ascii="Arial" w:hAnsi="Arial" w:cs="Arial"/>
                <w:color w:val="000000"/>
                <w:sz w:val="20"/>
                <w:szCs w:val="20"/>
              </w:rPr>
            </w:pPr>
          </w:p>
        </w:tc>
        <w:tc>
          <w:tcPr>
            <w:tcW w:w="833" w:type="pct"/>
          </w:tcPr>
          <w:p w14:paraId="1E12B434" w14:textId="77777777" w:rsidR="00D70F86" w:rsidRPr="003434B1" w:rsidRDefault="00D70F86" w:rsidP="008E1BD6">
            <w:pPr>
              <w:jc w:val="right"/>
              <w:rPr>
                <w:rFonts w:ascii="Arial" w:hAnsi="Arial" w:cs="Arial"/>
                <w:color w:val="000000"/>
                <w:sz w:val="20"/>
                <w:szCs w:val="20"/>
              </w:rPr>
            </w:pPr>
          </w:p>
        </w:tc>
        <w:tc>
          <w:tcPr>
            <w:tcW w:w="833" w:type="pct"/>
          </w:tcPr>
          <w:p w14:paraId="4E97FF96" w14:textId="77777777" w:rsidR="00D70F86" w:rsidRPr="003434B1" w:rsidRDefault="00D70F86" w:rsidP="008E1BD6">
            <w:pPr>
              <w:jc w:val="right"/>
              <w:rPr>
                <w:rFonts w:ascii="Arial" w:hAnsi="Arial" w:cs="Arial"/>
                <w:color w:val="000000"/>
                <w:sz w:val="20"/>
                <w:szCs w:val="20"/>
              </w:rPr>
            </w:pPr>
          </w:p>
        </w:tc>
        <w:tc>
          <w:tcPr>
            <w:tcW w:w="834" w:type="pct"/>
          </w:tcPr>
          <w:p w14:paraId="38350F62" w14:textId="77777777" w:rsidR="00D70F86" w:rsidRPr="003434B1" w:rsidRDefault="00D70F86" w:rsidP="008E1BD6">
            <w:pPr>
              <w:jc w:val="right"/>
              <w:rPr>
                <w:rFonts w:ascii="Arial" w:hAnsi="Arial" w:cs="Arial"/>
                <w:color w:val="000000"/>
                <w:sz w:val="20"/>
                <w:szCs w:val="20"/>
              </w:rPr>
            </w:pPr>
          </w:p>
        </w:tc>
        <w:tc>
          <w:tcPr>
            <w:tcW w:w="834" w:type="pct"/>
          </w:tcPr>
          <w:p w14:paraId="669C0009" w14:textId="77777777" w:rsidR="00D70F86" w:rsidRPr="003434B1" w:rsidRDefault="00D70F86" w:rsidP="008E1BD6">
            <w:pPr>
              <w:jc w:val="right"/>
              <w:rPr>
                <w:rFonts w:ascii="Arial" w:hAnsi="Arial" w:cs="Arial"/>
                <w:color w:val="000000"/>
                <w:sz w:val="20"/>
                <w:szCs w:val="20"/>
              </w:rPr>
            </w:pPr>
          </w:p>
        </w:tc>
      </w:tr>
      <w:tr w:rsidR="00D70F86" w:rsidRPr="00D74175" w14:paraId="16D7F5CA" w14:textId="77777777" w:rsidTr="008E1BD6">
        <w:tc>
          <w:tcPr>
            <w:tcW w:w="833" w:type="pct"/>
            <w:vAlign w:val="center"/>
          </w:tcPr>
          <w:p w14:paraId="4A300959" w14:textId="77777777" w:rsidR="00D70F86" w:rsidRPr="00D74175" w:rsidRDefault="00D70F86" w:rsidP="008E1BD6">
            <w:pPr>
              <w:ind w:left="159"/>
              <w:rPr>
                <w:rFonts w:ascii="Arial" w:hAnsi="Arial" w:cs="Arial"/>
                <w:sz w:val="20"/>
                <w:szCs w:val="20"/>
              </w:rPr>
            </w:pPr>
            <w:r w:rsidRPr="00D74175">
              <w:rPr>
                <w:rFonts w:ascii="Arial" w:hAnsi="Arial" w:cs="Arial"/>
                <w:b/>
                <w:bCs/>
                <w:sz w:val="20"/>
                <w:szCs w:val="20"/>
              </w:rPr>
              <w:t>Overall</w:t>
            </w:r>
          </w:p>
        </w:tc>
        <w:tc>
          <w:tcPr>
            <w:tcW w:w="833" w:type="pct"/>
            <w:tcBorders>
              <w:left w:val="nil"/>
            </w:tcBorders>
          </w:tcPr>
          <w:p w14:paraId="2FE37B8B" w14:textId="77777777" w:rsidR="00D70F86" w:rsidRPr="003434B1" w:rsidRDefault="00D70F86" w:rsidP="008E1BD6">
            <w:pPr>
              <w:jc w:val="right"/>
              <w:rPr>
                <w:rFonts w:ascii="Arial" w:hAnsi="Arial" w:cs="Arial"/>
                <w:color w:val="000000"/>
                <w:sz w:val="20"/>
                <w:szCs w:val="20"/>
              </w:rPr>
            </w:pPr>
          </w:p>
        </w:tc>
        <w:tc>
          <w:tcPr>
            <w:tcW w:w="833" w:type="pct"/>
          </w:tcPr>
          <w:p w14:paraId="45073FAA" w14:textId="77777777" w:rsidR="00D70F86" w:rsidRPr="003434B1" w:rsidRDefault="00D70F86" w:rsidP="008E1BD6">
            <w:pPr>
              <w:jc w:val="right"/>
              <w:rPr>
                <w:rFonts w:ascii="Arial" w:hAnsi="Arial" w:cs="Arial"/>
                <w:color w:val="000000"/>
                <w:sz w:val="20"/>
                <w:szCs w:val="20"/>
              </w:rPr>
            </w:pPr>
          </w:p>
        </w:tc>
        <w:tc>
          <w:tcPr>
            <w:tcW w:w="833" w:type="pct"/>
          </w:tcPr>
          <w:p w14:paraId="42223121" w14:textId="77777777" w:rsidR="00D70F86" w:rsidRPr="003434B1" w:rsidRDefault="00D70F86" w:rsidP="008E1BD6">
            <w:pPr>
              <w:jc w:val="right"/>
              <w:rPr>
                <w:rFonts w:ascii="Arial" w:hAnsi="Arial" w:cs="Arial"/>
                <w:color w:val="000000"/>
                <w:sz w:val="20"/>
                <w:szCs w:val="20"/>
              </w:rPr>
            </w:pPr>
          </w:p>
        </w:tc>
        <w:tc>
          <w:tcPr>
            <w:tcW w:w="834" w:type="pct"/>
          </w:tcPr>
          <w:p w14:paraId="34C386B2" w14:textId="77777777" w:rsidR="00D70F86" w:rsidRPr="003434B1" w:rsidRDefault="00D70F86" w:rsidP="008E1BD6">
            <w:pPr>
              <w:jc w:val="right"/>
              <w:rPr>
                <w:rFonts w:ascii="Arial" w:hAnsi="Arial" w:cs="Arial"/>
                <w:color w:val="000000"/>
                <w:sz w:val="20"/>
                <w:szCs w:val="20"/>
              </w:rPr>
            </w:pPr>
          </w:p>
        </w:tc>
        <w:tc>
          <w:tcPr>
            <w:tcW w:w="834" w:type="pct"/>
          </w:tcPr>
          <w:p w14:paraId="4C132DFC" w14:textId="77777777" w:rsidR="00D70F86" w:rsidRPr="003434B1" w:rsidRDefault="00D70F86" w:rsidP="008E1BD6">
            <w:pPr>
              <w:jc w:val="right"/>
              <w:rPr>
                <w:rFonts w:ascii="Arial" w:hAnsi="Arial" w:cs="Arial"/>
                <w:color w:val="000000"/>
                <w:sz w:val="20"/>
                <w:szCs w:val="20"/>
              </w:rPr>
            </w:pPr>
          </w:p>
        </w:tc>
      </w:tr>
      <w:tr w:rsidR="00D70F86" w:rsidRPr="00D74175" w14:paraId="19536084" w14:textId="77777777" w:rsidTr="008E1BD6">
        <w:tc>
          <w:tcPr>
            <w:tcW w:w="833" w:type="pct"/>
            <w:vAlign w:val="center"/>
          </w:tcPr>
          <w:p w14:paraId="75FD06AB" w14:textId="77777777" w:rsidR="00D70F86" w:rsidRPr="00D74175" w:rsidRDefault="00D70F86" w:rsidP="008E1BD6">
            <w:pPr>
              <w:ind w:left="159"/>
              <w:rPr>
                <w:rFonts w:ascii="Arial" w:hAnsi="Arial" w:cs="Arial"/>
                <w:sz w:val="20"/>
                <w:szCs w:val="20"/>
              </w:rPr>
            </w:pPr>
            <w:r w:rsidRPr="00D74175">
              <w:rPr>
                <w:rFonts w:ascii="Arial" w:hAnsi="Arial" w:cs="Arial"/>
                <w:sz w:val="20"/>
                <w:szCs w:val="20"/>
              </w:rPr>
              <w:t>Postsurgical pain</w:t>
            </w:r>
          </w:p>
        </w:tc>
        <w:tc>
          <w:tcPr>
            <w:tcW w:w="833" w:type="pct"/>
            <w:tcBorders>
              <w:left w:val="nil"/>
            </w:tcBorders>
          </w:tcPr>
          <w:p w14:paraId="06F5C87C" w14:textId="77777777" w:rsidR="00D70F86" w:rsidRPr="003434B1" w:rsidRDefault="00D70F86" w:rsidP="008E1BD6">
            <w:pPr>
              <w:jc w:val="right"/>
              <w:rPr>
                <w:rFonts w:ascii="Arial" w:hAnsi="Arial" w:cs="Arial"/>
                <w:color w:val="FF0000"/>
                <w:sz w:val="20"/>
                <w:szCs w:val="20"/>
              </w:rPr>
            </w:pPr>
            <w:r w:rsidRPr="003434B1">
              <w:rPr>
                <w:rFonts w:ascii="Arial" w:hAnsi="Arial" w:cs="Arial"/>
                <w:color w:val="000000"/>
                <w:sz w:val="20"/>
                <w:szCs w:val="20"/>
              </w:rPr>
              <w:t>0.16 (0.05, 0.27)</w:t>
            </w:r>
          </w:p>
        </w:tc>
        <w:tc>
          <w:tcPr>
            <w:tcW w:w="833" w:type="pct"/>
          </w:tcPr>
          <w:p w14:paraId="1E18E1FD" w14:textId="77777777" w:rsidR="00D70F86" w:rsidRPr="003434B1" w:rsidRDefault="00D70F86" w:rsidP="008E1BD6">
            <w:pPr>
              <w:jc w:val="right"/>
              <w:rPr>
                <w:rFonts w:ascii="Arial" w:hAnsi="Arial" w:cs="Arial"/>
                <w:color w:val="FF0000"/>
                <w:sz w:val="20"/>
                <w:szCs w:val="20"/>
              </w:rPr>
            </w:pPr>
            <w:r w:rsidRPr="003434B1">
              <w:rPr>
                <w:rFonts w:ascii="Arial" w:hAnsi="Arial" w:cs="Arial"/>
                <w:color w:val="000000"/>
                <w:sz w:val="20"/>
                <w:szCs w:val="20"/>
              </w:rPr>
              <w:t>0.45 (-0.02, 0.92)</w:t>
            </w:r>
          </w:p>
        </w:tc>
        <w:tc>
          <w:tcPr>
            <w:tcW w:w="833" w:type="pct"/>
          </w:tcPr>
          <w:p w14:paraId="3BA26F71" w14:textId="77777777" w:rsidR="00D70F86" w:rsidRPr="003434B1" w:rsidRDefault="00D70F86" w:rsidP="008E1BD6">
            <w:pPr>
              <w:jc w:val="right"/>
              <w:rPr>
                <w:rFonts w:ascii="Arial" w:hAnsi="Arial" w:cs="Arial"/>
                <w:color w:val="FF0000"/>
                <w:sz w:val="20"/>
                <w:szCs w:val="20"/>
              </w:rPr>
            </w:pPr>
            <w:r w:rsidRPr="003434B1">
              <w:rPr>
                <w:rFonts w:ascii="Arial" w:hAnsi="Arial" w:cs="Arial"/>
                <w:color w:val="000000"/>
                <w:sz w:val="20"/>
                <w:szCs w:val="20"/>
              </w:rPr>
              <w:t>-0.23 (-0.61, 0.15)</w:t>
            </w:r>
          </w:p>
        </w:tc>
        <w:tc>
          <w:tcPr>
            <w:tcW w:w="834" w:type="pct"/>
          </w:tcPr>
          <w:p w14:paraId="619A154B" w14:textId="77777777" w:rsidR="00D70F86" w:rsidRPr="003434B1" w:rsidRDefault="00D70F86" w:rsidP="008E1BD6">
            <w:pPr>
              <w:jc w:val="right"/>
              <w:rPr>
                <w:rFonts w:ascii="Arial" w:hAnsi="Arial" w:cs="Arial"/>
                <w:color w:val="FF0000"/>
                <w:sz w:val="20"/>
                <w:szCs w:val="20"/>
              </w:rPr>
            </w:pPr>
            <w:r w:rsidRPr="003434B1">
              <w:rPr>
                <w:rFonts w:ascii="Arial" w:hAnsi="Arial" w:cs="Arial"/>
                <w:color w:val="000000"/>
                <w:sz w:val="20"/>
                <w:szCs w:val="20"/>
              </w:rPr>
              <w:t>-0.3</w:t>
            </w:r>
            <w:r>
              <w:rPr>
                <w:rFonts w:ascii="Arial" w:hAnsi="Arial" w:cs="Arial"/>
                <w:color w:val="000000"/>
                <w:sz w:val="20"/>
                <w:szCs w:val="20"/>
              </w:rPr>
              <w:t>0</w:t>
            </w:r>
            <w:r w:rsidRPr="003434B1">
              <w:rPr>
                <w:rFonts w:ascii="Arial" w:hAnsi="Arial" w:cs="Arial"/>
                <w:color w:val="000000"/>
                <w:sz w:val="20"/>
                <w:szCs w:val="20"/>
              </w:rPr>
              <w:t xml:space="preserve"> (-1.11, 0.51)</w:t>
            </w:r>
          </w:p>
        </w:tc>
        <w:tc>
          <w:tcPr>
            <w:tcW w:w="834" w:type="pct"/>
          </w:tcPr>
          <w:p w14:paraId="6F2FD6E1" w14:textId="77777777" w:rsidR="00D70F86" w:rsidRPr="003434B1" w:rsidRDefault="00D70F86" w:rsidP="008E1BD6">
            <w:pPr>
              <w:jc w:val="right"/>
              <w:rPr>
                <w:rFonts w:ascii="Arial" w:hAnsi="Arial" w:cs="Arial"/>
                <w:color w:val="FF0000"/>
                <w:sz w:val="20"/>
                <w:szCs w:val="20"/>
              </w:rPr>
            </w:pPr>
            <w:r w:rsidRPr="003434B1">
              <w:rPr>
                <w:rFonts w:ascii="Arial" w:hAnsi="Arial" w:cs="Arial"/>
                <w:color w:val="000000"/>
                <w:sz w:val="20"/>
                <w:szCs w:val="20"/>
              </w:rPr>
              <w:t>-0.75 (-3.61, 2.11)</w:t>
            </w:r>
          </w:p>
        </w:tc>
      </w:tr>
      <w:tr w:rsidR="00D70F86" w:rsidRPr="00D74175" w14:paraId="603FC952" w14:textId="77777777" w:rsidTr="008E1BD6">
        <w:tc>
          <w:tcPr>
            <w:tcW w:w="833" w:type="pct"/>
            <w:vAlign w:val="center"/>
          </w:tcPr>
          <w:p w14:paraId="2EAA5549" w14:textId="77777777" w:rsidR="00D70F86" w:rsidRPr="00D74175" w:rsidRDefault="00D70F86" w:rsidP="008E1BD6">
            <w:pPr>
              <w:ind w:left="159"/>
              <w:rPr>
                <w:rFonts w:ascii="Arial" w:hAnsi="Arial" w:cs="Arial"/>
                <w:sz w:val="20"/>
                <w:szCs w:val="20"/>
              </w:rPr>
            </w:pPr>
            <w:r w:rsidRPr="00D74175">
              <w:rPr>
                <w:rFonts w:ascii="Arial" w:hAnsi="Arial" w:cs="Arial"/>
                <w:sz w:val="20"/>
                <w:szCs w:val="20"/>
              </w:rPr>
              <w:t>Acute pain</w:t>
            </w:r>
          </w:p>
        </w:tc>
        <w:tc>
          <w:tcPr>
            <w:tcW w:w="833" w:type="pct"/>
            <w:tcBorders>
              <w:left w:val="nil"/>
            </w:tcBorders>
          </w:tcPr>
          <w:p w14:paraId="5796A73D" w14:textId="77777777" w:rsidR="00D70F86" w:rsidRPr="003434B1" w:rsidRDefault="00D70F86" w:rsidP="008E1BD6">
            <w:pPr>
              <w:jc w:val="right"/>
              <w:rPr>
                <w:rFonts w:ascii="Arial" w:hAnsi="Arial" w:cs="Arial"/>
                <w:color w:val="FF0000"/>
                <w:sz w:val="20"/>
                <w:szCs w:val="20"/>
              </w:rPr>
            </w:pPr>
            <w:r w:rsidRPr="003434B1">
              <w:rPr>
                <w:rFonts w:ascii="Arial" w:hAnsi="Arial" w:cs="Arial"/>
                <w:color w:val="000000"/>
                <w:sz w:val="20"/>
                <w:szCs w:val="20"/>
              </w:rPr>
              <w:t>0.05 (-0.05, 0.15)</w:t>
            </w:r>
          </w:p>
        </w:tc>
        <w:tc>
          <w:tcPr>
            <w:tcW w:w="833" w:type="pct"/>
          </w:tcPr>
          <w:p w14:paraId="499AA135" w14:textId="77777777" w:rsidR="00D70F86" w:rsidRPr="003434B1" w:rsidRDefault="00D70F86" w:rsidP="008E1BD6">
            <w:pPr>
              <w:jc w:val="right"/>
              <w:rPr>
                <w:rFonts w:ascii="Arial" w:hAnsi="Arial" w:cs="Arial"/>
                <w:color w:val="FF0000"/>
                <w:sz w:val="20"/>
                <w:szCs w:val="20"/>
              </w:rPr>
            </w:pPr>
            <w:r w:rsidRPr="003434B1">
              <w:rPr>
                <w:rFonts w:ascii="Arial" w:hAnsi="Arial" w:cs="Arial"/>
                <w:color w:val="000000"/>
                <w:sz w:val="20"/>
                <w:szCs w:val="20"/>
              </w:rPr>
              <w:t>0.26 (-0.18, 0.7</w:t>
            </w:r>
            <w:r>
              <w:rPr>
                <w:rFonts w:ascii="Arial" w:hAnsi="Arial" w:cs="Arial"/>
                <w:color w:val="000000"/>
                <w:sz w:val="20"/>
                <w:szCs w:val="20"/>
              </w:rPr>
              <w:t>0</w:t>
            </w:r>
            <w:r w:rsidRPr="003434B1">
              <w:rPr>
                <w:rFonts w:ascii="Arial" w:hAnsi="Arial" w:cs="Arial"/>
                <w:color w:val="000000"/>
                <w:sz w:val="20"/>
                <w:szCs w:val="20"/>
              </w:rPr>
              <w:t>)</w:t>
            </w:r>
          </w:p>
        </w:tc>
        <w:tc>
          <w:tcPr>
            <w:tcW w:w="833" w:type="pct"/>
          </w:tcPr>
          <w:p w14:paraId="4C27441F" w14:textId="77777777" w:rsidR="00D70F86" w:rsidRPr="003434B1" w:rsidRDefault="00D70F86" w:rsidP="008E1BD6">
            <w:pPr>
              <w:jc w:val="right"/>
              <w:rPr>
                <w:rFonts w:ascii="Arial" w:hAnsi="Arial" w:cs="Arial"/>
                <w:color w:val="FF0000"/>
                <w:sz w:val="20"/>
                <w:szCs w:val="20"/>
              </w:rPr>
            </w:pPr>
            <w:r w:rsidRPr="003434B1">
              <w:rPr>
                <w:rFonts w:ascii="Arial" w:hAnsi="Arial" w:cs="Arial"/>
                <w:color w:val="000000"/>
                <w:sz w:val="20"/>
                <w:szCs w:val="20"/>
              </w:rPr>
              <w:t>0.02 (-0.33, 0.37)</w:t>
            </w:r>
          </w:p>
        </w:tc>
        <w:tc>
          <w:tcPr>
            <w:tcW w:w="834" w:type="pct"/>
          </w:tcPr>
          <w:p w14:paraId="196D393F" w14:textId="77777777" w:rsidR="00D70F86" w:rsidRPr="003434B1" w:rsidRDefault="00D70F86" w:rsidP="008E1BD6">
            <w:pPr>
              <w:jc w:val="right"/>
              <w:rPr>
                <w:rFonts w:ascii="Arial" w:hAnsi="Arial" w:cs="Arial"/>
                <w:color w:val="FF0000"/>
                <w:sz w:val="20"/>
                <w:szCs w:val="20"/>
              </w:rPr>
            </w:pPr>
            <w:r w:rsidRPr="003434B1">
              <w:rPr>
                <w:rFonts w:ascii="Arial" w:hAnsi="Arial" w:cs="Arial"/>
                <w:color w:val="000000"/>
                <w:sz w:val="20"/>
                <w:szCs w:val="20"/>
              </w:rPr>
              <w:t>-0.39 (-1.19, 0.42)</w:t>
            </w:r>
          </w:p>
        </w:tc>
        <w:tc>
          <w:tcPr>
            <w:tcW w:w="834" w:type="pct"/>
          </w:tcPr>
          <w:p w14:paraId="0E39F384" w14:textId="77777777" w:rsidR="00D70F86" w:rsidRPr="003434B1" w:rsidRDefault="00D70F86" w:rsidP="008E1BD6">
            <w:pPr>
              <w:jc w:val="right"/>
              <w:rPr>
                <w:rFonts w:ascii="Arial" w:hAnsi="Arial" w:cs="Arial"/>
                <w:color w:val="FF0000"/>
                <w:sz w:val="20"/>
                <w:szCs w:val="20"/>
              </w:rPr>
            </w:pPr>
            <w:r w:rsidRPr="003434B1">
              <w:rPr>
                <w:rFonts w:ascii="Arial" w:hAnsi="Arial" w:cs="Arial"/>
                <w:color w:val="000000"/>
                <w:sz w:val="20"/>
                <w:szCs w:val="20"/>
              </w:rPr>
              <w:t>-0.64 (-3.41, 2.14)</w:t>
            </w:r>
          </w:p>
        </w:tc>
      </w:tr>
      <w:tr w:rsidR="00D70F86" w:rsidRPr="00D74175" w14:paraId="3ACD375B" w14:textId="77777777" w:rsidTr="008E1BD6">
        <w:tc>
          <w:tcPr>
            <w:tcW w:w="833" w:type="pct"/>
            <w:vAlign w:val="center"/>
          </w:tcPr>
          <w:p w14:paraId="0A1B3BBD" w14:textId="77777777" w:rsidR="00D70F86" w:rsidRPr="00D74175" w:rsidRDefault="00D70F86" w:rsidP="008E1BD6">
            <w:pPr>
              <w:ind w:left="159"/>
              <w:rPr>
                <w:rFonts w:ascii="Arial" w:hAnsi="Arial" w:cs="Arial"/>
                <w:sz w:val="20"/>
                <w:szCs w:val="20"/>
              </w:rPr>
            </w:pPr>
            <w:r w:rsidRPr="00D74175">
              <w:rPr>
                <w:rFonts w:ascii="Arial" w:hAnsi="Arial" w:cs="Arial"/>
                <w:sz w:val="20"/>
                <w:szCs w:val="20"/>
              </w:rPr>
              <w:t>Chronic pain</w:t>
            </w:r>
          </w:p>
        </w:tc>
        <w:tc>
          <w:tcPr>
            <w:tcW w:w="833" w:type="pct"/>
            <w:tcBorders>
              <w:left w:val="nil"/>
            </w:tcBorders>
          </w:tcPr>
          <w:p w14:paraId="51CF792E" w14:textId="77777777" w:rsidR="00D70F86" w:rsidRPr="003434B1" w:rsidRDefault="00D70F86" w:rsidP="008E1BD6">
            <w:pPr>
              <w:jc w:val="right"/>
              <w:rPr>
                <w:rFonts w:ascii="Arial" w:hAnsi="Arial" w:cs="Arial"/>
                <w:color w:val="FF0000"/>
                <w:sz w:val="20"/>
                <w:szCs w:val="20"/>
              </w:rPr>
            </w:pPr>
            <w:r w:rsidRPr="003434B1">
              <w:rPr>
                <w:rFonts w:ascii="Arial" w:hAnsi="Arial" w:cs="Arial"/>
                <w:color w:val="000000"/>
                <w:sz w:val="20"/>
                <w:szCs w:val="20"/>
              </w:rPr>
              <w:t>0.13 (0.05, 0.21)</w:t>
            </w:r>
          </w:p>
        </w:tc>
        <w:tc>
          <w:tcPr>
            <w:tcW w:w="833" w:type="pct"/>
          </w:tcPr>
          <w:p w14:paraId="1F68CA68" w14:textId="77777777" w:rsidR="00D70F86" w:rsidRPr="003434B1" w:rsidRDefault="00D70F86" w:rsidP="008E1BD6">
            <w:pPr>
              <w:jc w:val="right"/>
              <w:rPr>
                <w:rFonts w:ascii="Arial" w:hAnsi="Arial" w:cs="Arial"/>
                <w:color w:val="FF0000"/>
                <w:sz w:val="20"/>
                <w:szCs w:val="20"/>
              </w:rPr>
            </w:pPr>
            <w:r w:rsidRPr="003434B1">
              <w:rPr>
                <w:rFonts w:ascii="Arial" w:hAnsi="Arial" w:cs="Arial"/>
                <w:color w:val="000000"/>
                <w:sz w:val="20"/>
                <w:szCs w:val="20"/>
              </w:rPr>
              <w:t>0.4</w:t>
            </w:r>
            <w:r>
              <w:rPr>
                <w:rFonts w:ascii="Arial" w:hAnsi="Arial" w:cs="Arial"/>
                <w:color w:val="000000"/>
                <w:sz w:val="20"/>
                <w:szCs w:val="20"/>
              </w:rPr>
              <w:t>0</w:t>
            </w:r>
            <w:r w:rsidRPr="003434B1">
              <w:rPr>
                <w:rFonts w:ascii="Arial" w:hAnsi="Arial" w:cs="Arial"/>
                <w:color w:val="000000"/>
                <w:sz w:val="20"/>
                <w:szCs w:val="20"/>
              </w:rPr>
              <w:t xml:space="preserve"> (0.04, 0.76)</w:t>
            </w:r>
          </w:p>
        </w:tc>
        <w:tc>
          <w:tcPr>
            <w:tcW w:w="833" w:type="pct"/>
          </w:tcPr>
          <w:p w14:paraId="1229B274" w14:textId="77777777" w:rsidR="00D70F86" w:rsidRPr="003434B1" w:rsidRDefault="00D70F86" w:rsidP="008E1BD6">
            <w:pPr>
              <w:jc w:val="right"/>
              <w:rPr>
                <w:rFonts w:ascii="Arial" w:hAnsi="Arial" w:cs="Arial"/>
                <w:color w:val="FF0000"/>
                <w:sz w:val="20"/>
                <w:szCs w:val="20"/>
              </w:rPr>
            </w:pPr>
            <w:r w:rsidRPr="003434B1">
              <w:rPr>
                <w:rFonts w:ascii="Arial" w:hAnsi="Arial" w:cs="Arial"/>
                <w:color w:val="000000"/>
                <w:sz w:val="20"/>
                <w:szCs w:val="20"/>
              </w:rPr>
              <w:t>-0.4</w:t>
            </w:r>
            <w:r>
              <w:rPr>
                <w:rFonts w:ascii="Arial" w:hAnsi="Arial" w:cs="Arial"/>
                <w:color w:val="000000"/>
                <w:sz w:val="20"/>
                <w:szCs w:val="20"/>
              </w:rPr>
              <w:t>0</w:t>
            </w:r>
            <w:r w:rsidRPr="003434B1">
              <w:rPr>
                <w:rFonts w:ascii="Arial" w:hAnsi="Arial" w:cs="Arial"/>
                <w:color w:val="000000"/>
                <w:sz w:val="20"/>
                <w:szCs w:val="20"/>
              </w:rPr>
              <w:t xml:space="preserve"> (-0.68, -0.12)</w:t>
            </w:r>
          </w:p>
        </w:tc>
        <w:tc>
          <w:tcPr>
            <w:tcW w:w="834" w:type="pct"/>
          </w:tcPr>
          <w:p w14:paraId="64AFC83B" w14:textId="77777777" w:rsidR="00D70F86" w:rsidRPr="003434B1" w:rsidRDefault="00D70F86" w:rsidP="008E1BD6">
            <w:pPr>
              <w:jc w:val="right"/>
              <w:rPr>
                <w:rFonts w:ascii="Arial" w:hAnsi="Arial" w:cs="Arial"/>
                <w:color w:val="FF0000"/>
                <w:sz w:val="20"/>
                <w:szCs w:val="20"/>
              </w:rPr>
            </w:pPr>
            <w:r w:rsidRPr="003434B1">
              <w:rPr>
                <w:rFonts w:ascii="Arial" w:hAnsi="Arial" w:cs="Arial"/>
                <w:color w:val="000000"/>
                <w:sz w:val="20"/>
                <w:szCs w:val="20"/>
              </w:rPr>
              <w:t>-3.39 (-4.18, -2.61)</w:t>
            </w:r>
          </w:p>
        </w:tc>
        <w:tc>
          <w:tcPr>
            <w:tcW w:w="834" w:type="pct"/>
          </w:tcPr>
          <w:p w14:paraId="46A17333" w14:textId="77777777" w:rsidR="00D70F86" w:rsidRPr="003434B1" w:rsidRDefault="00D70F86" w:rsidP="008E1BD6">
            <w:pPr>
              <w:jc w:val="right"/>
              <w:rPr>
                <w:rFonts w:ascii="Arial" w:hAnsi="Arial" w:cs="Arial"/>
                <w:color w:val="FF0000"/>
                <w:sz w:val="20"/>
                <w:szCs w:val="20"/>
              </w:rPr>
            </w:pPr>
            <w:r w:rsidRPr="003434B1">
              <w:rPr>
                <w:rFonts w:ascii="Arial" w:hAnsi="Arial" w:cs="Arial"/>
                <w:color w:val="000000"/>
                <w:sz w:val="20"/>
                <w:szCs w:val="20"/>
              </w:rPr>
              <w:t>-0.14 (-2.81, 2.52)</w:t>
            </w:r>
          </w:p>
        </w:tc>
      </w:tr>
      <w:tr w:rsidR="00D70F86" w:rsidRPr="00D74175" w14:paraId="7AFD3E3B" w14:textId="77777777" w:rsidTr="008E1BD6">
        <w:tc>
          <w:tcPr>
            <w:tcW w:w="833" w:type="pct"/>
            <w:vAlign w:val="center"/>
          </w:tcPr>
          <w:p w14:paraId="6DD17100" w14:textId="77777777" w:rsidR="00D70F86" w:rsidRPr="00D74175" w:rsidRDefault="00D70F86" w:rsidP="008E1BD6">
            <w:pPr>
              <w:ind w:left="159"/>
              <w:rPr>
                <w:rFonts w:ascii="Arial" w:hAnsi="Arial" w:cs="Arial"/>
                <w:sz w:val="20"/>
                <w:szCs w:val="20"/>
              </w:rPr>
            </w:pPr>
          </w:p>
        </w:tc>
        <w:tc>
          <w:tcPr>
            <w:tcW w:w="833" w:type="pct"/>
            <w:tcBorders>
              <w:left w:val="nil"/>
            </w:tcBorders>
            <w:vAlign w:val="center"/>
          </w:tcPr>
          <w:p w14:paraId="16E91021" w14:textId="77777777" w:rsidR="00D70F86" w:rsidRPr="003434B1" w:rsidRDefault="00D70F86" w:rsidP="008E1BD6">
            <w:pPr>
              <w:jc w:val="right"/>
              <w:rPr>
                <w:rFonts w:ascii="Arial" w:hAnsi="Arial" w:cs="Arial"/>
                <w:color w:val="000000"/>
                <w:sz w:val="20"/>
                <w:szCs w:val="20"/>
              </w:rPr>
            </w:pPr>
          </w:p>
        </w:tc>
        <w:tc>
          <w:tcPr>
            <w:tcW w:w="833" w:type="pct"/>
            <w:vAlign w:val="center"/>
          </w:tcPr>
          <w:p w14:paraId="061C70AC" w14:textId="77777777" w:rsidR="00D70F86" w:rsidRPr="003434B1" w:rsidRDefault="00D70F86" w:rsidP="008E1BD6">
            <w:pPr>
              <w:jc w:val="right"/>
              <w:rPr>
                <w:rFonts w:ascii="Arial" w:hAnsi="Arial" w:cs="Arial"/>
                <w:color w:val="000000"/>
                <w:sz w:val="20"/>
                <w:szCs w:val="20"/>
              </w:rPr>
            </w:pPr>
          </w:p>
        </w:tc>
        <w:tc>
          <w:tcPr>
            <w:tcW w:w="833" w:type="pct"/>
            <w:vAlign w:val="center"/>
          </w:tcPr>
          <w:p w14:paraId="0C1B302F" w14:textId="77777777" w:rsidR="00D70F86" w:rsidRPr="003434B1" w:rsidRDefault="00D70F86" w:rsidP="008E1BD6">
            <w:pPr>
              <w:jc w:val="right"/>
              <w:rPr>
                <w:rFonts w:ascii="Arial" w:hAnsi="Arial" w:cs="Arial"/>
                <w:color w:val="000000"/>
                <w:sz w:val="20"/>
                <w:szCs w:val="20"/>
              </w:rPr>
            </w:pPr>
          </w:p>
        </w:tc>
        <w:tc>
          <w:tcPr>
            <w:tcW w:w="834" w:type="pct"/>
            <w:vAlign w:val="center"/>
          </w:tcPr>
          <w:p w14:paraId="0A14294F" w14:textId="77777777" w:rsidR="00D70F86" w:rsidRPr="003434B1" w:rsidRDefault="00D70F86" w:rsidP="008E1BD6">
            <w:pPr>
              <w:jc w:val="right"/>
              <w:rPr>
                <w:rFonts w:ascii="Arial" w:hAnsi="Arial" w:cs="Arial"/>
                <w:color w:val="000000"/>
                <w:sz w:val="20"/>
                <w:szCs w:val="20"/>
              </w:rPr>
            </w:pPr>
          </w:p>
        </w:tc>
        <w:tc>
          <w:tcPr>
            <w:tcW w:w="834" w:type="pct"/>
            <w:vAlign w:val="center"/>
          </w:tcPr>
          <w:p w14:paraId="428171F3" w14:textId="77777777" w:rsidR="00D70F86" w:rsidRPr="003434B1" w:rsidRDefault="00D70F86" w:rsidP="008E1BD6">
            <w:pPr>
              <w:jc w:val="right"/>
              <w:rPr>
                <w:rFonts w:ascii="Arial" w:hAnsi="Arial" w:cs="Arial"/>
                <w:color w:val="000000"/>
                <w:sz w:val="20"/>
                <w:szCs w:val="20"/>
              </w:rPr>
            </w:pPr>
          </w:p>
        </w:tc>
      </w:tr>
      <w:tr w:rsidR="00D70F86" w:rsidRPr="00D74175" w14:paraId="2DB70477" w14:textId="77777777" w:rsidTr="008E1BD6">
        <w:tc>
          <w:tcPr>
            <w:tcW w:w="833" w:type="pct"/>
            <w:vAlign w:val="center"/>
          </w:tcPr>
          <w:p w14:paraId="60495E29" w14:textId="77777777" w:rsidR="00D70F86" w:rsidRPr="00D74175" w:rsidRDefault="00D70F86" w:rsidP="008E1BD6">
            <w:pPr>
              <w:ind w:left="159"/>
              <w:rPr>
                <w:rFonts w:ascii="Arial" w:hAnsi="Arial" w:cs="Arial"/>
                <w:sz w:val="20"/>
                <w:szCs w:val="20"/>
              </w:rPr>
            </w:pPr>
            <w:r w:rsidRPr="00D74175">
              <w:rPr>
                <w:rFonts w:ascii="Arial" w:hAnsi="Arial" w:cs="Arial"/>
                <w:b/>
                <w:bCs/>
                <w:sz w:val="20"/>
                <w:szCs w:val="20"/>
              </w:rPr>
              <w:t>History of cancer</w:t>
            </w:r>
          </w:p>
        </w:tc>
        <w:tc>
          <w:tcPr>
            <w:tcW w:w="833" w:type="pct"/>
            <w:tcBorders>
              <w:left w:val="nil"/>
            </w:tcBorders>
            <w:vAlign w:val="center"/>
          </w:tcPr>
          <w:p w14:paraId="79AE2721" w14:textId="77777777" w:rsidR="00D70F86" w:rsidRPr="003434B1" w:rsidRDefault="00D70F86" w:rsidP="008E1BD6">
            <w:pPr>
              <w:jc w:val="right"/>
              <w:rPr>
                <w:rFonts w:ascii="Arial" w:hAnsi="Arial" w:cs="Arial"/>
                <w:color w:val="000000"/>
                <w:sz w:val="20"/>
                <w:szCs w:val="20"/>
              </w:rPr>
            </w:pPr>
          </w:p>
        </w:tc>
        <w:tc>
          <w:tcPr>
            <w:tcW w:w="833" w:type="pct"/>
            <w:vAlign w:val="center"/>
          </w:tcPr>
          <w:p w14:paraId="29200DD5" w14:textId="77777777" w:rsidR="00D70F86" w:rsidRPr="003434B1" w:rsidRDefault="00D70F86" w:rsidP="008E1BD6">
            <w:pPr>
              <w:jc w:val="right"/>
              <w:rPr>
                <w:rFonts w:ascii="Arial" w:hAnsi="Arial" w:cs="Arial"/>
                <w:color w:val="000000"/>
                <w:sz w:val="20"/>
                <w:szCs w:val="20"/>
              </w:rPr>
            </w:pPr>
          </w:p>
        </w:tc>
        <w:tc>
          <w:tcPr>
            <w:tcW w:w="833" w:type="pct"/>
            <w:vAlign w:val="center"/>
          </w:tcPr>
          <w:p w14:paraId="4DBF6D22" w14:textId="77777777" w:rsidR="00D70F86" w:rsidRPr="003434B1" w:rsidRDefault="00D70F86" w:rsidP="008E1BD6">
            <w:pPr>
              <w:jc w:val="right"/>
              <w:rPr>
                <w:rFonts w:ascii="Arial" w:hAnsi="Arial" w:cs="Arial"/>
                <w:color w:val="000000"/>
                <w:sz w:val="20"/>
                <w:szCs w:val="20"/>
              </w:rPr>
            </w:pPr>
          </w:p>
        </w:tc>
        <w:tc>
          <w:tcPr>
            <w:tcW w:w="834" w:type="pct"/>
            <w:vAlign w:val="center"/>
          </w:tcPr>
          <w:p w14:paraId="43CA9981" w14:textId="77777777" w:rsidR="00D70F86" w:rsidRPr="003434B1" w:rsidRDefault="00D70F86" w:rsidP="008E1BD6">
            <w:pPr>
              <w:jc w:val="right"/>
              <w:rPr>
                <w:rFonts w:ascii="Arial" w:hAnsi="Arial" w:cs="Arial"/>
                <w:color w:val="000000"/>
                <w:sz w:val="20"/>
                <w:szCs w:val="20"/>
              </w:rPr>
            </w:pPr>
          </w:p>
        </w:tc>
        <w:tc>
          <w:tcPr>
            <w:tcW w:w="834" w:type="pct"/>
            <w:vAlign w:val="center"/>
          </w:tcPr>
          <w:p w14:paraId="4E6FAFC5" w14:textId="77777777" w:rsidR="00D70F86" w:rsidRPr="003434B1" w:rsidRDefault="00D70F86" w:rsidP="008E1BD6">
            <w:pPr>
              <w:jc w:val="right"/>
              <w:rPr>
                <w:rFonts w:ascii="Arial" w:hAnsi="Arial" w:cs="Arial"/>
                <w:color w:val="000000"/>
                <w:sz w:val="20"/>
                <w:szCs w:val="20"/>
              </w:rPr>
            </w:pPr>
          </w:p>
        </w:tc>
      </w:tr>
      <w:tr w:rsidR="00D70F86" w:rsidRPr="00D74175" w14:paraId="0614AC81" w14:textId="77777777" w:rsidTr="008E1BD6">
        <w:tc>
          <w:tcPr>
            <w:tcW w:w="833" w:type="pct"/>
            <w:vAlign w:val="center"/>
          </w:tcPr>
          <w:p w14:paraId="61331249" w14:textId="77777777" w:rsidR="00D70F86" w:rsidRPr="00D74175" w:rsidRDefault="00D70F86" w:rsidP="008E1BD6">
            <w:pPr>
              <w:ind w:left="159"/>
              <w:rPr>
                <w:rFonts w:ascii="Arial" w:hAnsi="Arial" w:cs="Arial"/>
                <w:sz w:val="20"/>
                <w:szCs w:val="20"/>
              </w:rPr>
            </w:pPr>
            <w:r w:rsidRPr="00D74175">
              <w:rPr>
                <w:rFonts w:ascii="Arial" w:hAnsi="Arial" w:cs="Arial"/>
                <w:sz w:val="20"/>
                <w:szCs w:val="20"/>
              </w:rPr>
              <w:t>Postsurgical pain</w:t>
            </w:r>
          </w:p>
        </w:tc>
        <w:tc>
          <w:tcPr>
            <w:tcW w:w="833" w:type="pct"/>
            <w:tcBorders>
              <w:left w:val="nil"/>
            </w:tcBorders>
          </w:tcPr>
          <w:p w14:paraId="7F51582D" w14:textId="77777777" w:rsidR="00D70F86" w:rsidRPr="003434B1" w:rsidRDefault="00D70F86" w:rsidP="008E1BD6">
            <w:pPr>
              <w:jc w:val="right"/>
              <w:rPr>
                <w:rFonts w:ascii="Arial" w:hAnsi="Arial" w:cs="Arial"/>
                <w:color w:val="FF0000"/>
                <w:sz w:val="20"/>
                <w:szCs w:val="20"/>
              </w:rPr>
            </w:pPr>
            <w:r w:rsidRPr="003434B1">
              <w:rPr>
                <w:rFonts w:ascii="Arial" w:hAnsi="Arial" w:cs="Arial"/>
                <w:color w:val="000000"/>
                <w:sz w:val="20"/>
                <w:szCs w:val="20"/>
              </w:rPr>
              <w:t>0.16 (0.04, 0.27)</w:t>
            </w:r>
          </w:p>
        </w:tc>
        <w:tc>
          <w:tcPr>
            <w:tcW w:w="833" w:type="pct"/>
          </w:tcPr>
          <w:p w14:paraId="6EB0B87F" w14:textId="77777777" w:rsidR="00D70F86" w:rsidRPr="003434B1" w:rsidRDefault="00D70F86" w:rsidP="008E1BD6">
            <w:pPr>
              <w:jc w:val="right"/>
              <w:rPr>
                <w:rFonts w:ascii="Arial" w:hAnsi="Arial" w:cs="Arial"/>
                <w:color w:val="FF0000"/>
                <w:sz w:val="20"/>
                <w:szCs w:val="20"/>
              </w:rPr>
            </w:pPr>
            <w:r w:rsidRPr="003434B1">
              <w:rPr>
                <w:rFonts w:ascii="Arial" w:hAnsi="Arial" w:cs="Arial"/>
                <w:color w:val="000000"/>
                <w:sz w:val="20"/>
                <w:szCs w:val="20"/>
              </w:rPr>
              <w:t>0.55 (0.06, 1.05)</w:t>
            </w:r>
          </w:p>
        </w:tc>
        <w:tc>
          <w:tcPr>
            <w:tcW w:w="833" w:type="pct"/>
          </w:tcPr>
          <w:p w14:paraId="0CA2CD9C" w14:textId="77777777" w:rsidR="00D70F86" w:rsidRPr="003434B1" w:rsidRDefault="00D70F86" w:rsidP="008E1BD6">
            <w:pPr>
              <w:jc w:val="right"/>
              <w:rPr>
                <w:rFonts w:ascii="Arial" w:hAnsi="Arial" w:cs="Arial"/>
                <w:color w:val="FF0000"/>
                <w:sz w:val="20"/>
                <w:szCs w:val="20"/>
              </w:rPr>
            </w:pPr>
            <w:r w:rsidRPr="003434B1">
              <w:rPr>
                <w:rFonts w:ascii="Arial" w:hAnsi="Arial" w:cs="Arial"/>
                <w:color w:val="000000"/>
                <w:sz w:val="20"/>
                <w:szCs w:val="20"/>
              </w:rPr>
              <w:t>-0.26 (-0.65, 0.13)</w:t>
            </w:r>
          </w:p>
        </w:tc>
        <w:tc>
          <w:tcPr>
            <w:tcW w:w="834" w:type="pct"/>
          </w:tcPr>
          <w:p w14:paraId="5CB69BAF" w14:textId="77777777" w:rsidR="00D70F86" w:rsidRPr="003434B1" w:rsidRDefault="00D70F86" w:rsidP="008E1BD6">
            <w:pPr>
              <w:jc w:val="right"/>
              <w:rPr>
                <w:rFonts w:ascii="Arial" w:hAnsi="Arial" w:cs="Arial"/>
                <w:color w:val="FF0000"/>
                <w:sz w:val="20"/>
                <w:szCs w:val="20"/>
              </w:rPr>
            </w:pPr>
            <w:r w:rsidRPr="003434B1">
              <w:rPr>
                <w:rFonts w:ascii="Arial" w:hAnsi="Arial" w:cs="Arial"/>
                <w:color w:val="000000"/>
                <w:sz w:val="20"/>
                <w:szCs w:val="20"/>
              </w:rPr>
              <w:t>-0.08 (-0.98, 0.81)</w:t>
            </w:r>
          </w:p>
        </w:tc>
        <w:tc>
          <w:tcPr>
            <w:tcW w:w="834" w:type="pct"/>
          </w:tcPr>
          <w:p w14:paraId="647F6363" w14:textId="77777777" w:rsidR="00D70F86" w:rsidRPr="003434B1" w:rsidRDefault="00D70F86" w:rsidP="008E1BD6">
            <w:pPr>
              <w:jc w:val="right"/>
              <w:rPr>
                <w:rFonts w:ascii="Arial" w:hAnsi="Arial" w:cs="Arial"/>
                <w:color w:val="FF0000"/>
                <w:sz w:val="20"/>
                <w:szCs w:val="20"/>
              </w:rPr>
            </w:pPr>
            <w:r w:rsidRPr="003434B1">
              <w:rPr>
                <w:rFonts w:ascii="Arial" w:hAnsi="Arial" w:cs="Arial"/>
                <w:color w:val="000000"/>
                <w:sz w:val="20"/>
                <w:szCs w:val="20"/>
              </w:rPr>
              <w:t>-1.2</w:t>
            </w:r>
            <w:r>
              <w:rPr>
                <w:rFonts w:ascii="Arial" w:hAnsi="Arial" w:cs="Arial"/>
                <w:color w:val="000000"/>
                <w:sz w:val="20"/>
                <w:szCs w:val="20"/>
              </w:rPr>
              <w:t>0</w:t>
            </w:r>
            <w:r w:rsidRPr="003434B1">
              <w:rPr>
                <w:rFonts w:ascii="Arial" w:hAnsi="Arial" w:cs="Arial"/>
                <w:color w:val="000000"/>
                <w:sz w:val="20"/>
                <w:szCs w:val="20"/>
              </w:rPr>
              <w:t xml:space="preserve"> (-4.31, 1.92)</w:t>
            </w:r>
          </w:p>
        </w:tc>
      </w:tr>
      <w:tr w:rsidR="00D70F86" w:rsidRPr="00D74175" w14:paraId="66C88433" w14:textId="77777777" w:rsidTr="008E1BD6">
        <w:tc>
          <w:tcPr>
            <w:tcW w:w="833" w:type="pct"/>
            <w:vAlign w:val="center"/>
          </w:tcPr>
          <w:p w14:paraId="622A74AD" w14:textId="77777777" w:rsidR="00D70F86" w:rsidRPr="00D74175" w:rsidRDefault="00D70F86" w:rsidP="008E1BD6">
            <w:pPr>
              <w:ind w:left="159"/>
              <w:rPr>
                <w:rFonts w:ascii="Arial" w:hAnsi="Arial" w:cs="Arial"/>
                <w:sz w:val="20"/>
                <w:szCs w:val="20"/>
              </w:rPr>
            </w:pPr>
            <w:r w:rsidRPr="00D74175">
              <w:rPr>
                <w:rFonts w:ascii="Arial" w:hAnsi="Arial" w:cs="Arial"/>
                <w:sz w:val="20"/>
                <w:szCs w:val="20"/>
              </w:rPr>
              <w:t>Acute pain</w:t>
            </w:r>
          </w:p>
        </w:tc>
        <w:tc>
          <w:tcPr>
            <w:tcW w:w="833" w:type="pct"/>
            <w:tcBorders>
              <w:left w:val="nil"/>
            </w:tcBorders>
          </w:tcPr>
          <w:p w14:paraId="11CB0A4F" w14:textId="77777777" w:rsidR="00D70F86" w:rsidRPr="003434B1" w:rsidRDefault="00D70F86" w:rsidP="008E1BD6">
            <w:pPr>
              <w:jc w:val="right"/>
              <w:rPr>
                <w:rFonts w:ascii="Arial" w:hAnsi="Arial" w:cs="Arial"/>
                <w:color w:val="FF0000"/>
                <w:sz w:val="20"/>
                <w:szCs w:val="20"/>
              </w:rPr>
            </w:pPr>
            <w:r w:rsidRPr="003434B1">
              <w:rPr>
                <w:rFonts w:ascii="Arial" w:hAnsi="Arial" w:cs="Arial"/>
                <w:color w:val="000000"/>
                <w:sz w:val="20"/>
                <w:szCs w:val="20"/>
              </w:rPr>
              <w:t>0.06 (-0.07, 0.19)</w:t>
            </w:r>
          </w:p>
        </w:tc>
        <w:tc>
          <w:tcPr>
            <w:tcW w:w="833" w:type="pct"/>
          </w:tcPr>
          <w:p w14:paraId="35573D09" w14:textId="77777777" w:rsidR="00D70F86" w:rsidRPr="003434B1" w:rsidRDefault="00D70F86" w:rsidP="008E1BD6">
            <w:pPr>
              <w:jc w:val="right"/>
              <w:rPr>
                <w:rFonts w:ascii="Arial" w:hAnsi="Arial" w:cs="Arial"/>
                <w:color w:val="FF0000"/>
                <w:sz w:val="20"/>
                <w:szCs w:val="20"/>
              </w:rPr>
            </w:pPr>
            <w:r w:rsidRPr="003434B1">
              <w:rPr>
                <w:rFonts w:ascii="Arial" w:hAnsi="Arial" w:cs="Arial"/>
                <w:color w:val="000000"/>
                <w:sz w:val="20"/>
                <w:szCs w:val="20"/>
              </w:rPr>
              <w:t>0.37 (-0.21, 0.95)</w:t>
            </w:r>
          </w:p>
        </w:tc>
        <w:tc>
          <w:tcPr>
            <w:tcW w:w="833" w:type="pct"/>
          </w:tcPr>
          <w:p w14:paraId="6ECD4EEB" w14:textId="77777777" w:rsidR="00D70F86" w:rsidRPr="003434B1" w:rsidRDefault="00D70F86" w:rsidP="008E1BD6">
            <w:pPr>
              <w:jc w:val="right"/>
              <w:rPr>
                <w:rFonts w:ascii="Arial" w:hAnsi="Arial" w:cs="Arial"/>
                <w:color w:val="FF0000"/>
                <w:sz w:val="20"/>
                <w:szCs w:val="20"/>
              </w:rPr>
            </w:pPr>
            <w:r w:rsidRPr="003434B1">
              <w:rPr>
                <w:rFonts w:ascii="Arial" w:hAnsi="Arial" w:cs="Arial"/>
                <w:color w:val="000000"/>
                <w:sz w:val="20"/>
                <w:szCs w:val="20"/>
              </w:rPr>
              <w:t>0.03 (-0.43, 0.49)</w:t>
            </w:r>
          </w:p>
        </w:tc>
        <w:tc>
          <w:tcPr>
            <w:tcW w:w="834" w:type="pct"/>
          </w:tcPr>
          <w:p w14:paraId="5559869B" w14:textId="77777777" w:rsidR="00D70F86" w:rsidRPr="003434B1" w:rsidRDefault="00D70F86" w:rsidP="008E1BD6">
            <w:pPr>
              <w:jc w:val="right"/>
              <w:rPr>
                <w:rFonts w:ascii="Arial" w:hAnsi="Arial" w:cs="Arial"/>
                <w:color w:val="FF0000"/>
                <w:sz w:val="20"/>
                <w:szCs w:val="20"/>
              </w:rPr>
            </w:pPr>
            <w:r w:rsidRPr="003434B1">
              <w:rPr>
                <w:rFonts w:ascii="Arial" w:hAnsi="Arial" w:cs="Arial"/>
                <w:color w:val="000000"/>
                <w:sz w:val="20"/>
                <w:szCs w:val="20"/>
              </w:rPr>
              <w:t>-0.54 (-1.65, 0.57)</w:t>
            </w:r>
          </w:p>
        </w:tc>
        <w:tc>
          <w:tcPr>
            <w:tcW w:w="834" w:type="pct"/>
          </w:tcPr>
          <w:p w14:paraId="668DBE40" w14:textId="77777777" w:rsidR="00D70F86" w:rsidRPr="003434B1" w:rsidRDefault="00D70F86" w:rsidP="008E1BD6">
            <w:pPr>
              <w:jc w:val="right"/>
              <w:rPr>
                <w:rFonts w:ascii="Arial" w:hAnsi="Arial" w:cs="Arial"/>
                <w:color w:val="FF0000"/>
                <w:sz w:val="20"/>
                <w:szCs w:val="20"/>
              </w:rPr>
            </w:pPr>
            <w:r w:rsidRPr="003434B1">
              <w:rPr>
                <w:rFonts w:ascii="Arial" w:hAnsi="Arial" w:cs="Arial"/>
                <w:color w:val="000000"/>
                <w:sz w:val="20"/>
                <w:szCs w:val="20"/>
              </w:rPr>
              <w:t>-1.15 (-4.95, 2.66)</w:t>
            </w:r>
          </w:p>
        </w:tc>
      </w:tr>
      <w:tr w:rsidR="00D70F86" w:rsidRPr="00D74175" w14:paraId="0BE6149F" w14:textId="77777777" w:rsidTr="008E1BD6">
        <w:tc>
          <w:tcPr>
            <w:tcW w:w="833" w:type="pct"/>
            <w:vAlign w:val="center"/>
          </w:tcPr>
          <w:p w14:paraId="35848865" w14:textId="77777777" w:rsidR="00D70F86" w:rsidRPr="00D74175" w:rsidRDefault="00D70F86" w:rsidP="008E1BD6">
            <w:pPr>
              <w:ind w:left="159"/>
              <w:rPr>
                <w:rFonts w:ascii="Arial" w:hAnsi="Arial" w:cs="Arial"/>
                <w:sz w:val="20"/>
                <w:szCs w:val="20"/>
              </w:rPr>
            </w:pPr>
            <w:r w:rsidRPr="00D74175">
              <w:rPr>
                <w:rFonts w:ascii="Arial" w:hAnsi="Arial" w:cs="Arial"/>
                <w:sz w:val="20"/>
                <w:szCs w:val="20"/>
              </w:rPr>
              <w:t>Chronic pain</w:t>
            </w:r>
          </w:p>
        </w:tc>
        <w:tc>
          <w:tcPr>
            <w:tcW w:w="833" w:type="pct"/>
            <w:tcBorders>
              <w:left w:val="nil"/>
            </w:tcBorders>
          </w:tcPr>
          <w:p w14:paraId="38716BCD" w14:textId="77777777" w:rsidR="00D70F86" w:rsidRPr="003434B1" w:rsidRDefault="00D70F86" w:rsidP="008E1BD6">
            <w:pPr>
              <w:jc w:val="right"/>
              <w:rPr>
                <w:rFonts w:ascii="Arial" w:hAnsi="Arial" w:cs="Arial"/>
                <w:color w:val="FF0000"/>
                <w:sz w:val="20"/>
                <w:szCs w:val="20"/>
              </w:rPr>
            </w:pPr>
            <w:r w:rsidRPr="003434B1">
              <w:rPr>
                <w:rFonts w:ascii="Arial" w:hAnsi="Arial" w:cs="Arial"/>
                <w:color w:val="000000"/>
                <w:sz w:val="20"/>
                <w:szCs w:val="20"/>
              </w:rPr>
              <w:t>0.06 (-0.08, 0.19)</w:t>
            </w:r>
          </w:p>
        </w:tc>
        <w:tc>
          <w:tcPr>
            <w:tcW w:w="833" w:type="pct"/>
          </w:tcPr>
          <w:p w14:paraId="72415A88" w14:textId="77777777" w:rsidR="00D70F86" w:rsidRPr="003434B1" w:rsidRDefault="00D70F86" w:rsidP="008E1BD6">
            <w:pPr>
              <w:jc w:val="right"/>
              <w:rPr>
                <w:rFonts w:ascii="Arial" w:hAnsi="Arial" w:cs="Arial"/>
                <w:color w:val="FF0000"/>
                <w:sz w:val="20"/>
                <w:szCs w:val="20"/>
              </w:rPr>
            </w:pPr>
            <w:r w:rsidRPr="003434B1">
              <w:rPr>
                <w:rFonts w:ascii="Arial" w:hAnsi="Arial" w:cs="Arial"/>
                <w:color w:val="000000"/>
                <w:sz w:val="20"/>
                <w:szCs w:val="20"/>
              </w:rPr>
              <w:t>0.65 (0.02, 1.28)</w:t>
            </w:r>
          </w:p>
        </w:tc>
        <w:tc>
          <w:tcPr>
            <w:tcW w:w="833" w:type="pct"/>
          </w:tcPr>
          <w:p w14:paraId="503B030C" w14:textId="77777777" w:rsidR="00D70F86" w:rsidRPr="003434B1" w:rsidRDefault="00D70F86" w:rsidP="008E1BD6">
            <w:pPr>
              <w:jc w:val="right"/>
              <w:rPr>
                <w:rFonts w:ascii="Arial" w:hAnsi="Arial" w:cs="Arial"/>
                <w:color w:val="FF0000"/>
                <w:sz w:val="20"/>
                <w:szCs w:val="20"/>
              </w:rPr>
            </w:pPr>
            <w:r w:rsidRPr="003434B1">
              <w:rPr>
                <w:rFonts w:ascii="Arial" w:hAnsi="Arial" w:cs="Arial"/>
                <w:color w:val="000000"/>
                <w:sz w:val="20"/>
                <w:szCs w:val="20"/>
              </w:rPr>
              <w:t>-0.39 (-0.87, 0.1</w:t>
            </w:r>
            <w:r>
              <w:rPr>
                <w:rFonts w:ascii="Arial" w:hAnsi="Arial" w:cs="Arial"/>
                <w:color w:val="000000"/>
                <w:sz w:val="20"/>
                <w:szCs w:val="20"/>
              </w:rPr>
              <w:t>0</w:t>
            </w:r>
            <w:r w:rsidRPr="003434B1">
              <w:rPr>
                <w:rFonts w:ascii="Arial" w:hAnsi="Arial" w:cs="Arial"/>
                <w:color w:val="000000"/>
                <w:sz w:val="20"/>
                <w:szCs w:val="20"/>
              </w:rPr>
              <w:t>)</w:t>
            </w:r>
          </w:p>
        </w:tc>
        <w:tc>
          <w:tcPr>
            <w:tcW w:w="834" w:type="pct"/>
          </w:tcPr>
          <w:p w14:paraId="02F0D614" w14:textId="77777777" w:rsidR="00D70F86" w:rsidRPr="003434B1" w:rsidRDefault="00D70F86" w:rsidP="008E1BD6">
            <w:pPr>
              <w:jc w:val="right"/>
              <w:rPr>
                <w:rFonts w:ascii="Arial" w:hAnsi="Arial" w:cs="Arial"/>
                <w:color w:val="FF0000"/>
                <w:sz w:val="20"/>
                <w:szCs w:val="20"/>
              </w:rPr>
            </w:pPr>
            <w:r w:rsidRPr="003434B1">
              <w:rPr>
                <w:rFonts w:ascii="Arial" w:hAnsi="Arial" w:cs="Arial"/>
                <w:color w:val="000000"/>
                <w:sz w:val="20"/>
                <w:szCs w:val="20"/>
              </w:rPr>
              <w:t>-3.01 (-4.41, -1.61)</w:t>
            </w:r>
          </w:p>
        </w:tc>
        <w:tc>
          <w:tcPr>
            <w:tcW w:w="834" w:type="pct"/>
          </w:tcPr>
          <w:p w14:paraId="6C517443" w14:textId="77777777" w:rsidR="00D70F86" w:rsidRPr="003434B1" w:rsidRDefault="00D70F86" w:rsidP="008E1BD6">
            <w:pPr>
              <w:jc w:val="right"/>
              <w:rPr>
                <w:rFonts w:ascii="Arial" w:hAnsi="Arial" w:cs="Arial"/>
                <w:color w:val="FF0000"/>
                <w:sz w:val="20"/>
                <w:szCs w:val="20"/>
              </w:rPr>
            </w:pPr>
            <w:r w:rsidRPr="003434B1">
              <w:rPr>
                <w:rFonts w:ascii="Arial" w:hAnsi="Arial" w:cs="Arial"/>
                <w:color w:val="000000"/>
                <w:sz w:val="20"/>
                <w:szCs w:val="20"/>
              </w:rPr>
              <w:t>-1.35 (-6.09, 3.39)</w:t>
            </w:r>
          </w:p>
        </w:tc>
      </w:tr>
      <w:tr w:rsidR="00D70F86" w:rsidRPr="00D74175" w14:paraId="0B619BFC" w14:textId="77777777" w:rsidTr="008E1BD6">
        <w:tc>
          <w:tcPr>
            <w:tcW w:w="833" w:type="pct"/>
            <w:vAlign w:val="center"/>
          </w:tcPr>
          <w:p w14:paraId="14B1DFEC" w14:textId="77777777" w:rsidR="00D70F86" w:rsidRPr="00D74175" w:rsidRDefault="00D70F86" w:rsidP="008E1BD6">
            <w:pPr>
              <w:ind w:left="159"/>
              <w:rPr>
                <w:rFonts w:ascii="Arial" w:hAnsi="Arial" w:cs="Arial"/>
                <w:sz w:val="20"/>
                <w:szCs w:val="20"/>
              </w:rPr>
            </w:pPr>
          </w:p>
        </w:tc>
        <w:tc>
          <w:tcPr>
            <w:tcW w:w="833" w:type="pct"/>
            <w:tcBorders>
              <w:left w:val="nil"/>
            </w:tcBorders>
            <w:vAlign w:val="center"/>
          </w:tcPr>
          <w:p w14:paraId="06E81124" w14:textId="77777777" w:rsidR="00D70F86" w:rsidRPr="003434B1" w:rsidRDefault="00D70F86" w:rsidP="008E1BD6">
            <w:pPr>
              <w:jc w:val="right"/>
              <w:rPr>
                <w:rFonts w:ascii="Arial" w:hAnsi="Arial" w:cs="Arial"/>
                <w:color w:val="000000"/>
                <w:sz w:val="20"/>
                <w:szCs w:val="20"/>
              </w:rPr>
            </w:pPr>
          </w:p>
        </w:tc>
        <w:tc>
          <w:tcPr>
            <w:tcW w:w="833" w:type="pct"/>
            <w:vAlign w:val="center"/>
          </w:tcPr>
          <w:p w14:paraId="0FE65298" w14:textId="77777777" w:rsidR="00D70F86" w:rsidRPr="003434B1" w:rsidRDefault="00D70F86" w:rsidP="008E1BD6">
            <w:pPr>
              <w:jc w:val="right"/>
              <w:rPr>
                <w:rFonts w:ascii="Arial" w:hAnsi="Arial" w:cs="Arial"/>
                <w:color w:val="000000"/>
                <w:sz w:val="20"/>
                <w:szCs w:val="20"/>
              </w:rPr>
            </w:pPr>
          </w:p>
        </w:tc>
        <w:tc>
          <w:tcPr>
            <w:tcW w:w="833" w:type="pct"/>
            <w:vAlign w:val="center"/>
          </w:tcPr>
          <w:p w14:paraId="11FB53C2" w14:textId="77777777" w:rsidR="00D70F86" w:rsidRPr="003434B1" w:rsidRDefault="00D70F86" w:rsidP="008E1BD6">
            <w:pPr>
              <w:jc w:val="right"/>
              <w:rPr>
                <w:rFonts w:ascii="Arial" w:hAnsi="Arial" w:cs="Arial"/>
                <w:color w:val="000000"/>
                <w:sz w:val="20"/>
                <w:szCs w:val="20"/>
              </w:rPr>
            </w:pPr>
          </w:p>
        </w:tc>
        <w:tc>
          <w:tcPr>
            <w:tcW w:w="834" w:type="pct"/>
            <w:vAlign w:val="center"/>
          </w:tcPr>
          <w:p w14:paraId="71C8F857" w14:textId="77777777" w:rsidR="00D70F86" w:rsidRPr="003434B1" w:rsidRDefault="00D70F86" w:rsidP="008E1BD6">
            <w:pPr>
              <w:jc w:val="right"/>
              <w:rPr>
                <w:rFonts w:ascii="Arial" w:hAnsi="Arial" w:cs="Arial"/>
                <w:color w:val="000000"/>
                <w:sz w:val="20"/>
                <w:szCs w:val="20"/>
              </w:rPr>
            </w:pPr>
          </w:p>
        </w:tc>
        <w:tc>
          <w:tcPr>
            <w:tcW w:w="834" w:type="pct"/>
            <w:vAlign w:val="center"/>
          </w:tcPr>
          <w:p w14:paraId="45EC0AA8" w14:textId="77777777" w:rsidR="00D70F86" w:rsidRPr="003434B1" w:rsidRDefault="00D70F86" w:rsidP="008E1BD6">
            <w:pPr>
              <w:jc w:val="right"/>
              <w:rPr>
                <w:rFonts w:ascii="Arial" w:hAnsi="Arial" w:cs="Arial"/>
                <w:color w:val="000000"/>
                <w:sz w:val="20"/>
                <w:szCs w:val="20"/>
              </w:rPr>
            </w:pPr>
          </w:p>
        </w:tc>
      </w:tr>
      <w:tr w:rsidR="00D70F86" w:rsidRPr="00D74175" w14:paraId="5F7B9B74" w14:textId="77777777" w:rsidTr="008E1BD6">
        <w:tc>
          <w:tcPr>
            <w:tcW w:w="1666" w:type="pct"/>
            <w:gridSpan w:val="2"/>
            <w:vAlign w:val="center"/>
          </w:tcPr>
          <w:p w14:paraId="3AA9DAEE" w14:textId="77777777" w:rsidR="00D70F86" w:rsidRPr="003434B1" w:rsidRDefault="00D70F86" w:rsidP="008E1BD6">
            <w:pPr>
              <w:ind w:left="155"/>
              <w:rPr>
                <w:rFonts w:ascii="Arial" w:hAnsi="Arial" w:cs="Arial"/>
                <w:color w:val="000000"/>
                <w:sz w:val="20"/>
                <w:szCs w:val="20"/>
              </w:rPr>
            </w:pPr>
            <w:r w:rsidRPr="003434B1">
              <w:rPr>
                <w:rFonts w:ascii="Arial" w:hAnsi="Arial" w:cs="Arial"/>
                <w:b/>
                <w:bCs/>
                <w:sz w:val="20"/>
                <w:szCs w:val="20"/>
              </w:rPr>
              <w:t>No history of cancer</w:t>
            </w:r>
          </w:p>
        </w:tc>
        <w:tc>
          <w:tcPr>
            <w:tcW w:w="833" w:type="pct"/>
            <w:vAlign w:val="center"/>
          </w:tcPr>
          <w:p w14:paraId="2140A1C6" w14:textId="77777777" w:rsidR="00D70F86" w:rsidRPr="003434B1" w:rsidRDefault="00D70F86" w:rsidP="008E1BD6">
            <w:pPr>
              <w:jc w:val="right"/>
              <w:rPr>
                <w:rFonts w:ascii="Arial" w:hAnsi="Arial" w:cs="Arial"/>
                <w:color w:val="000000"/>
                <w:sz w:val="20"/>
                <w:szCs w:val="20"/>
              </w:rPr>
            </w:pPr>
          </w:p>
        </w:tc>
        <w:tc>
          <w:tcPr>
            <w:tcW w:w="833" w:type="pct"/>
            <w:vAlign w:val="center"/>
          </w:tcPr>
          <w:p w14:paraId="478ADD14" w14:textId="77777777" w:rsidR="00D70F86" w:rsidRPr="003434B1" w:rsidRDefault="00D70F86" w:rsidP="008E1BD6">
            <w:pPr>
              <w:jc w:val="right"/>
              <w:rPr>
                <w:rFonts w:ascii="Arial" w:hAnsi="Arial" w:cs="Arial"/>
                <w:color w:val="000000"/>
                <w:sz w:val="20"/>
                <w:szCs w:val="20"/>
              </w:rPr>
            </w:pPr>
          </w:p>
        </w:tc>
        <w:tc>
          <w:tcPr>
            <w:tcW w:w="834" w:type="pct"/>
            <w:vAlign w:val="center"/>
          </w:tcPr>
          <w:p w14:paraId="3550324A" w14:textId="77777777" w:rsidR="00D70F86" w:rsidRPr="003434B1" w:rsidRDefault="00D70F86" w:rsidP="008E1BD6">
            <w:pPr>
              <w:jc w:val="right"/>
              <w:rPr>
                <w:rFonts w:ascii="Arial" w:hAnsi="Arial" w:cs="Arial"/>
                <w:color w:val="000000"/>
                <w:sz w:val="20"/>
                <w:szCs w:val="20"/>
              </w:rPr>
            </w:pPr>
          </w:p>
        </w:tc>
        <w:tc>
          <w:tcPr>
            <w:tcW w:w="834" w:type="pct"/>
            <w:vAlign w:val="center"/>
          </w:tcPr>
          <w:p w14:paraId="60A61B8B" w14:textId="77777777" w:rsidR="00D70F86" w:rsidRPr="003434B1" w:rsidRDefault="00D70F86" w:rsidP="008E1BD6">
            <w:pPr>
              <w:jc w:val="right"/>
              <w:rPr>
                <w:rFonts w:ascii="Arial" w:hAnsi="Arial" w:cs="Arial"/>
                <w:color w:val="000000"/>
                <w:sz w:val="20"/>
                <w:szCs w:val="20"/>
              </w:rPr>
            </w:pPr>
          </w:p>
        </w:tc>
      </w:tr>
      <w:tr w:rsidR="00D70F86" w:rsidRPr="00D74175" w14:paraId="1A5C8A8D" w14:textId="77777777" w:rsidTr="008E1BD6">
        <w:tc>
          <w:tcPr>
            <w:tcW w:w="833" w:type="pct"/>
            <w:vAlign w:val="center"/>
          </w:tcPr>
          <w:p w14:paraId="2407A9ED" w14:textId="77777777" w:rsidR="00D70F86" w:rsidRPr="00D74175" w:rsidRDefault="00D70F86" w:rsidP="008E1BD6">
            <w:pPr>
              <w:ind w:left="159"/>
              <w:rPr>
                <w:rFonts w:ascii="Arial" w:hAnsi="Arial" w:cs="Arial"/>
                <w:sz w:val="20"/>
                <w:szCs w:val="20"/>
              </w:rPr>
            </w:pPr>
            <w:r w:rsidRPr="00D74175">
              <w:rPr>
                <w:rFonts w:ascii="Arial" w:hAnsi="Arial" w:cs="Arial"/>
                <w:sz w:val="20"/>
                <w:szCs w:val="20"/>
              </w:rPr>
              <w:t>Postsurgical pain</w:t>
            </w:r>
          </w:p>
        </w:tc>
        <w:tc>
          <w:tcPr>
            <w:tcW w:w="833" w:type="pct"/>
            <w:tcBorders>
              <w:left w:val="nil"/>
            </w:tcBorders>
          </w:tcPr>
          <w:p w14:paraId="550EBB71" w14:textId="77777777" w:rsidR="00D70F86" w:rsidRPr="003434B1" w:rsidRDefault="00D70F86" w:rsidP="008E1BD6">
            <w:pPr>
              <w:jc w:val="right"/>
              <w:rPr>
                <w:rFonts w:ascii="Arial" w:hAnsi="Arial" w:cs="Arial"/>
                <w:color w:val="FF0000"/>
                <w:sz w:val="20"/>
                <w:szCs w:val="20"/>
              </w:rPr>
            </w:pPr>
            <w:r w:rsidRPr="003434B1">
              <w:rPr>
                <w:rFonts w:ascii="Arial" w:hAnsi="Arial" w:cs="Arial"/>
                <w:color w:val="000000"/>
                <w:sz w:val="20"/>
                <w:szCs w:val="20"/>
              </w:rPr>
              <w:t>0.16 (0.05, 0.27)</w:t>
            </w:r>
          </w:p>
        </w:tc>
        <w:tc>
          <w:tcPr>
            <w:tcW w:w="833" w:type="pct"/>
          </w:tcPr>
          <w:p w14:paraId="3139CFCB" w14:textId="77777777" w:rsidR="00D70F86" w:rsidRPr="003434B1" w:rsidRDefault="00D70F86" w:rsidP="008E1BD6">
            <w:pPr>
              <w:jc w:val="right"/>
              <w:rPr>
                <w:rFonts w:ascii="Arial" w:hAnsi="Arial" w:cs="Arial"/>
                <w:color w:val="FF0000"/>
                <w:sz w:val="20"/>
                <w:szCs w:val="20"/>
              </w:rPr>
            </w:pPr>
            <w:r w:rsidRPr="003434B1">
              <w:rPr>
                <w:rFonts w:ascii="Arial" w:hAnsi="Arial" w:cs="Arial"/>
                <w:color w:val="000000"/>
                <w:sz w:val="20"/>
                <w:szCs w:val="20"/>
              </w:rPr>
              <w:t>0.43 (-0.04, 0.9</w:t>
            </w:r>
            <w:r>
              <w:rPr>
                <w:rFonts w:ascii="Arial" w:hAnsi="Arial" w:cs="Arial"/>
                <w:color w:val="000000"/>
                <w:sz w:val="20"/>
                <w:szCs w:val="20"/>
              </w:rPr>
              <w:t>0</w:t>
            </w:r>
            <w:r w:rsidRPr="003434B1">
              <w:rPr>
                <w:rFonts w:ascii="Arial" w:hAnsi="Arial" w:cs="Arial"/>
                <w:color w:val="000000"/>
                <w:sz w:val="20"/>
                <w:szCs w:val="20"/>
              </w:rPr>
              <w:t>)</w:t>
            </w:r>
          </w:p>
        </w:tc>
        <w:tc>
          <w:tcPr>
            <w:tcW w:w="833" w:type="pct"/>
          </w:tcPr>
          <w:p w14:paraId="11E56E40" w14:textId="77777777" w:rsidR="00D70F86" w:rsidRPr="003434B1" w:rsidRDefault="00D70F86" w:rsidP="008E1BD6">
            <w:pPr>
              <w:jc w:val="right"/>
              <w:rPr>
                <w:rFonts w:ascii="Arial" w:hAnsi="Arial" w:cs="Arial"/>
                <w:color w:val="FF0000"/>
                <w:sz w:val="20"/>
                <w:szCs w:val="20"/>
              </w:rPr>
            </w:pPr>
            <w:r w:rsidRPr="003434B1">
              <w:rPr>
                <w:rFonts w:ascii="Arial" w:hAnsi="Arial" w:cs="Arial"/>
                <w:color w:val="000000"/>
                <w:sz w:val="20"/>
                <w:szCs w:val="20"/>
              </w:rPr>
              <w:t>-0.23 (-0.6</w:t>
            </w:r>
            <w:r>
              <w:rPr>
                <w:rFonts w:ascii="Arial" w:hAnsi="Arial" w:cs="Arial"/>
                <w:color w:val="000000"/>
                <w:sz w:val="20"/>
                <w:szCs w:val="20"/>
              </w:rPr>
              <w:t>0</w:t>
            </w:r>
            <w:r w:rsidRPr="003434B1">
              <w:rPr>
                <w:rFonts w:ascii="Arial" w:hAnsi="Arial" w:cs="Arial"/>
                <w:color w:val="000000"/>
                <w:sz w:val="20"/>
                <w:szCs w:val="20"/>
              </w:rPr>
              <w:t>, 0.15)</w:t>
            </w:r>
          </w:p>
        </w:tc>
        <w:tc>
          <w:tcPr>
            <w:tcW w:w="834" w:type="pct"/>
          </w:tcPr>
          <w:p w14:paraId="29C33603" w14:textId="77777777" w:rsidR="00D70F86" w:rsidRPr="003434B1" w:rsidRDefault="00D70F86" w:rsidP="008E1BD6">
            <w:pPr>
              <w:jc w:val="right"/>
              <w:rPr>
                <w:rFonts w:ascii="Arial" w:hAnsi="Arial" w:cs="Arial"/>
                <w:color w:val="FF0000"/>
                <w:sz w:val="20"/>
                <w:szCs w:val="20"/>
              </w:rPr>
            </w:pPr>
            <w:r w:rsidRPr="003434B1">
              <w:rPr>
                <w:rFonts w:ascii="Arial" w:hAnsi="Arial" w:cs="Arial"/>
                <w:color w:val="000000"/>
                <w:sz w:val="20"/>
                <w:szCs w:val="20"/>
              </w:rPr>
              <w:t>-0.36 (-1.17, 0.46)</w:t>
            </w:r>
          </w:p>
        </w:tc>
        <w:tc>
          <w:tcPr>
            <w:tcW w:w="834" w:type="pct"/>
          </w:tcPr>
          <w:p w14:paraId="40FBE3BC" w14:textId="77777777" w:rsidR="00D70F86" w:rsidRPr="003434B1" w:rsidRDefault="00D70F86" w:rsidP="008E1BD6">
            <w:pPr>
              <w:jc w:val="right"/>
              <w:rPr>
                <w:rFonts w:ascii="Arial" w:hAnsi="Arial" w:cs="Arial"/>
                <w:color w:val="FF0000"/>
                <w:sz w:val="20"/>
                <w:szCs w:val="20"/>
              </w:rPr>
            </w:pPr>
            <w:r w:rsidRPr="003434B1">
              <w:rPr>
                <w:rFonts w:ascii="Arial" w:hAnsi="Arial" w:cs="Arial"/>
                <w:color w:val="000000"/>
                <w:sz w:val="20"/>
                <w:szCs w:val="20"/>
              </w:rPr>
              <w:t>-0.62 (-3.49, 2.26)</w:t>
            </w:r>
          </w:p>
        </w:tc>
      </w:tr>
      <w:tr w:rsidR="00D70F86" w:rsidRPr="00D74175" w14:paraId="39EC3775" w14:textId="77777777" w:rsidTr="008E1BD6">
        <w:tc>
          <w:tcPr>
            <w:tcW w:w="833" w:type="pct"/>
            <w:vAlign w:val="center"/>
          </w:tcPr>
          <w:p w14:paraId="6B3C023C" w14:textId="77777777" w:rsidR="00D70F86" w:rsidRPr="00D74175" w:rsidRDefault="00D70F86" w:rsidP="008E1BD6">
            <w:pPr>
              <w:ind w:left="159"/>
              <w:rPr>
                <w:rFonts w:ascii="Arial" w:hAnsi="Arial" w:cs="Arial"/>
                <w:sz w:val="20"/>
                <w:szCs w:val="20"/>
              </w:rPr>
            </w:pPr>
            <w:r w:rsidRPr="00D74175">
              <w:rPr>
                <w:rFonts w:ascii="Arial" w:hAnsi="Arial" w:cs="Arial"/>
                <w:sz w:val="20"/>
                <w:szCs w:val="20"/>
              </w:rPr>
              <w:t>Acute pain</w:t>
            </w:r>
          </w:p>
        </w:tc>
        <w:tc>
          <w:tcPr>
            <w:tcW w:w="833" w:type="pct"/>
            <w:tcBorders>
              <w:left w:val="nil"/>
            </w:tcBorders>
          </w:tcPr>
          <w:p w14:paraId="782EAEC8" w14:textId="77777777" w:rsidR="00D70F86" w:rsidRPr="003434B1" w:rsidRDefault="00D70F86" w:rsidP="008E1BD6">
            <w:pPr>
              <w:jc w:val="right"/>
              <w:rPr>
                <w:rFonts w:ascii="Arial" w:hAnsi="Arial" w:cs="Arial"/>
                <w:color w:val="FF0000"/>
                <w:sz w:val="20"/>
                <w:szCs w:val="20"/>
              </w:rPr>
            </w:pPr>
            <w:r w:rsidRPr="003434B1">
              <w:rPr>
                <w:rFonts w:ascii="Arial" w:hAnsi="Arial" w:cs="Arial"/>
                <w:color w:val="000000"/>
                <w:sz w:val="20"/>
                <w:szCs w:val="20"/>
              </w:rPr>
              <w:t>0.04 (-0.06, 0.14)</w:t>
            </w:r>
          </w:p>
        </w:tc>
        <w:tc>
          <w:tcPr>
            <w:tcW w:w="833" w:type="pct"/>
          </w:tcPr>
          <w:p w14:paraId="31F41995" w14:textId="77777777" w:rsidR="00D70F86" w:rsidRPr="003434B1" w:rsidRDefault="00D70F86" w:rsidP="008E1BD6">
            <w:pPr>
              <w:jc w:val="right"/>
              <w:rPr>
                <w:rFonts w:ascii="Arial" w:hAnsi="Arial" w:cs="Arial"/>
                <w:color w:val="FF0000"/>
                <w:sz w:val="20"/>
                <w:szCs w:val="20"/>
              </w:rPr>
            </w:pPr>
            <w:r w:rsidRPr="003434B1">
              <w:rPr>
                <w:rFonts w:ascii="Arial" w:hAnsi="Arial" w:cs="Arial"/>
                <w:color w:val="000000"/>
                <w:sz w:val="20"/>
                <w:szCs w:val="20"/>
              </w:rPr>
              <w:t>0.25 (-0.19, 0.69)</w:t>
            </w:r>
          </w:p>
        </w:tc>
        <w:tc>
          <w:tcPr>
            <w:tcW w:w="833" w:type="pct"/>
          </w:tcPr>
          <w:p w14:paraId="7C862465" w14:textId="77777777" w:rsidR="00D70F86" w:rsidRPr="003434B1" w:rsidRDefault="00D70F86" w:rsidP="008E1BD6">
            <w:pPr>
              <w:jc w:val="right"/>
              <w:rPr>
                <w:rFonts w:ascii="Arial" w:hAnsi="Arial" w:cs="Arial"/>
                <w:color w:val="FF0000"/>
                <w:sz w:val="20"/>
                <w:szCs w:val="20"/>
              </w:rPr>
            </w:pPr>
            <w:r w:rsidRPr="003434B1">
              <w:rPr>
                <w:rFonts w:ascii="Arial" w:hAnsi="Arial" w:cs="Arial"/>
                <w:color w:val="000000"/>
                <w:sz w:val="20"/>
                <w:szCs w:val="20"/>
              </w:rPr>
              <w:t>0.01 (-0.33, 0.35)</w:t>
            </w:r>
          </w:p>
        </w:tc>
        <w:tc>
          <w:tcPr>
            <w:tcW w:w="834" w:type="pct"/>
          </w:tcPr>
          <w:p w14:paraId="412F2A88" w14:textId="77777777" w:rsidR="00D70F86" w:rsidRPr="003434B1" w:rsidRDefault="00D70F86" w:rsidP="008E1BD6">
            <w:pPr>
              <w:jc w:val="right"/>
              <w:rPr>
                <w:rFonts w:ascii="Arial" w:hAnsi="Arial" w:cs="Arial"/>
                <w:color w:val="FF0000"/>
                <w:sz w:val="20"/>
                <w:szCs w:val="20"/>
              </w:rPr>
            </w:pPr>
            <w:r w:rsidRPr="003434B1">
              <w:rPr>
                <w:rFonts w:ascii="Arial" w:hAnsi="Arial" w:cs="Arial"/>
                <w:color w:val="000000"/>
                <w:sz w:val="20"/>
                <w:szCs w:val="20"/>
              </w:rPr>
              <w:t>-0.35 (-1.15, 0.46)</w:t>
            </w:r>
          </w:p>
        </w:tc>
        <w:tc>
          <w:tcPr>
            <w:tcW w:w="834" w:type="pct"/>
          </w:tcPr>
          <w:p w14:paraId="497F765A" w14:textId="77777777" w:rsidR="00D70F86" w:rsidRPr="003434B1" w:rsidRDefault="00D70F86" w:rsidP="008E1BD6">
            <w:pPr>
              <w:jc w:val="right"/>
              <w:rPr>
                <w:rFonts w:ascii="Arial" w:hAnsi="Arial" w:cs="Arial"/>
                <w:color w:val="FF0000"/>
                <w:sz w:val="20"/>
                <w:szCs w:val="20"/>
              </w:rPr>
            </w:pPr>
            <w:r w:rsidRPr="003434B1">
              <w:rPr>
                <w:rFonts w:ascii="Arial" w:hAnsi="Arial" w:cs="Arial"/>
                <w:color w:val="000000"/>
                <w:sz w:val="20"/>
                <w:szCs w:val="20"/>
              </w:rPr>
              <w:t>-0.56 (-3.34, 2.22)</w:t>
            </w:r>
          </w:p>
        </w:tc>
      </w:tr>
      <w:tr w:rsidR="00D70F86" w:rsidRPr="00D74175" w14:paraId="236A1BA6" w14:textId="77777777" w:rsidTr="008E1BD6">
        <w:tc>
          <w:tcPr>
            <w:tcW w:w="833" w:type="pct"/>
            <w:tcBorders>
              <w:bottom w:val="single" w:sz="4" w:space="0" w:color="auto"/>
            </w:tcBorders>
            <w:vAlign w:val="center"/>
          </w:tcPr>
          <w:p w14:paraId="36185866" w14:textId="77777777" w:rsidR="00D70F86" w:rsidRPr="00D74175" w:rsidRDefault="00D70F86" w:rsidP="008E1BD6">
            <w:pPr>
              <w:ind w:left="159"/>
              <w:rPr>
                <w:rFonts w:ascii="Arial" w:hAnsi="Arial" w:cs="Arial"/>
                <w:sz w:val="20"/>
                <w:szCs w:val="20"/>
              </w:rPr>
            </w:pPr>
            <w:r w:rsidRPr="00D74175">
              <w:rPr>
                <w:rFonts w:ascii="Arial" w:hAnsi="Arial" w:cs="Arial"/>
                <w:sz w:val="20"/>
                <w:szCs w:val="20"/>
              </w:rPr>
              <w:t>Chronic pain</w:t>
            </w:r>
          </w:p>
        </w:tc>
        <w:tc>
          <w:tcPr>
            <w:tcW w:w="833" w:type="pct"/>
            <w:tcBorders>
              <w:left w:val="nil"/>
              <w:bottom w:val="single" w:sz="4" w:space="0" w:color="auto"/>
            </w:tcBorders>
          </w:tcPr>
          <w:p w14:paraId="5F04132D" w14:textId="77777777" w:rsidR="00D70F86" w:rsidRPr="003434B1" w:rsidRDefault="00D70F86" w:rsidP="008E1BD6">
            <w:pPr>
              <w:jc w:val="right"/>
              <w:rPr>
                <w:rFonts w:ascii="Arial" w:hAnsi="Arial" w:cs="Arial"/>
                <w:color w:val="FF0000"/>
                <w:sz w:val="20"/>
                <w:szCs w:val="20"/>
              </w:rPr>
            </w:pPr>
            <w:r w:rsidRPr="003434B1">
              <w:rPr>
                <w:rFonts w:ascii="Arial" w:hAnsi="Arial" w:cs="Arial"/>
                <w:color w:val="000000"/>
                <w:sz w:val="20"/>
                <w:szCs w:val="20"/>
              </w:rPr>
              <w:t>0.14 (0.06, 0.22)</w:t>
            </w:r>
          </w:p>
        </w:tc>
        <w:tc>
          <w:tcPr>
            <w:tcW w:w="833" w:type="pct"/>
            <w:tcBorders>
              <w:bottom w:val="single" w:sz="4" w:space="0" w:color="auto"/>
            </w:tcBorders>
          </w:tcPr>
          <w:p w14:paraId="3A60822F" w14:textId="77777777" w:rsidR="00D70F86" w:rsidRPr="003434B1" w:rsidRDefault="00D70F86" w:rsidP="008E1BD6">
            <w:pPr>
              <w:jc w:val="right"/>
              <w:rPr>
                <w:rFonts w:ascii="Arial" w:hAnsi="Arial" w:cs="Arial"/>
                <w:color w:val="FF0000"/>
                <w:sz w:val="20"/>
                <w:szCs w:val="20"/>
              </w:rPr>
            </w:pPr>
            <w:r w:rsidRPr="003434B1">
              <w:rPr>
                <w:rFonts w:ascii="Arial" w:hAnsi="Arial" w:cs="Arial"/>
                <w:color w:val="000000"/>
                <w:sz w:val="20"/>
                <w:szCs w:val="20"/>
              </w:rPr>
              <w:t>0.36 (-0.01, 0.72)</w:t>
            </w:r>
          </w:p>
        </w:tc>
        <w:tc>
          <w:tcPr>
            <w:tcW w:w="833" w:type="pct"/>
            <w:tcBorders>
              <w:bottom w:val="single" w:sz="4" w:space="0" w:color="auto"/>
            </w:tcBorders>
          </w:tcPr>
          <w:p w14:paraId="236F20F0" w14:textId="77777777" w:rsidR="00D70F86" w:rsidRPr="003434B1" w:rsidRDefault="00D70F86" w:rsidP="008E1BD6">
            <w:pPr>
              <w:jc w:val="right"/>
              <w:rPr>
                <w:rFonts w:ascii="Arial" w:hAnsi="Arial" w:cs="Arial"/>
                <w:color w:val="FF0000"/>
                <w:sz w:val="20"/>
                <w:szCs w:val="20"/>
              </w:rPr>
            </w:pPr>
            <w:r w:rsidRPr="003434B1">
              <w:rPr>
                <w:rFonts w:ascii="Arial" w:hAnsi="Arial" w:cs="Arial"/>
                <w:color w:val="000000"/>
                <w:sz w:val="20"/>
                <w:szCs w:val="20"/>
              </w:rPr>
              <w:t>-0.4</w:t>
            </w:r>
            <w:r>
              <w:rPr>
                <w:rFonts w:ascii="Arial" w:hAnsi="Arial" w:cs="Arial"/>
                <w:color w:val="000000"/>
                <w:sz w:val="20"/>
                <w:szCs w:val="20"/>
              </w:rPr>
              <w:t>0</w:t>
            </w:r>
            <w:r w:rsidRPr="003434B1">
              <w:rPr>
                <w:rFonts w:ascii="Arial" w:hAnsi="Arial" w:cs="Arial"/>
                <w:color w:val="000000"/>
                <w:sz w:val="20"/>
                <w:szCs w:val="20"/>
              </w:rPr>
              <w:t xml:space="preserve"> (-0.68, -0.11)</w:t>
            </w:r>
          </w:p>
        </w:tc>
        <w:tc>
          <w:tcPr>
            <w:tcW w:w="834" w:type="pct"/>
            <w:tcBorders>
              <w:bottom w:val="single" w:sz="4" w:space="0" w:color="auto"/>
            </w:tcBorders>
          </w:tcPr>
          <w:p w14:paraId="794F652F" w14:textId="77777777" w:rsidR="00D70F86" w:rsidRPr="003434B1" w:rsidRDefault="00D70F86" w:rsidP="008E1BD6">
            <w:pPr>
              <w:jc w:val="right"/>
              <w:rPr>
                <w:rFonts w:ascii="Arial" w:hAnsi="Arial" w:cs="Arial"/>
                <w:color w:val="FF0000"/>
                <w:sz w:val="20"/>
                <w:szCs w:val="20"/>
              </w:rPr>
            </w:pPr>
            <w:r w:rsidRPr="003434B1">
              <w:rPr>
                <w:rFonts w:ascii="Arial" w:hAnsi="Arial" w:cs="Arial"/>
                <w:color w:val="000000"/>
                <w:sz w:val="20"/>
                <w:szCs w:val="20"/>
              </w:rPr>
              <w:t>-3.49 (-4.28, -2.7</w:t>
            </w:r>
            <w:r>
              <w:rPr>
                <w:rFonts w:ascii="Arial" w:hAnsi="Arial" w:cs="Arial"/>
                <w:color w:val="000000"/>
                <w:sz w:val="20"/>
                <w:szCs w:val="20"/>
              </w:rPr>
              <w:t>0</w:t>
            </w:r>
            <w:r w:rsidRPr="003434B1">
              <w:rPr>
                <w:rFonts w:ascii="Arial" w:hAnsi="Arial" w:cs="Arial"/>
                <w:color w:val="000000"/>
                <w:sz w:val="20"/>
                <w:szCs w:val="20"/>
              </w:rPr>
              <w:t>)</w:t>
            </w:r>
          </w:p>
        </w:tc>
        <w:tc>
          <w:tcPr>
            <w:tcW w:w="834" w:type="pct"/>
            <w:tcBorders>
              <w:bottom w:val="single" w:sz="4" w:space="0" w:color="auto"/>
            </w:tcBorders>
          </w:tcPr>
          <w:p w14:paraId="75E9BFA5" w14:textId="77777777" w:rsidR="00D70F86" w:rsidRPr="003434B1" w:rsidRDefault="00D70F86" w:rsidP="008E1BD6">
            <w:pPr>
              <w:jc w:val="right"/>
              <w:rPr>
                <w:rFonts w:ascii="Arial" w:hAnsi="Arial" w:cs="Arial"/>
                <w:color w:val="FF0000"/>
                <w:sz w:val="20"/>
                <w:szCs w:val="20"/>
              </w:rPr>
            </w:pPr>
            <w:r w:rsidRPr="003434B1">
              <w:rPr>
                <w:rFonts w:ascii="Arial" w:hAnsi="Arial" w:cs="Arial"/>
                <w:color w:val="000000"/>
                <w:sz w:val="20"/>
                <w:szCs w:val="20"/>
              </w:rPr>
              <w:t>0.12 (-2.57, 2.81)</w:t>
            </w:r>
          </w:p>
        </w:tc>
      </w:tr>
    </w:tbl>
    <w:p w14:paraId="38B368C7" w14:textId="77777777" w:rsidR="00D70F86" w:rsidRPr="007548B8" w:rsidRDefault="00D70F86" w:rsidP="00176180">
      <w:pPr>
        <w:spacing w:after="0"/>
        <w:rPr>
          <w:rFonts w:ascii="Arial" w:eastAsia="Times New Roman" w:hAnsi="Arial" w:cs="Arial"/>
          <w:sz w:val="18"/>
          <w:szCs w:val="18"/>
        </w:rPr>
      </w:pPr>
      <w:r w:rsidRPr="007548B8">
        <w:rPr>
          <w:rFonts w:ascii="Arial" w:eastAsia="Times New Roman" w:hAnsi="Arial" w:cs="Arial"/>
          <w:sz w:val="18"/>
          <w:szCs w:val="18"/>
        </w:rPr>
        <w:t>Abbreviations: Medical Board Initiative = Safe Opioid Prescribing Initiative; Reimbursement Policy = Insurer policy enacted in response to the Strengthen Opioid Misuse Prevention Act; CI = confidence interval.</w:t>
      </w:r>
    </w:p>
    <w:p w14:paraId="55C759FB" w14:textId="77777777" w:rsidR="00D70F86" w:rsidRPr="007548B8" w:rsidRDefault="00D70F86" w:rsidP="00D70F86">
      <w:pPr>
        <w:pStyle w:val="ListParagraph"/>
        <w:numPr>
          <w:ilvl w:val="0"/>
          <w:numId w:val="1"/>
        </w:numPr>
        <w:rPr>
          <w:rFonts w:ascii="Arial" w:eastAsia="Times New Roman" w:hAnsi="Arial" w:cs="Arial"/>
          <w:sz w:val="18"/>
          <w:szCs w:val="18"/>
        </w:rPr>
      </w:pPr>
      <w:r w:rsidRPr="007548B8">
        <w:rPr>
          <w:rFonts w:ascii="Arial" w:eastAsia="Times New Roman" w:hAnsi="Arial" w:cs="Arial"/>
          <w:sz w:val="18"/>
          <w:szCs w:val="18"/>
        </w:rPr>
        <w:t>New prescription opioid patient population includes person-months where the individual has been insured continuously for &gt;=6 months and has no opioid prescription in the prior 6 months.</w:t>
      </w:r>
    </w:p>
    <w:p w14:paraId="5BD3DB28" w14:textId="77777777" w:rsidR="00D70F86" w:rsidRPr="007548B8" w:rsidRDefault="00D70F86" w:rsidP="00D70F86">
      <w:pPr>
        <w:pStyle w:val="ListParagraph"/>
        <w:numPr>
          <w:ilvl w:val="0"/>
          <w:numId w:val="1"/>
        </w:numPr>
        <w:rPr>
          <w:rFonts w:ascii="Arial" w:eastAsia="Times New Roman" w:hAnsi="Arial" w:cs="Arial"/>
          <w:b/>
          <w:bCs/>
          <w:sz w:val="18"/>
          <w:szCs w:val="18"/>
        </w:rPr>
      </w:pPr>
      <w:r w:rsidRPr="007548B8">
        <w:rPr>
          <w:rFonts w:ascii="Arial" w:eastAsia="Times New Roman" w:hAnsi="Arial" w:cs="Arial"/>
          <w:sz w:val="18"/>
          <w:szCs w:val="18"/>
        </w:rPr>
        <w:t>Trends calculated per year.</w:t>
      </w:r>
    </w:p>
    <w:p w14:paraId="698B79BA" w14:textId="77777777" w:rsidR="00D70F86" w:rsidRPr="007548B8" w:rsidRDefault="00D70F86" w:rsidP="00D70F86">
      <w:pPr>
        <w:pStyle w:val="ListParagraph"/>
        <w:numPr>
          <w:ilvl w:val="0"/>
          <w:numId w:val="1"/>
        </w:numPr>
        <w:rPr>
          <w:rFonts w:ascii="Arial" w:eastAsia="Times New Roman" w:hAnsi="Arial" w:cs="Arial"/>
          <w:b/>
          <w:bCs/>
          <w:sz w:val="18"/>
          <w:szCs w:val="18"/>
        </w:rPr>
      </w:pPr>
      <w:r w:rsidRPr="007548B8">
        <w:rPr>
          <w:rFonts w:ascii="Arial" w:eastAsia="Times New Roman" w:hAnsi="Arial" w:cs="Arial"/>
          <w:sz w:val="18"/>
          <w:szCs w:val="18"/>
        </w:rPr>
        <w:t>Absolute difference in opioid prescribing relative to benzodiazepine prescribing.</w:t>
      </w:r>
    </w:p>
    <w:p w14:paraId="26C9B980" w14:textId="77777777" w:rsidR="00D70F86" w:rsidRPr="007548B8" w:rsidRDefault="00D70F86" w:rsidP="00D70F86">
      <w:pPr>
        <w:pStyle w:val="ListParagraph"/>
        <w:numPr>
          <w:ilvl w:val="0"/>
          <w:numId w:val="1"/>
        </w:numPr>
        <w:rPr>
          <w:rFonts w:ascii="Arial" w:eastAsia="Times New Roman" w:hAnsi="Arial" w:cs="Arial"/>
          <w:b/>
          <w:bCs/>
          <w:sz w:val="18"/>
          <w:szCs w:val="18"/>
        </w:rPr>
      </w:pPr>
      <w:r w:rsidRPr="007548B8">
        <w:rPr>
          <w:rFonts w:ascii="Arial" w:eastAsia="Times New Roman" w:hAnsi="Arial" w:cs="Arial"/>
          <w:sz w:val="18"/>
          <w:szCs w:val="18"/>
        </w:rPr>
        <w:t>Change in trend in opioid prescribing relative to benzodiazepine prescribing.</w:t>
      </w:r>
    </w:p>
    <w:p w14:paraId="1E1508BC" w14:textId="3C44282C" w:rsidR="008A2ED9" w:rsidRDefault="008A2ED9">
      <w:pPr>
        <w:rPr>
          <w:rFonts w:ascii="Arial" w:hAnsi="Arial" w:cs="Arial"/>
        </w:rPr>
      </w:pPr>
      <w:r>
        <w:rPr>
          <w:rFonts w:ascii="Arial" w:hAnsi="Arial" w:cs="Arial"/>
        </w:rPr>
        <w:br w:type="page"/>
      </w:r>
    </w:p>
    <w:p w14:paraId="4FA00515" w14:textId="77777777" w:rsidR="00B24FCE" w:rsidRDefault="00B24FCE" w:rsidP="00C859B8">
      <w:pPr>
        <w:rPr>
          <w:rFonts w:ascii="Arial" w:hAnsi="Arial" w:cs="Arial"/>
          <w:b/>
          <w:bCs/>
        </w:rPr>
        <w:sectPr w:rsidR="00B24FCE" w:rsidSect="003434B1">
          <w:pgSz w:w="15840" w:h="12240" w:orient="landscape"/>
          <w:pgMar w:top="1440" w:right="1440" w:bottom="1440" w:left="1440" w:header="720" w:footer="720" w:gutter="0"/>
          <w:cols w:space="720"/>
          <w:docGrid w:linePitch="360"/>
        </w:sectPr>
      </w:pPr>
    </w:p>
    <w:p w14:paraId="24FC8260" w14:textId="7327BAB1" w:rsidR="00B03CCB" w:rsidRPr="00AC7263" w:rsidRDefault="00B03CCB" w:rsidP="00B03CCB">
      <w:pPr>
        <w:rPr>
          <w:rFonts w:ascii="Arial" w:hAnsi="Arial" w:cs="Arial"/>
          <w:b/>
          <w:bCs/>
        </w:rPr>
      </w:pPr>
      <w:r w:rsidRPr="00AC7263">
        <w:rPr>
          <w:rFonts w:ascii="Arial" w:hAnsi="Arial" w:cs="Arial"/>
          <w:b/>
          <w:bCs/>
        </w:rPr>
        <w:lastRenderedPageBreak/>
        <w:t xml:space="preserve">Supplementary Table 6. </w:t>
      </w:r>
      <w:r>
        <w:rPr>
          <w:rFonts w:ascii="Arial" w:hAnsi="Arial" w:cs="Arial"/>
          <w:b/>
          <w:bCs/>
        </w:rPr>
        <w:t>Final m</w:t>
      </w:r>
      <w:r w:rsidRPr="00AC7263">
        <w:rPr>
          <w:rFonts w:ascii="Arial" w:hAnsi="Arial" w:cs="Arial"/>
          <w:b/>
          <w:bCs/>
        </w:rPr>
        <w:t xml:space="preserve">odel </w:t>
      </w:r>
      <w:r>
        <w:rPr>
          <w:rFonts w:ascii="Arial" w:hAnsi="Arial" w:cs="Arial"/>
          <w:b/>
          <w:bCs/>
        </w:rPr>
        <w:t>A</w:t>
      </w:r>
      <w:r w:rsidRPr="00AC7263">
        <w:rPr>
          <w:rFonts w:ascii="Arial" w:hAnsi="Arial" w:cs="Arial"/>
          <w:b/>
          <w:bCs/>
        </w:rPr>
        <w:t>kaike Information Criterion</w:t>
      </w:r>
      <w:r w:rsidR="00B37449">
        <w:rPr>
          <w:rFonts w:ascii="Arial" w:hAnsi="Arial" w:cs="Arial"/>
          <w:b/>
          <w:bCs/>
        </w:rPr>
        <w:t xml:space="preserve"> (AIC)</w:t>
      </w:r>
      <w:r>
        <w:rPr>
          <w:rFonts w:ascii="Arial" w:hAnsi="Arial" w:cs="Arial"/>
          <w:b/>
          <w:bCs/>
        </w:rPr>
        <w:t xml:space="preserve"> </w:t>
      </w:r>
      <w:r w:rsidRPr="00AC7263">
        <w:rPr>
          <w:rFonts w:ascii="Arial" w:hAnsi="Arial" w:cs="Arial"/>
          <w:b/>
          <w:bCs/>
        </w:rPr>
        <w:t>results</w:t>
      </w:r>
    </w:p>
    <w:tbl>
      <w:tblPr>
        <w:tblStyle w:val="TableGrid"/>
        <w:tblW w:w="44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1890"/>
        <w:gridCol w:w="1711"/>
        <w:gridCol w:w="2073"/>
      </w:tblGrid>
      <w:tr w:rsidR="00B03CCB" w:rsidRPr="00CB24AB" w14:paraId="643A8DD4" w14:textId="77777777" w:rsidTr="00452E39">
        <w:tc>
          <w:tcPr>
            <w:tcW w:w="1575" w:type="pct"/>
            <w:tcBorders>
              <w:top w:val="single" w:sz="4" w:space="0" w:color="auto"/>
              <w:bottom w:val="single" w:sz="4" w:space="0" w:color="auto"/>
            </w:tcBorders>
            <w:vAlign w:val="center"/>
          </w:tcPr>
          <w:p w14:paraId="0622657C" w14:textId="77777777" w:rsidR="00B03CCB" w:rsidRPr="00CB24AB" w:rsidRDefault="00B03CCB" w:rsidP="00452E39">
            <w:pPr>
              <w:rPr>
                <w:rFonts w:ascii="Arial" w:hAnsi="Arial" w:cs="Arial"/>
                <w:b/>
                <w:bCs/>
                <w:sz w:val="20"/>
                <w:szCs w:val="20"/>
              </w:rPr>
            </w:pPr>
            <w:r>
              <w:rPr>
                <w:rFonts w:ascii="Arial" w:hAnsi="Arial" w:cs="Arial"/>
                <w:b/>
                <w:bCs/>
                <w:sz w:val="20"/>
                <w:szCs w:val="20"/>
              </w:rPr>
              <w:t>Final m</w:t>
            </w:r>
            <w:r w:rsidRPr="00CB24AB">
              <w:rPr>
                <w:rFonts w:ascii="Arial" w:hAnsi="Arial" w:cs="Arial"/>
                <w:b/>
                <w:bCs/>
                <w:sz w:val="20"/>
                <w:szCs w:val="20"/>
              </w:rPr>
              <w:t>odel</w:t>
            </w:r>
          </w:p>
        </w:tc>
        <w:tc>
          <w:tcPr>
            <w:tcW w:w="1141" w:type="pct"/>
            <w:tcBorders>
              <w:top w:val="single" w:sz="4" w:space="0" w:color="auto"/>
              <w:bottom w:val="single" w:sz="4" w:space="0" w:color="auto"/>
            </w:tcBorders>
            <w:vAlign w:val="center"/>
          </w:tcPr>
          <w:p w14:paraId="709BF9E5" w14:textId="77777777" w:rsidR="00B03CCB" w:rsidRPr="00CB24AB" w:rsidRDefault="00B03CCB" w:rsidP="00452E39">
            <w:pPr>
              <w:jc w:val="center"/>
              <w:rPr>
                <w:rFonts w:ascii="Arial" w:hAnsi="Arial" w:cs="Arial"/>
                <w:b/>
                <w:bCs/>
                <w:sz w:val="20"/>
                <w:szCs w:val="20"/>
              </w:rPr>
            </w:pPr>
            <w:r w:rsidRPr="00CB24AB">
              <w:rPr>
                <w:rFonts w:ascii="Arial" w:hAnsi="Arial" w:cs="Arial"/>
                <w:b/>
                <w:bCs/>
                <w:sz w:val="20"/>
                <w:szCs w:val="20"/>
              </w:rPr>
              <w:t>Single-series ITS</w:t>
            </w:r>
          </w:p>
          <w:p w14:paraId="2ACEBAB5" w14:textId="77777777" w:rsidR="00B03CCB" w:rsidRPr="00CB24AB" w:rsidRDefault="00B03CCB" w:rsidP="00452E39">
            <w:pPr>
              <w:jc w:val="center"/>
              <w:rPr>
                <w:rFonts w:ascii="Arial" w:hAnsi="Arial" w:cs="Arial"/>
                <w:b/>
                <w:bCs/>
                <w:sz w:val="20"/>
                <w:szCs w:val="20"/>
                <w:vertAlign w:val="superscript"/>
              </w:rPr>
            </w:pPr>
            <w:proofErr w:type="spellStart"/>
            <w:proofErr w:type="gramStart"/>
            <w:r w:rsidRPr="00CB24AB">
              <w:rPr>
                <w:rFonts w:ascii="Arial" w:hAnsi="Arial" w:cs="Arial"/>
                <w:b/>
                <w:bCs/>
                <w:sz w:val="20"/>
                <w:szCs w:val="20"/>
              </w:rPr>
              <w:t>AIC</w:t>
            </w:r>
            <w:r w:rsidRPr="00CB24AB">
              <w:rPr>
                <w:rFonts w:ascii="Arial" w:hAnsi="Arial" w:cs="Arial"/>
                <w:b/>
                <w:bCs/>
                <w:sz w:val="20"/>
                <w:szCs w:val="20"/>
                <w:vertAlign w:val="superscript"/>
              </w:rPr>
              <w:t>a,b</w:t>
            </w:r>
            <w:proofErr w:type="spellEnd"/>
            <w:proofErr w:type="gramEnd"/>
          </w:p>
        </w:tc>
        <w:tc>
          <w:tcPr>
            <w:tcW w:w="1033" w:type="pct"/>
            <w:tcBorders>
              <w:top w:val="single" w:sz="4" w:space="0" w:color="auto"/>
              <w:bottom w:val="single" w:sz="4" w:space="0" w:color="auto"/>
            </w:tcBorders>
            <w:vAlign w:val="center"/>
          </w:tcPr>
          <w:p w14:paraId="57DD769D" w14:textId="77777777" w:rsidR="00B03CCB" w:rsidRPr="00CB24AB" w:rsidRDefault="00B03CCB" w:rsidP="00452E39">
            <w:pPr>
              <w:jc w:val="center"/>
              <w:rPr>
                <w:rFonts w:ascii="Arial" w:hAnsi="Arial" w:cs="Arial"/>
                <w:b/>
                <w:bCs/>
                <w:sz w:val="20"/>
                <w:szCs w:val="20"/>
                <w:vertAlign w:val="superscript"/>
              </w:rPr>
            </w:pPr>
            <w:r w:rsidRPr="00CB24AB">
              <w:rPr>
                <w:rFonts w:ascii="Arial" w:hAnsi="Arial" w:cs="Arial"/>
                <w:b/>
                <w:bCs/>
                <w:sz w:val="20"/>
                <w:szCs w:val="20"/>
              </w:rPr>
              <w:t xml:space="preserve">Controlled ITS </w:t>
            </w:r>
            <w:proofErr w:type="spellStart"/>
            <w:proofErr w:type="gramStart"/>
            <w:r w:rsidRPr="00CB24AB">
              <w:rPr>
                <w:rFonts w:ascii="Arial" w:hAnsi="Arial" w:cs="Arial"/>
                <w:b/>
                <w:bCs/>
                <w:sz w:val="20"/>
                <w:szCs w:val="20"/>
              </w:rPr>
              <w:t>AIC</w:t>
            </w:r>
            <w:r w:rsidRPr="00CB24AB">
              <w:rPr>
                <w:rFonts w:ascii="Arial" w:hAnsi="Arial" w:cs="Arial"/>
                <w:b/>
                <w:bCs/>
                <w:sz w:val="20"/>
                <w:szCs w:val="20"/>
                <w:vertAlign w:val="superscript"/>
              </w:rPr>
              <w:t>b,c</w:t>
            </w:r>
            <w:proofErr w:type="spellEnd"/>
            <w:proofErr w:type="gramEnd"/>
          </w:p>
        </w:tc>
        <w:tc>
          <w:tcPr>
            <w:tcW w:w="1251" w:type="pct"/>
            <w:tcBorders>
              <w:top w:val="single" w:sz="4" w:space="0" w:color="auto"/>
              <w:bottom w:val="single" w:sz="4" w:space="0" w:color="auto"/>
            </w:tcBorders>
            <w:vAlign w:val="center"/>
          </w:tcPr>
          <w:p w14:paraId="661C3C1A" w14:textId="77777777" w:rsidR="00B03CCB" w:rsidRPr="00CB24AB" w:rsidRDefault="00B03CCB" w:rsidP="00452E39">
            <w:pPr>
              <w:jc w:val="center"/>
              <w:rPr>
                <w:rFonts w:ascii="Arial" w:hAnsi="Arial" w:cs="Arial"/>
                <w:b/>
                <w:bCs/>
                <w:sz w:val="20"/>
                <w:szCs w:val="20"/>
                <w:vertAlign w:val="superscript"/>
              </w:rPr>
            </w:pPr>
            <w:r w:rsidRPr="00CB24AB">
              <w:rPr>
                <w:rFonts w:ascii="Arial" w:hAnsi="Arial" w:cs="Arial"/>
                <w:b/>
                <w:bCs/>
                <w:sz w:val="20"/>
                <w:szCs w:val="20"/>
              </w:rPr>
              <w:t xml:space="preserve">Sensitivity analysis </w:t>
            </w:r>
            <w:proofErr w:type="spellStart"/>
            <w:proofErr w:type="gramStart"/>
            <w:r w:rsidRPr="00CB24AB">
              <w:rPr>
                <w:rFonts w:ascii="Arial" w:hAnsi="Arial" w:cs="Arial"/>
                <w:b/>
                <w:bCs/>
                <w:sz w:val="20"/>
                <w:szCs w:val="20"/>
              </w:rPr>
              <w:t>AIC</w:t>
            </w:r>
            <w:r w:rsidRPr="00CB24AB">
              <w:rPr>
                <w:rFonts w:ascii="Arial" w:hAnsi="Arial" w:cs="Arial"/>
                <w:b/>
                <w:bCs/>
                <w:sz w:val="20"/>
                <w:szCs w:val="20"/>
                <w:vertAlign w:val="superscript"/>
              </w:rPr>
              <w:t>b,c</w:t>
            </w:r>
            <w:proofErr w:type="spellEnd"/>
            <w:proofErr w:type="gramEnd"/>
          </w:p>
        </w:tc>
      </w:tr>
      <w:tr w:rsidR="00B03CCB" w:rsidRPr="00CB24AB" w14:paraId="780B6667" w14:textId="77777777" w:rsidTr="00452E39">
        <w:tc>
          <w:tcPr>
            <w:tcW w:w="1575" w:type="pct"/>
            <w:tcBorders>
              <w:top w:val="single" w:sz="4" w:space="0" w:color="auto"/>
            </w:tcBorders>
          </w:tcPr>
          <w:p w14:paraId="355FFCCC" w14:textId="77777777" w:rsidR="00B03CCB" w:rsidRPr="00CB24AB" w:rsidRDefault="00B03CCB" w:rsidP="0061339E">
            <w:pPr>
              <w:spacing w:before="120" w:after="120"/>
              <w:rPr>
                <w:rFonts w:ascii="Arial" w:hAnsi="Arial" w:cs="Arial"/>
                <w:b/>
                <w:bCs/>
                <w:sz w:val="20"/>
                <w:szCs w:val="20"/>
              </w:rPr>
            </w:pPr>
            <w:r w:rsidRPr="00CB24AB">
              <w:rPr>
                <w:rFonts w:ascii="Arial" w:hAnsi="Arial" w:cs="Arial"/>
                <w:b/>
                <w:bCs/>
                <w:sz w:val="20"/>
                <w:szCs w:val="20"/>
              </w:rPr>
              <w:t>Prescribing rate</w:t>
            </w:r>
          </w:p>
        </w:tc>
        <w:tc>
          <w:tcPr>
            <w:tcW w:w="1141" w:type="pct"/>
            <w:tcBorders>
              <w:top w:val="single" w:sz="4" w:space="0" w:color="auto"/>
            </w:tcBorders>
            <w:vAlign w:val="center"/>
          </w:tcPr>
          <w:p w14:paraId="3E71DE79" w14:textId="77777777" w:rsidR="00B03CCB" w:rsidRPr="00CB24AB" w:rsidRDefault="00B03CCB" w:rsidP="0061339E">
            <w:pPr>
              <w:spacing w:before="120"/>
              <w:jc w:val="center"/>
              <w:rPr>
                <w:rFonts w:ascii="Arial" w:hAnsi="Arial" w:cs="Arial"/>
                <w:sz w:val="20"/>
                <w:szCs w:val="20"/>
              </w:rPr>
            </w:pPr>
          </w:p>
        </w:tc>
        <w:tc>
          <w:tcPr>
            <w:tcW w:w="1033" w:type="pct"/>
            <w:tcBorders>
              <w:top w:val="single" w:sz="4" w:space="0" w:color="auto"/>
            </w:tcBorders>
            <w:vAlign w:val="center"/>
          </w:tcPr>
          <w:p w14:paraId="3170A2EC" w14:textId="77777777" w:rsidR="00B03CCB" w:rsidRPr="00CB24AB" w:rsidRDefault="00B03CCB" w:rsidP="0061339E">
            <w:pPr>
              <w:spacing w:before="120"/>
              <w:jc w:val="center"/>
              <w:rPr>
                <w:rFonts w:ascii="Arial" w:hAnsi="Arial" w:cs="Arial"/>
                <w:sz w:val="20"/>
                <w:szCs w:val="20"/>
              </w:rPr>
            </w:pPr>
          </w:p>
        </w:tc>
        <w:tc>
          <w:tcPr>
            <w:tcW w:w="1251" w:type="pct"/>
            <w:tcBorders>
              <w:top w:val="single" w:sz="4" w:space="0" w:color="auto"/>
            </w:tcBorders>
            <w:vAlign w:val="center"/>
          </w:tcPr>
          <w:p w14:paraId="4926FED7" w14:textId="77777777" w:rsidR="00B03CCB" w:rsidRPr="00CB24AB" w:rsidRDefault="00B03CCB" w:rsidP="0061339E">
            <w:pPr>
              <w:spacing w:before="120"/>
              <w:jc w:val="center"/>
              <w:rPr>
                <w:rFonts w:ascii="Arial" w:hAnsi="Arial" w:cs="Arial"/>
                <w:sz w:val="20"/>
                <w:szCs w:val="20"/>
              </w:rPr>
            </w:pPr>
          </w:p>
        </w:tc>
      </w:tr>
      <w:tr w:rsidR="00B03CCB" w:rsidRPr="00CB24AB" w14:paraId="255898EF" w14:textId="77777777" w:rsidTr="00452E39">
        <w:tc>
          <w:tcPr>
            <w:tcW w:w="1575" w:type="pct"/>
          </w:tcPr>
          <w:p w14:paraId="686477A0" w14:textId="77777777" w:rsidR="00B03CCB" w:rsidRPr="00CB24AB" w:rsidRDefault="00B03CCB" w:rsidP="00452E39">
            <w:pPr>
              <w:ind w:left="332"/>
              <w:rPr>
                <w:rFonts w:ascii="Arial" w:hAnsi="Arial" w:cs="Arial"/>
                <w:b/>
                <w:bCs/>
                <w:sz w:val="20"/>
                <w:szCs w:val="20"/>
              </w:rPr>
            </w:pPr>
            <w:r w:rsidRPr="00CB24AB">
              <w:rPr>
                <w:rFonts w:ascii="Arial" w:hAnsi="Arial" w:cs="Arial"/>
                <w:b/>
                <w:bCs/>
                <w:sz w:val="20"/>
                <w:szCs w:val="20"/>
              </w:rPr>
              <w:t>Overall</w:t>
            </w:r>
          </w:p>
        </w:tc>
        <w:tc>
          <w:tcPr>
            <w:tcW w:w="1141" w:type="pct"/>
            <w:vAlign w:val="center"/>
          </w:tcPr>
          <w:p w14:paraId="714E18DA" w14:textId="77777777" w:rsidR="00B03CCB" w:rsidRPr="00CB24AB" w:rsidRDefault="00B03CCB" w:rsidP="00452E39">
            <w:pPr>
              <w:jc w:val="center"/>
              <w:rPr>
                <w:rFonts w:ascii="Arial" w:hAnsi="Arial" w:cs="Arial"/>
                <w:sz w:val="20"/>
                <w:szCs w:val="20"/>
              </w:rPr>
            </w:pPr>
          </w:p>
        </w:tc>
        <w:tc>
          <w:tcPr>
            <w:tcW w:w="1033" w:type="pct"/>
            <w:vAlign w:val="center"/>
          </w:tcPr>
          <w:p w14:paraId="5C1C5A54" w14:textId="77777777" w:rsidR="00B03CCB" w:rsidRPr="00CB24AB" w:rsidRDefault="00B03CCB" w:rsidP="00452E39">
            <w:pPr>
              <w:jc w:val="center"/>
              <w:rPr>
                <w:rFonts w:ascii="Arial" w:hAnsi="Arial" w:cs="Arial"/>
                <w:sz w:val="20"/>
                <w:szCs w:val="20"/>
              </w:rPr>
            </w:pPr>
          </w:p>
        </w:tc>
        <w:tc>
          <w:tcPr>
            <w:tcW w:w="1251" w:type="pct"/>
            <w:vAlign w:val="center"/>
          </w:tcPr>
          <w:p w14:paraId="46C24186" w14:textId="77777777" w:rsidR="00B03CCB" w:rsidRPr="00CB24AB" w:rsidRDefault="00B03CCB" w:rsidP="00452E39">
            <w:pPr>
              <w:jc w:val="center"/>
              <w:rPr>
                <w:rFonts w:ascii="Arial" w:hAnsi="Arial" w:cs="Arial"/>
                <w:sz w:val="20"/>
                <w:szCs w:val="20"/>
              </w:rPr>
            </w:pPr>
          </w:p>
        </w:tc>
      </w:tr>
      <w:tr w:rsidR="00B03CCB" w:rsidRPr="00CB24AB" w14:paraId="2FB19363" w14:textId="77777777" w:rsidTr="00452E39">
        <w:tc>
          <w:tcPr>
            <w:tcW w:w="1575" w:type="pct"/>
          </w:tcPr>
          <w:p w14:paraId="52EFC7D7" w14:textId="77777777" w:rsidR="00B03CCB" w:rsidRPr="00CB24AB" w:rsidRDefault="00B03CCB" w:rsidP="00452E39">
            <w:pPr>
              <w:ind w:left="332"/>
              <w:rPr>
                <w:rFonts w:ascii="Arial" w:hAnsi="Arial" w:cs="Arial"/>
                <w:sz w:val="20"/>
                <w:szCs w:val="20"/>
              </w:rPr>
            </w:pPr>
            <w:r w:rsidRPr="00CB24AB">
              <w:rPr>
                <w:rFonts w:ascii="Arial" w:hAnsi="Arial" w:cs="Arial"/>
                <w:sz w:val="20"/>
                <w:szCs w:val="20"/>
              </w:rPr>
              <w:t>Postsurgical pain</w:t>
            </w:r>
          </w:p>
        </w:tc>
        <w:tc>
          <w:tcPr>
            <w:tcW w:w="1141" w:type="pct"/>
            <w:vAlign w:val="center"/>
          </w:tcPr>
          <w:p w14:paraId="53D253BA" w14:textId="77777777" w:rsidR="00B03CCB" w:rsidRPr="00CB24AB" w:rsidRDefault="00B03CCB" w:rsidP="00452E39">
            <w:pPr>
              <w:jc w:val="center"/>
              <w:rPr>
                <w:rFonts w:ascii="Arial" w:hAnsi="Arial" w:cs="Arial"/>
                <w:sz w:val="20"/>
                <w:szCs w:val="20"/>
              </w:rPr>
            </w:pPr>
            <w:r w:rsidRPr="001F0E95">
              <w:rPr>
                <w:rFonts w:ascii="Arial" w:hAnsi="Arial" w:cs="Arial"/>
                <w:sz w:val="20"/>
                <w:szCs w:val="20"/>
              </w:rPr>
              <w:t>319.8261</w:t>
            </w:r>
          </w:p>
        </w:tc>
        <w:tc>
          <w:tcPr>
            <w:tcW w:w="1033" w:type="pct"/>
            <w:vAlign w:val="center"/>
          </w:tcPr>
          <w:p w14:paraId="46E2F17E" w14:textId="77777777" w:rsidR="00B03CCB" w:rsidRPr="00CB24AB" w:rsidRDefault="00B03CCB" w:rsidP="00452E39">
            <w:pPr>
              <w:jc w:val="center"/>
              <w:rPr>
                <w:rFonts w:ascii="Arial" w:hAnsi="Arial" w:cs="Arial"/>
                <w:sz w:val="20"/>
                <w:szCs w:val="20"/>
              </w:rPr>
            </w:pPr>
            <w:r w:rsidRPr="00CB24AB">
              <w:rPr>
                <w:rFonts w:ascii="Arial" w:hAnsi="Arial" w:cs="Arial"/>
                <w:sz w:val="20"/>
                <w:szCs w:val="20"/>
              </w:rPr>
              <w:t>789.3577</w:t>
            </w:r>
          </w:p>
        </w:tc>
        <w:tc>
          <w:tcPr>
            <w:tcW w:w="1251" w:type="pct"/>
            <w:vAlign w:val="center"/>
          </w:tcPr>
          <w:p w14:paraId="0B575055" w14:textId="77777777" w:rsidR="00B03CCB" w:rsidRPr="00CB24AB" w:rsidRDefault="00B03CCB" w:rsidP="00452E39">
            <w:pPr>
              <w:jc w:val="center"/>
              <w:rPr>
                <w:rFonts w:ascii="Arial" w:hAnsi="Arial" w:cs="Arial"/>
                <w:sz w:val="20"/>
                <w:szCs w:val="20"/>
              </w:rPr>
            </w:pPr>
            <w:r>
              <w:rPr>
                <w:rFonts w:ascii="Arial" w:hAnsi="Arial" w:cs="Arial"/>
                <w:sz w:val="20"/>
                <w:szCs w:val="20"/>
              </w:rPr>
              <w:t>–</w:t>
            </w:r>
          </w:p>
        </w:tc>
      </w:tr>
      <w:tr w:rsidR="00B03CCB" w:rsidRPr="00CB24AB" w14:paraId="0D42FF7D" w14:textId="77777777" w:rsidTr="00452E39">
        <w:tc>
          <w:tcPr>
            <w:tcW w:w="1575" w:type="pct"/>
          </w:tcPr>
          <w:p w14:paraId="4A7013E2" w14:textId="77777777" w:rsidR="00B03CCB" w:rsidRPr="00CB24AB" w:rsidRDefault="00B03CCB" w:rsidP="00452E39">
            <w:pPr>
              <w:ind w:left="332"/>
              <w:rPr>
                <w:rFonts w:ascii="Arial" w:hAnsi="Arial" w:cs="Arial"/>
                <w:sz w:val="20"/>
                <w:szCs w:val="20"/>
              </w:rPr>
            </w:pPr>
            <w:r w:rsidRPr="00CB24AB">
              <w:rPr>
                <w:rFonts w:ascii="Arial" w:hAnsi="Arial" w:cs="Arial"/>
                <w:sz w:val="20"/>
                <w:szCs w:val="20"/>
              </w:rPr>
              <w:t>Acute pain</w:t>
            </w:r>
          </w:p>
        </w:tc>
        <w:tc>
          <w:tcPr>
            <w:tcW w:w="1141" w:type="pct"/>
            <w:vAlign w:val="center"/>
          </w:tcPr>
          <w:p w14:paraId="48B7938D" w14:textId="77777777" w:rsidR="00B03CCB" w:rsidRPr="00CB24AB" w:rsidRDefault="00B03CCB" w:rsidP="00452E39">
            <w:pPr>
              <w:jc w:val="center"/>
              <w:rPr>
                <w:rFonts w:ascii="Arial" w:hAnsi="Arial" w:cs="Arial"/>
                <w:sz w:val="20"/>
                <w:szCs w:val="20"/>
              </w:rPr>
            </w:pPr>
            <w:r w:rsidRPr="00BB3A0E">
              <w:rPr>
                <w:rFonts w:ascii="Arial" w:hAnsi="Arial" w:cs="Arial"/>
                <w:sz w:val="20"/>
                <w:szCs w:val="20"/>
              </w:rPr>
              <w:t>273.3665</w:t>
            </w:r>
          </w:p>
        </w:tc>
        <w:tc>
          <w:tcPr>
            <w:tcW w:w="1033" w:type="pct"/>
            <w:vAlign w:val="center"/>
          </w:tcPr>
          <w:p w14:paraId="45A468E1" w14:textId="77777777" w:rsidR="00B03CCB" w:rsidRPr="00CB24AB" w:rsidRDefault="00B03CCB" w:rsidP="00452E39">
            <w:pPr>
              <w:jc w:val="center"/>
              <w:rPr>
                <w:rFonts w:ascii="Arial" w:hAnsi="Arial" w:cs="Arial"/>
                <w:sz w:val="20"/>
                <w:szCs w:val="20"/>
              </w:rPr>
            </w:pPr>
            <w:r w:rsidRPr="00CB24AB">
              <w:rPr>
                <w:rFonts w:ascii="Arial" w:hAnsi="Arial" w:cs="Arial"/>
                <w:sz w:val="20"/>
                <w:szCs w:val="20"/>
              </w:rPr>
              <w:t>753.1439</w:t>
            </w:r>
          </w:p>
        </w:tc>
        <w:tc>
          <w:tcPr>
            <w:tcW w:w="1251" w:type="pct"/>
          </w:tcPr>
          <w:p w14:paraId="4F5865B7" w14:textId="77777777" w:rsidR="00B03CCB" w:rsidRPr="00CB24AB" w:rsidRDefault="00B03CCB" w:rsidP="00452E39">
            <w:pPr>
              <w:jc w:val="center"/>
              <w:rPr>
                <w:rFonts w:ascii="Arial" w:hAnsi="Arial" w:cs="Arial"/>
                <w:sz w:val="20"/>
                <w:szCs w:val="20"/>
              </w:rPr>
            </w:pPr>
            <w:r w:rsidRPr="000F203C">
              <w:rPr>
                <w:rFonts w:ascii="Arial" w:hAnsi="Arial" w:cs="Arial"/>
                <w:sz w:val="20"/>
                <w:szCs w:val="20"/>
              </w:rPr>
              <w:t>–</w:t>
            </w:r>
          </w:p>
        </w:tc>
      </w:tr>
      <w:tr w:rsidR="00B03CCB" w:rsidRPr="00CB24AB" w14:paraId="1141A0BA" w14:textId="77777777" w:rsidTr="00452E39">
        <w:tc>
          <w:tcPr>
            <w:tcW w:w="1575" w:type="pct"/>
          </w:tcPr>
          <w:p w14:paraId="5E50285D" w14:textId="77777777" w:rsidR="00B03CCB" w:rsidRPr="00CB24AB" w:rsidRDefault="00B03CCB" w:rsidP="00452E39">
            <w:pPr>
              <w:ind w:left="332"/>
              <w:rPr>
                <w:rFonts w:ascii="Arial" w:hAnsi="Arial" w:cs="Arial"/>
                <w:sz w:val="20"/>
                <w:szCs w:val="20"/>
              </w:rPr>
            </w:pPr>
            <w:r w:rsidRPr="00CB24AB">
              <w:rPr>
                <w:rFonts w:ascii="Arial" w:hAnsi="Arial" w:cs="Arial"/>
                <w:sz w:val="20"/>
                <w:szCs w:val="20"/>
              </w:rPr>
              <w:t>Chronic pain</w:t>
            </w:r>
          </w:p>
        </w:tc>
        <w:tc>
          <w:tcPr>
            <w:tcW w:w="1141" w:type="pct"/>
            <w:vAlign w:val="center"/>
          </w:tcPr>
          <w:p w14:paraId="44295C57" w14:textId="77777777" w:rsidR="00B03CCB" w:rsidRPr="00CB24AB" w:rsidRDefault="00B03CCB" w:rsidP="00452E39">
            <w:pPr>
              <w:jc w:val="center"/>
              <w:rPr>
                <w:rFonts w:ascii="Arial" w:hAnsi="Arial" w:cs="Arial"/>
                <w:sz w:val="20"/>
                <w:szCs w:val="20"/>
              </w:rPr>
            </w:pPr>
            <w:r w:rsidRPr="00CD1523">
              <w:rPr>
                <w:rFonts w:ascii="Arial" w:hAnsi="Arial" w:cs="Arial"/>
                <w:sz w:val="20"/>
                <w:szCs w:val="20"/>
              </w:rPr>
              <w:t>296.9805</w:t>
            </w:r>
          </w:p>
        </w:tc>
        <w:tc>
          <w:tcPr>
            <w:tcW w:w="1033" w:type="pct"/>
            <w:vAlign w:val="center"/>
          </w:tcPr>
          <w:p w14:paraId="01C8464F" w14:textId="77777777" w:rsidR="00B03CCB" w:rsidRPr="00CB24AB" w:rsidRDefault="00B03CCB" w:rsidP="00452E39">
            <w:pPr>
              <w:jc w:val="center"/>
              <w:rPr>
                <w:rFonts w:ascii="Arial" w:hAnsi="Arial" w:cs="Arial"/>
                <w:sz w:val="20"/>
                <w:szCs w:val="20"/>
              </w:rPr>
            </w:pPr>
            <w:r w:rsidRPr="00CB24AB">
              <w:rPr>
                <w:rFonts w:ascii="Arial" w:hAnsi="Arial" w:cs="Arial"/>
                <w:sz w:val="20"/>
                <w:szCs w:val="20"/>
              </w:rPr>
              <w:t>727.9079</w:t>
            </w:r>
          </w:p>
        </w:tc>
        <w:tc>
          <w:tcPr>
            <w:tcW w:w="1251" w:type="pct"/>
          </w:tcPr>
          <w:p w14:paraId="7B3DE9DC" w14:textId="77777777" w:rsidR="00B03CCB" w:rsidRPr="00CB24AB" w:rsidRDefault="00B03CCB" w:rsidP="00452E39">
            <w:pPr>
              <w:jc w:val="center"/>
              <w:rPr>
                <w:rFonts w:ascii="Arial" w:hAnsi="Arial" w:cs="Arial"/>
                <w:sz w:val="20"/>
                <w:szCs w:val="20"/>
              </w:rPr>
            </w:pPr>
            <w:r w:rsidRPr="000F203C">
              <w:rPr>
                <w:rFonts w:ascii="Arial" w:hAnsi="Arial" w:cs="Arial"/>
                <w:sz w:val="20"/>
                <w:szCs w:val="20"/>
              </w:rPr>
              <w:t>–</w:t>
            </w:r>
          </w:p>
        </w:tc>
      </w:tr>
      <w:tr w:rsidR="00B03CCB" w:rsidRPr="00CB24AB" w14:paraId="784CBD6B" w14:textId="77777777" w:rsidTr="00452E39">
        <w:trPr>
          <w:trHeight w:val="20"/>
        </w:trPr>
        <w:tc>
          <w:tcPr>
            <w:tcW w:w="1575" w:type="pct"/>
          </w:tcPr>
          <w:p w14:paraId="1DBFB718" w14:textId="77777777" w:rsidR="00B03CCB" w:rsidRPr="00F00F66" w:rsidRDefault="00B03CCB" w:rsidP="00452E39">
            <w:pPr>
              <w:ind w:left="332"/>
              <w:rPr>
                <w:rFonts w:ascii="Arial" w:hAnsi="Arial" w:cs="Arial"/>
                <w:sz w:val="10"/>
                <w:szCs w:val="10"/>
              </w:rPr>
            </w:pPr>
          </w:p>
        </w:tc>
        <w:tc>
          <w:tcPr>
            <w:tcW w:w="1141" w:type="pct"/>
            <w:vAlign w:val="center"/>
          </w:tcPr>
          <w:p w14:paraId="5EDFDE0C" w14:textId="77777777" w:rsidR="00B03CCB" w:rsidRPr="00F00F66" w:rsidRDefault="00B03CCB" w:rsidP="00452E39">
            <w:pPr>
              <w:jc w:val="center"/>
              <w:rPr>
                <w:rFonts w:ascii="Arial" w:hAnsi="Arial" w:cs="Arial"/>
                <w:sz w:val="10"/>
                <w:szCs w:val="10"/>
              </w:rPr>
            </w:pPr>
          </w:p>
        </w:tc>
        <w:tc>
          <w:tcPr>
            <w:tcW w:w="1033" w:type="pct"/>
            <w:vAlign w:val="center"/>
          </w:tcPr>
          <w:p w14:paraId="4D565364" w14:textId="77777777" w:rsidR="00B03CCB" w:rsidRPr="00F00F66" w:rsidRDefault="00B03CCB" w:rsidP="00452E39">
            <w:pPr>
              <w:jc w:val="center"/>
              <w:rPr>
                <w:rFonts w:ascii="Arial" w:hAnsi="Arial" w:cs="Arial"/>
                <w:sz w:val="10"/>
                <w:szCs w:val="10"/>
              </w:rPr>
            </w:pPr>
          </w:p>
        </w:tc>
        <w:tc>
          <w:tcPr>
            <w:tcW w:w="1251" w:type="pct"/>
            <w:vAlign w:val="center"/>
          </w:tcPr>
          <w:p w14:paraId="03CA05CA" w14:textId="77777777" w:rsidR="00B03CCB" w:rsidRPr="00F00F66" w:rsidRDefault="00B03CCB" w:rsidP="00452E39">
            <w:pPr>
              <w:jc w:val="center"/>
              <w:rPr>
                <w:rFonts w:ascii="Arial" w:hAnsi="Arial" w:cs="Arial"/>
                <w:sz w:val="10"/>
                <w:szCs w:val="10"/>
              </w:rPr>
            </w:pPr>
          </w:p>
        </w:tc>
      </w:tr>
      <w:tr w:rsidR="00B03CCB" w:rsidRPr="00CB24AB" w14:paraId="3DE90335" w14:textId="77777777" w:rsidTr="00452E39">
        <w:tc>
          <w:tcPr>
            <w:tcW w:w="1575" w:type="pct"/>
          </w:tcPr>
          <w:p w14:paraId="330BA410" w14:textId="77777777" w:rsidR="00B03CCB" w:rsidRPr="00CB24AB" w:rsidRDefault="00B03CCB" w:rsidP="00452E39">
            <w:pPr>
              <w:ind w:left="332"/>
              <w:rPr>
                <w:rFonts w:ascii="Arial" w:hAnsi="Arial" w:cs="Arial"/>
                <w:b/>
                <w:bCs/>
                <w:sz w:val="20"/>
                <w:szCs w:val="20"/>
              </w:rPr>
            </w:pPr>
            <w:r w:rsidRPr="00CB24AB">
              <w:rPr>
                <w:rFonts w:ascii="Arial" w:hAnsi="Arial" w:cs="Arial"/>
                <w:b/>
                <w:bCs/>
                <w:sz w:val="20"/>
                <w:szCs w:val="20"/>
              </w:rPr>
              <w:t>History of cancer</w:t>
            </w:r>
          </w:p>
        </w:tc>
        <w:tc>
          <w:tcPr>
            <w:tcW w:w="1141" w:type="pct"/>
            <w:vAlign w:val="center"/>
          </w:tcPr>
          <w:p w14:paraId="60A1CCC2" w14:textId="77777777" w:rsidR="00B03CCB" w:rsidRPr="00CB24AB" w:rsidRDefault="00B03CCB" w:rsidP="00452E39">
            <w:pPr>
              <w:jc w:val="center"/>
              <w:rPr>
                <w:rFonts w:ascii="Arial" w:hAnsi="Arial" w:cs="Arial"/>
                <w:sz w:val="20"/>
                <w:szCs w:val="20"/>
              </w:rPr>
            </w:pPr>
          </w:p>
        </w:tc>
        <w:tc>
          <w:tcPr>
            <w:tcW w:w="1033" w:type="pct"/>
            <w:vAlign w:val="center"/>
          </w:tcPr>
          <w:p w14:paraId="3A390B3D" w14:textId="77777777" w:rsidR="00B03CCB" w:rsidRPr="00CB24AB" w:rsidRDefault="00B03CCB" w:rsidP="00452E39">
            <w:pPr>
              <w:jc w:val="center"/>
              <w:rPr>
                <w:rFonts w:ascii="Arial" w:hAnsi="Arial" w:cs="Arial"/>
                <w:sz w:val="20"/>
                <w:szCs w:val="20"/>
              </w:rPr>
            </w:pPr>
          </w:p>
        </w:tc>
        <w:tc>
          <w:tcPr>
            <w:tcW w:w="1251" w:type="pct"/>
            <w:vAlign w:val="center"/>
          </w:tcPr>
          <w:p w14:paraId="3970F80E" w14:textId="77777777" w:rsidR="00B03CCB" w:rsidRPr="00CB24AB" w:rsidRDefault="00B03CCB" w:rsidP="00452E39">
            <w:pPr>
              <w:jc w:val="center"/>
              <w:rPr>
                <w:rFonts w:ascii="Arial" w:hAnsi="Arial" w:cs="Arial"/>
                <w:sz w:val="20"/>
                <w:szCs w:val="20"/>
              </w:rPr>
            </w:pPr>
          </w:p>
        </w:tc>
      </w:tr>
      <w:tr w:rsidR="00B03CCB" w:rsidRPr="00CB24AB" w14:paraId="4B12330D" w14:textId="77777777" w:rsidTr="00452E39">
        <w:tc>
          <w:tcPr>
            <w:tcW w:w="1575" w:type="pct"/>
          </w:tcPr>
          <w:p w14:paraId="2F2CE517" w14:textId="77777777" w:rsidR="00B03CCB" w:rsidRPr="00CB24AB" w:rsidRDefault="00B03CCB" w:rsidP="00452E39">
            <w:pPr>
              <w:ind w:left="332"/>
              <w:rPr>
                <w:rFonts w:ascii="Arial" w:hAnsi="Arial" w:cs="Arial"/>
                <w:sz w:val="20"/>
                <w:szCs w:val="20"/>
              </w:rPr>
            </w:pPr>
            <w:r w:rsidRPr="00CB24AB">
              <w:rPr>
                <w:rFonts w:ascii="Arial" w:hAnsi="Arial" w:cs="Arial"/>
                <w:sz w:val="20"/>
                <w:szCs w:val="20"/>
              </w:rPr>
              <w:t>Postsurgical pain</w:t>
            </w:r>
          </w:p>
        </w:tc>
        <w:tc>
          <w:tcPr>
            <w:tcW w:w="1141" w:type="pct"/>
            <w:vAlign w:val="center"/>
          </w:tcPr>
          <w:p w14:paraId="685D7F37" w14:textId="77777777" w:rsidR="00B03CCB" w:rsidRPr="00CB24AB" w:rsidRDefault="00B03CCB" w:rsidP="00452E39">
            <w:pPr>
              <w:jc w:val="center"/>
              <w:rPr>
                <w:rFonts w:ascii="Arial" w:hAnsi="Arial" w:cs="Arial"/>
                <w:sz w:val="20"/>
                <w:szCs w:val="20"/>
              </w:rPr>
            </w:pPr>
            <w:r w:rsidRPr="001F0E95">
              <w:rPr>
                <w:rFonts w:ascii="Arial" w:hAnsi="Arial" w:cs="Arial"/>
                <w:sz w:val="20"/>
                <w:szCs w:val="20"/>
              </w:rPr>
              <w:t>592.9414</w:t>
            </w:r>
          </w:p>
        </w:tc>
        <w:tc>
          <w:tcPr>
            <w:tcW w:w="1033" w:type="pct"/>
            <w:vAlign w:val="center"/>
          </w:tcPr>
          <w:p w14:paraId="65E65558" w14:textId="77777777" w:rsidR="00B03CCB" w:rsidRPr="00CB24AB" w:rsidRDefault="00B03CCB" w:rsidP="00452E39">
            <w:pPr>
              <w:jc w:val="center"/>
              <w:rPr>
                <w:rFonts w:ascii="Arial" w:hAnsi="Arial" w:cs="Arial"/>
                <w:sz w:val="20"/>
                <w:szCs w:val="20"/>
              </w:rPr>
            </w:pPr>
            <w:r w:rsidRPr="00CB24AB">
              <w:rPr>
                <w:rFonts w:ascii="Arial" w:hAnsi="Arial" w:cs="Arial"/>
                <w:sz w:val="20"/>
                <w:szCs w:val="20"/>
              </w:rPr>
              <w:t>1114.644</w:t>
            </w:r>
          </w:p>
        </w:tc>
        <w:tc>
          <w:tcPr>
            <w:tcW w:w="1251" w:type="pct"/>
          </w:tcPr>
          <w:p w14:paraId="5064EE2E" w14:textId="77777777" w:rsidR="00B03CCB" w:rsidRPr="00CB24AB" w:rsidRDefault="00B03CCB" w:rsidP="00452E39">
            <w:pPr>
              <w:jc w:val="center"/>
              <w:rPr>
                <w:rFonts w:ascii="Arial" w:hAnsi="Arial" w:cs="Arial"/>
                <w:sz w:val="20"/>
                <w:szCs w:val="20"/>
              </w:rPr>
            </w:pPr>
            <w:r w:rsidRPr="002176F7">
              <w:rPr>
                <w:rFonts w:ascii="Arial" w:hAnsi="Arial" w:cs="Arial"/>
                <w:sz w:val="20"/>
                <w:szCs w:val="20"/>
              </w:rPr>
              <w:t>–</w:t>
            </w:r>
          </w:p>
        </w:tc>
      </w:tr>
      <w:tr w:rsidR="00B03CCB" w:rsidRPr="00CB24AB" w14:paraId="18A6ED6A" w14:textId="77777777" w:rsidTr="00452E39">
        <w:tc>
          <w:tcPr>
            <w:tcW w:w="1575" w:type="pct"/>
          </w:tcPr>
          <w:p w14:paraId="143D597C" w14:textId="77777777" w:rsidR="00B03CCB" w:rsidRPr="00CB24AB" w:rsidRDefault="00B03CCB" w:rsidP="00452E39">
            <w:pPr>
              <w:ind w:left="332"/>
              <w:rPr>
                <w:rFonts w:ascii="Arial" w:hAnsi="Arial" w:cs="Arial"/>
                <w:sz w:val="20"/>
                <w:szCs w:val="20"/>
              </w:rPr>
            </w:pPr>
            <w:r w:rsidRPr="00CB24AB">
              <w:rPr>
                <w:rFonts w:ascii="Arial" w:hAnsi="Arial" w:cs="Arial"/>
                <w:sz w:val="20"/>
                <w:szCs w:val="20"/>
              </w:rPr>
              <w:t>Acute pain</w:t>
            </w:r>
          </w:p>
        </w:tc>
        <w:tc>
          <w:tcPr>
            <w:tcW w:w="1141" w:type="pct"/>
            <w:vAlign w:val="center"/>
          </w:tcPr>
          <w:p w14:paraId="109EA2C5" w14:textId="77777777" w:rsidR="00B03CCB" w:rsidRPr="00CB24AB" w:rsidRDefault="00B03CCB" w:rsidP="00452E39">
            <w:pPr>
              <w:jc w:val="center"/>
              <w:rPr>
                <w:rFonts w:ascii="Arial" w:hAnsi="Arial" w:cs="Arial"/>
                <w:sz w:val="20"/>
                <w:szCs w:val="20"/>
              </w:rPr>
            </w:pPr>
            <w:r w:rsidRPr="001F0E95">
              <w:rPr>
                <w:rFonts w:ascii="Arial" w:hAnsi="Arial" w:cs="Arial"/>
                <w:sz w:val="20"/>
                <w:szCs w:val="20"/>
              </w:rPr>
              <w:t>510.6515</w:t>
            </w:r>
          </w:p>
        </w:tc>
        <w:tc>
          <w:tcPr>
            <w:tcW w:w="1033" w:type="pct"/>
            <w:vAlign w:val="center"/>
          </w:tcPr>
          <w:p w14:paraId="30D7264D" w14:textId="77777777" w:rsidR="00B03CCB" w:rsidRPr="00CB24AB" w:rsidRDefault="00B03CCB" w:rsidP="00452E39">
            <w:pPr>
              <w:jc w:val="center"/>
              <w:rPr>
                <w:rFonts w:ascii="Arial" w:hAnsi="Arial" w:cs="Arial"/>
                <w:sz w:val="20"/>
                <w:szCs w:val="20"/>
              </w:rPr>
            </w:pPr>
            <w:r w:rsidRPr="00CB24AB">
              <w:rPr>
                <w:rFonts w:ascii="Arial" w:hAnsi="Arial" w:cs="Arial"/>
                <w:sz w:val="20"/>
                <w:szCs w:val="20"/>
              </w:rPr>
              <w:t>966.0117</w:t>
            </w:r>
          </w:p>
        </w:tc>
        <w:tc>
          <w:tcPr>
            <w:tcW w:w="1251" w:type="pct"/>
          </w:tcPr>
          <w:p w14:paraId="48E51D6E" w14:textId="77777777" w:rsidR="00B03CCB" w:rsidRPr="00CB24AB" w:rsidRDefault="00B03CCB" w:rsidP="00452E39">
            <w:pPr>
              <w:jc w:val="center"/>
              <w:rPr>
                <w:rFonts w:ascii="Arial" w:hAnsi="Arial" w:cs="Arial"/>
                <w:sz w:val="20"/>
                <w:szCs w:val="20"/>
              </w:rPr>
            </w:pPr>
            <w:r w:rsidRPr="002176F7">
              <w:rPr>
                <w:rFonts w:ascii="Arial" w:hAnsi="Arial" w:cs="Arial"/>
                <w:sz w:val="20"/>
                <w:szCs w:val="20"/>
              </w:rPr>
              <w:t>–</w:t>
            </w:r>
          </w:p>
        </w:tc>
      </w:tr>
      <w:tr w:rsidR="00B03CCB" w:rsidRPr="00CB24AB" w14:paraId="5DB1BBB2" w14:textId="77777777" w:rsidTr="00452E39">
        <w:tc>
          <w:tcPr>
            <w:tcW w:w="1575" w:type="pct"/>
          </w:tcPr>
          <w:p w14:paraId="56EEB6ED" w14:textId="77777777" w:rsidR="00B03CCB" w:rsidRPr="00CB24AB" w:rsidRDefault="00B03CCB" w:rsidP="00452E39">
            <w:pPr>
              <w:ind w:left="332"/>
              <w:rPr>
                <w:rFonts w:ascii="Arial" w:hAnsi="Arial" w:cs="Arial"/>
                <w:sz w:val="20"/>
                <w:szCs w:val="20"/>
              </w:rPr>
            </w:pPr>
            <w:r w:rsidRPr="00CB24AB">
              <w:rPr>
                <w:rFonts w:ascii="Arial" w:hAnsi="Arial" w:cs="Arial"/>
                <w:sz w:val="20"/>
                <w:szCs w:val="20"/>
              </w:rPr>
              <w:t>Chronic pain</w:t>
            </w:r>
          </w:p>
        </w:tc>
        <w:tc>
          <w:tcPr>
            <w:tcW w:w="1141" w:type="pct"/>
            <w:vAlign w:val="center"/>
          </w:tcPr>
          <w:p w14:paraId="1EEC7D83" w14:textId="77777777" w:rsidR="00B03CCB" w:rsidRPr="00CB24AB" w:rsidRDefault="00B03CCB" w:rsidP="00452E39">
            <w:pPr>
              <w:jc w:val="center"/>
              <w:rPr>
                <w:rFonts w:ascii="Arial" w:hAnsi="Arial" w:cs="Arial"/>
                <w:sz w:val="20"/>
                <w:szCs w:val="20"/>
              </w:rPr>
            </w:pPr>
            <w:r w:rsidRPr="001F0E95">
              <w:rPr>
                <w:rFonts w:ascii="Arial" w:hAnsi="Arial" w:cs="Arial"/>
                <w:sz w:val="20"/>
                <w:szCs w:val="20"/>
              </w:rPr>
              <w:t>521.5854</w:t>
            </w:r>
          </w:p>
        </w:tc>
        <w:tc>
          <w:tcPr>
            <w:tcW w:w="1033" w:type="pct"/>
            <w:vAlign w:val="center"/>
          </w:tcPr>
          <w:p w14:paraId="7197D524" w14:textId="77777777" w:rsidR="00B03CCB" w:rsidRPr="00CB24AB" w:rsidRDefault="00B03CCB" w:rsidP="00452E39">
            <w:pPr>
              <w:jc w:val="center"/>
              <w:rPr>
                <w:rFonts w:ascii="Arial" w:hAnsi="Arial" w:cs="Arial"/>
                <w:sz w:val="20"/>
                <w:szCs w:val="20"/>
              </w:rPr>
            </w:pPr>
            <w:r w:rsidRPr="00CB24AB">
              <w:rPr>
                <w:rFonts w:ascii="Arial" w:hAnsi="Arial" w:cs="Arial"/>
                <w:sz w:val="20"/>
                <w:szCs w:val="20"/>
              </w:rPr>
              <w:t>958.3704</w:t>
            </w:r>
          </w:p>
        </w:tc>
        <w:tc>
          <w:tcPr>
            <w:tcW w:w="1251" w:type="pct"/>
          </w:tcPr>
          <w:p w14:paraId="68D8BC03" w14:textId="77777777" w:rsidR="00B03CCB" w:rsidRPr="00CB24AB" w:rsidRDefault="00B03CCB" w:rsidP="00452E39">
            <w:pPr>
              <w:jc w:val="center"/>
              <w:rPr>
                <w:rFonts w:ascii="Arial" w:hAnsi="Arial" w:cs="Arial"/>
                <w:sz w:val="20"/>
                <w:szCs w:val="20"/>
              </w:rPr>
            </w:pPr>
            <w:r w:rsidRPr="002176F7">
              <w:rPr>
                <w:rFonts w:ascii="Arial" w:hAnsi="Arial" w:cs="Arial"/>
                <w:sz w:val="20"/>
                <w:szCs w:val="20"/>
              </w:rPr>
              <w:t>–</w:t>
            </w:r>
          </w:p>
        </w:tc>
      </w:tr>
      <w:tr w:rsidR="00B03CCB" w:rsidRPr="00CB24AB" w14:paraId="203295EE" w14:textId="77777777" w:rsidTr="00452E39">
        <w:tc>
          <w:tcPr>
            <w:tcW w:w="1575" w:type="pct"/>
          </w:tcPr>
          <w:p w14:paraId="067A7821" w14:textId="77777777" w:rsidR="00B03CCB" w:rsidRPr="00F00F66" w:rsidRDefault="00B03CCB" w:rsidP="00452E39">
            <w:pPr>
              <w:ind w:left="332"/>
              <w:rPr>
                <w:rFonts w:ascii="Arial" w:hAnsi="Arial" w:cs="Arial"/>
                <w:sz w:val="10"/>
                <w:szCs w:val="10"/>
              </w:rPr>
            </w:pPr>
          </w:p>
        </w:tc>
        <w:tc>
          <w:tcPr>
            <w:tcW w:w="1141" w:type="pct"/>
            <w:vAlign w:val="center"/>
          </w:tcPr>
          <w:p w14:paraId="235F4303" w14:textId="77777777" w:rsidR="00B03CCB" w:rsidRPr="00F00F66" w:rsidRDefault="00B03CCB" w:rsidP="00452E39">
            <w:pPr>
              <w:jc w:val="center"/>
              <w:rPr>
                <w:rFonts w:ascii="Arial" w:hAnsi="Arial" w:cs="Arial"/>
                <w:sz w:val="10"/>
                <w:szCs w:val="10"/>
              </w:rPr>
            </w:pPr>
          </w:p>
        </w:tc>
        <w:tc>
          <w:tcPr>
            <w:tcW w:w="1033" w:type="pct"/>
            <w:vAlign w:val="center"/>
          </w:tcPr>
          <w:p w14:paraId="189A8656" w14:textId="77777777" w:rsidR="00B03CCB" w:rsidRPr="00F00F66" w:rsidRDefault="00B03CCB" w:rsidP="00452E39">
            <w:pPr>
              <w:jc w:val="center"/>
              <w:rPr>
                <w:rFonts w:ascii="Arial" w:hAnsi="Arial" w:cs="Arial"/>
                <w:sz w:val="10"/>
                <w:szCs w:val="10"/>
              </w:rPr>
            </w:pPr>
          </w:p>
        </w:tc>
        <w:tc>
          <w:tcPr>
            <w:tcW w:w="1251" w:type="pct"/>
            <w:vAlign w:val="center"/>
          </w:tcPr>
          <w:p w14:paraId="7B204637" w14:textId="77777777" w:rsidR="00B03CCB" w:rsidRPr="00F00F66" w:rsidRDefault="00B03CCB" w:rsidP="00452E39">
            <w:pPr>
              <w:jc w:val="center"/>
              <w:rPr>
                <w:rFonts w:ascii="Arial" w:hAnsi="Arial" w:cs="Arial"/>
                <w:sz w:val="10"/>
                <w:szCs w:val="10"/>
              </w:rPr>
            </w:pPr>
          </w:p>
        </w:tc>
      </w:tr>
      <w:tr w:rsidR="00B03CCB" w:rsidRPr="00CB24AB" w14:paraId="684ACFE9" w14:textId="77777777" w:rsidTr="00452E39">
        <w:tc>
          <w:tcPr>
            <w:tcW w:w="1575" w:type="pct"/>
          </w:tcPr>
          <w:p w14:paraId="4FAE9F4E" w14:textId="77777777" w:rsidR="00B03CCB" w:rsidRPr="00CB24AB" w:rsidRDefault="00B03CCB" w:rsidP="00452E39">
            <w:pPr>
              <w:ind w:left="332"/>
              <w:rPr>
                <w:rFonts w:ascii="Arial" w:hAnsi="Arial" w:cs="Arial"/>
                <w:b/>
                <w:bCs/>
                <w:sz w:val="20"/>
                <w:szCs w:val="20"/>
              </w:rPr>
            </w:pPr>
            <w:r w:rsidRPr="00CB24AB">
              <w:rPr>
                <w:rFonts w:ascii="Arial" w:hAnsi="Arial" w:cs="Arial"/>
                <w:b/>
                <w:bCs/>
                <w:sz w:val="20"/>
                <w:szCs w:val="20"/>
              </w:rPr>
              <w:t>No history of cancer</w:t>
            </w:r>
          </w:p>
        </w:tc>
        <w:tc>
          <w:tcPr>
            <w:tcW w:w="1141" w:type="pct"/>
            <w:vAlign w:val="center"/>
          </w:tcPr>
          <w:p w14:paraId="792256FD" w14:textId="77777777" w:rsidR="00B03CCB" w:rsidRPr="00CB24AB" w:rsidRDefault="00B03CCB" w:rsidP="00452E39">
            <w:pPr>
              <w:jc w:val="center"/>
              <w:rPr>
                <w:rFonts w:ascii="Arial" w:hAnsi="Arial" w:cs="Arial"/>
                <w:sz w:val="20"/>
                <w:szCs w:val="20"/>
              </w:rPr>
            </w:pPr>
          </w:p>
        </w:tc>
        <w:tc>
          <w:tcPr>
            <w:tcW w:w="1033" w:type="pct"/>
            <w:vAlign w:val="center"/>
          </w:tcPr>
          <w:p w14:paraId="35701814" w14:textId="77777777" w:rsidR="00B03CCB" w:rsidRPr="00CB24AB" w:rsidRDefault="00B03CCB" w:rsidP="00452E39">
            <w:pPr>
              <w:jc w:val="center"/>
              <w:rPr>
                <w:rFonts w:ascii="Arial" w:hAnsi="Arial" w:cs="Arial"/>
                <w:sz w:val="20"/>
                <w:szCs w:val="20"/>
              </w:rPr>
            </w:pPr>
          </w:p>
        </w:tc>
        <w:tc>
          <w:tcPr>
            <w:tcW w:w="1251" w:type="pct"/>
            <w:vAlign w:val="center"/>
          </w:tcPr>
          <w:p w14:paraId="28588DF6" w14:textId="77777777" w:rsidR="00B03CCB" w:rsidRPr="00CB24AB" w:rsidRDefault="00B03CCB" w:rsidP="00452E39">
            <w:pPr>
              <w:jc w:val="center"/>
              <w:rPr>
                <w:rFonts w:ascii="Arial" w:hAnsi="Arial" w:cs="Arial"/>
                <w:sz w:val="20"/>
                <w:szCs w:val="20"/>
              </w:rPr>
            </w:pPr>
          </w:p>
        </w:tc>
      </w:tr>
      <w:tr w:rsidR="00B03CCB" w:rsidRPr="00CB24AB" w14:paraId="47FE9D65" w14:textId="77777777" w:rsidTr="00452E39">
        <w:tc>
          <w:tcPr>
            <w:tcW w:w="1575" w:type="pct"/>
          </w:tcPr>
          <w:p w14:paraId="19170AAB" w14:textId="77777777" w:rsidR="00B03CCB" w:rsidRPr="00CB24AB" w:rsidRDefault="00B03CCB" w:rsidP="00452E39">
            <w:pPr>
              <w:ind w:left="332"/>
              <w:rPr>
                <w:rFonts w:ascii="Arial" w:hAnsi="Arial" w:cs="Arial"/>
                <w:sz w:val="20"/>
                <w:szCs w:val="20"/>
              </w:rPr>
            </w:pPr>
            <w:r w:rsidRPr="00CB24AB">
              <w:rPr>
                <w:rFonts w:ascii="Arial" w:hAnsi="Arial" w:cs="Arial"/>
                <w:sz w:val="20"/>
                <w:szCs w:val="20"/>
              </w:rPr>
              <w:t>Postsurgical pain</w:t>
            </w:r>
          </w:p>
        </w:tc>
        <w:tc>
          <w:tcPr>
            <w:tcW w:w="1141" w:type="pct"/>
            <w:vAlign w:val="center"/>
          </w:tcPr>
          <w:p w14:paraId="2401009D" w14:textId="77777777" w:rsidR="00B03CCB" w:rsidRPr="002D3F06" w:rsidRDefault="00B03CCB" w:rsidP="00452E39">
            <w:pPr>
              <w:jc w:val="center"/>
              <w:rPr>
                <w:rFonts w:ascii="Arial" w:hAnsi="Arial" w:cs="Arial"/>
                <w:sz w:val="20"/>
                <w:szCs w:val="20"/>
              </w:rPr>
            </w:pPr>
            <w:r w:rsidRPr="002D3F06">
              <w:rPr>
                <w:rFonts w:ascii="Arial" w:hAnsi="Arial" w:cs="Arial"/>
                <w:sz w:val="20"/>
                <w:szCs w:val="20"/>
              </w:rPr>
              <w:t>303.329</w:t>
            </w:r>
          </w:p>
        </w:tc>
        <w:tc>
          <w:tcPr>
            <w:tcW w:w="1033" w:type="pct"/>
            <w:vAlign w:val="center"/>
          </w:tcPr>
          <w:p w14:paraId="55814D3E" w14:textId="77777777" w:rsidR="00B03CCB" w:rsidRPr="00CB24AB" w:rsidRDefault="00B03CCB" w:rsidP="00452E39">
            <w:pPr>
              <w:jc w:val="center"/>
              <w:rPr>
                <w:rFonts w:ascii="Arial" w:hAnsi="Arial" w:cs="Arial"/>
                <w:sz w:val="20"/>
                <w:szCs w:val="20"/>
              </w:rPr>
            </w:pPr>
            <w:r w:rsidRPr="00CB24AB">
              <w:rPr>
                <w:rFonts w:ascii="Arial" w:hAnsi="Arial" w:cs="Arial"/>
                <w:sz w:val="20"/>
                <w:szCs w:val="20"/>
              </w:rPr>
              <w:t>775.4308</w:t>
            </w:r>
          </w:p>
        </w:tc>
        <w:tc>
          <w:tcPr>
            <w:tcW w:w="1251" w:type="pct"/>
          </w:tcPr>
          <w:p w14:paraId="5C7D24EE" w14:textId="77777777" w:rsidR="00B03CCB" w:rsidRPr="00CB24AB" w:rsidRDefault="00B03CCB" w:rsidP="00452E39">
            <w:pPr>
              <w:jc w:val="center"/>
              <w:rPr>
                <w:rFonts w:ascii="Arial" w:hAnsi="Arial" w:cs="Arial"/>
                <w:sz w:val="20"/>
                <w:szCs w:val="20"/>
              </w:rPr>
            </w:pPr>
            <w:r w:rsidRPr="005E0319">
              <w:rPr>
                <w:rFonts w:ascii="Arial" w:hAnsi="Arial" w:cs="Arial"/>
                <w:sz w:val="20"/>
                <w:szCs w:val="20"/>
              </w:rPr>
              <w:t>–</w:t>
            </w:r>
          </w:p>
        </w:tc>
      </w:tr>
      <w:tr w:rsidR="00B03CCB" w:rsidRPr="00CB24AB" w14:paraId="486745ED" w14:textId="77777777" w:rsidTr="00452E39">
        <w:tc>
          <w:tcPr>
            <w:tcW w:w="1575" w:type="pct"/>
          </w:tcPr>
          <w:p w14:paraId="0DE90ADB" w14:textId="77777777" w:rsidR="00B03CCB" w:rsidRPr="00CB24AB" w:rsidRDefault="00B03CCB" w:rsidP="00452E39">
            <w:pPr>
              <w:ind w:left="332"/>
              <w:rPr>
                <w:rFonts w:ascii="Arial" w:hAnsi="Arial" w:cs="Arial"/>
                <w:sz w:val="20"/>
                <w:szCs w:val="20"/>
              </w:rPr>
            </w:pPr>
            <w:r w:rsidRPr="00CB24AB">
              <w:rPr>
                <w:rFonts w:ascii="Arial" w:hAnsi="Arial" w:cs="Arial"/>
                <w:sz w:val="20"/>
                <w:szCs w:val="20"/>
              </w:rPr>
              <w:t>Acute pain</w:t>
            </w:r>
          </w:p>
        </w:tc>
        <w:tc>
          <w:tcPr>
            <w:tcW w:w="1141" w:type="pct"/>
            <w:vAlign w:val="center"/>
          </w:tcPr>
          <w:p w14:paraId="40521AE5" w14:textId="77777777" w:rsidR="00B03CCB" w:rsidRPr="00CB24AB" w:rsidRDefault="00B03CCB" w:rsidP="00452E39">
            <w:pPr>
              <w:jc w:val="center"/>
              <w:rPr>
                <w:rFonts w:ascii="Arial" w:hAnsi="Arial" w:cs="Arial"/>
                <w:sz w:val="20"/>
                <w:szCs w:val="20"/>
              </w:rPr>
            </w:pPr>
            <w:r w:rsidRPr="002D3F06">
              <w:rPr>
                <w:rFonts w:ascii="Arial" w:hAnsi="Arial" w:cs="Arial"/>
                <w:sz w:val="20"/>
                <w:szCs w:val="20"/>
              </w:rPr>
              <w:t>266.0745</w:t>
            </w:r>
          </w:p>
        </w:tc>
        <w:tc>
          <w:tcPr>
            <w:tcW w:w="1033" w:type="pct"/>
            <w:vAlign w:val="center"/>
          </w:tcPr>
          <w:p w14:paraId="28DEAAE5" w14:textId="77777777" w:rsidR="00B03CCB" w:rsidRPr="00CB24AB" w:rsidRDefault="00B03CCB" w:rsidP="00452E39">
            <w:pPr>
              <w:jc w:val="center"/>
              <w:rPr>
                <w:rFonts w:ascii="Arial" w:hAnsi="Arial" w:cs="Arial"/>
                <w:sz w:val="20"/>
                <w:szCs w:val="20"/>
              </w:rPr>
            </w:pPr>
            <w:r w:rsidRPr="00CB24AB">
              <w:rPr>
                <w:rFonts w:ascii="Arial" w:hAnsi="Arial" w:cs="Arial"/>
                <w:sz w:val="20"/>
                <w:szCs w:val="20"/>
              </w:rPr>
              <w:t>749.0416</w:t>
            </w:r>
          </w:p>
        </w:tc>
        <w:tc>
          <w:tcPr>
            <w:tcW w:w="1251" w:type="pct"/>
          </w:tcPr>
          <w:p w14:paraId="014ED5A8" w14:textId="77777777" w:rsidR="00B03CCB" w:rsidRPr="00CB24AB" w:rsidRDefault="00B03CCB" w:rsidP="00452E39">
            <w:pPr>
              <w:jc w:val="center"/>
              <w:rPr>
                <w:rFonts w:ascii="Arial" w:hAnsi="Arial" w:cs="Arial"/>
                <w:sz w:val="20"/>
                <w:szCs w:val="20"/>
              </w:rPr>
            </w:pPr>
            <w:r w:rsidRPr="005E0319">
              <w:rPr>
                <w:rFonts w:ascii="Arial" w:hAnsi="Arial" w:cs="Arial"/>
                <w:sz w:val="20"/>
                <w:szCs w:val="20"/>
              </w:rPr>
              <w:t>–</w:t>
            </w:r>
          </w:p>
        </w:tc>
      </w:tr>
      <w:tr w:rsidR="00B03CCB" w:rsidRPr="00CB24AB" w14:paraId="69986CDB" w14:textId="77777777" w:rsidTr="00452E39">
        <w:tc>
          <w:tcPr>
            <w:tcW w:w="1575" w:type="pct"/>
          </w:tcPr>
          <w:p w14:paraId="3CF28245" w14:textId="77777777" w:rsidR="00B03CCB" w:rsidRPr="00CB24AB" w:rsidRDefault="00B03CCB" w:rsidP="00452E39">
            <w:pPr>
              <w:ind w:left="332"/>
              <w:rPr>
                <w:rFonts w:ascii="Arial" w:hAnsi="Arial" w:cs="Arial"/>
                <w:sz w:val="20"/>
                <w:szCs w:val="20"/>
              </w:rPr>
            </w:pPr>
            <w:r w:rsidRPr="00CB24AB">
              <w:rPr>
                <w:rFonts w:ascii="Arial" w:hAnsi="Arial" w:cs="Arial"/>
                <w:sz w:val="20"/>
                <w:szCs w:val="20"/>
              </w:rPr>
              <w:t>Chronic pain</w:t>
            </w:r>
          </w:p>
        </w:tc>
        <w:tc>
          <w:tcPr>
            <w:tcW w:w="1141" w:type="pct"/>
            <w:vAlign w:val="center"/>
          </w:tcPr>
          <w:p w14:paraId="3E7C68F5" w14:textId="77777777" w:rsidR="00B03CCB" w:rsidRPr="00CB24AB" w:rsidRDefault="00B03CCB" w:rsidP="00452E39">
            <w:pPr>
              <w:jc w:val="center"/>
              <w:rPr>
                <w:rFonts w:ascii="Arial" w:hAnsi="Arial" w:cs="Arial"/>
                <w:sz w:val="20"/>
                <w:szCs w:val="20"/>
              </w:rPr>
            </w:pPr>
            <w:r w:rsidRPr="002D3F06">
              <w:rPr>
                <w:rFonts w:ascii="Arial" w:hAnsi="Arial" w:cs="Arial"/>
                <w:sz w:val="20"/>
                <w:szCs w:val="20"/>
              </w:rPr>
              <w:t>288.8767</w:t>
            </w:r>
          </w:p>
        </w:tc>
        <w:tc>
          <w:tcPr>
            <w:tcW w:w="1033" w:type="pct"/>
            <w:vAlign w:val="center"/>
          </w:tcPr>
          <w:p w14:paraId="45D35B51" w14:textId="77777777" w:rsidR="00B03CCB" w:rsidRPr="00CB24AB" w:rsidRDefault="00B03CCB" w:rsidP="00452E39">
            <w:pPr>
              <w:jc w:val="center"/>
              <w:rPr>
                <w:rFonts w:ascii="Arial" w:hAnsi="Arial" w:cs="Arial"/>
                <w:sz w:val="20"/>
                <w:szCs w:val="20"/>
              </w:rPr>
            </w:pPr>
            <w:r w:rsidRPr="00CB24AB">
              <w:rPr>
                <w:rFonts w:ascii="Arial" w:hAnsi="Arial" w:cs="Arial"/>
                <w:sz w:val="20"/>
                <w:szCs w:val="20"/>
              </w:rPr>
              <w:t>726.8128</w:t>
            </w:r>
          </w:p>
        </w:tc>
        <w:tc>
          <w:tcPr>
            <w:tcW w:w="1251" w:type="pct"/>
          </w:tcPr>
          <w:p w14:paraId="586303DF" w14:textId="77777777" w:rsidR="00B03CCB" w:rsidRPr="00CB24AB" w:rsidRDefault="00B03CCB" w:rsidP="00452E39">
            <w:pPr>
              <w:jc w:val="center"/>
              <w:rPr>
                <w:rFonts w:ascii="Arial" w:hAnsi="Arial" w:cs="Arial"/>
                <w:sz w:val="20"/>
                <w:szCs w:val="20"/>
              </w:rPr>
            </w:pPr>
            <w:r w:rsidRPr="005E0319">
              <w:rPr>
                <w:rFonts w:ascii="Arial" w:hAnsi="Arial" w:cs="Arial"/>
                <w:sz w:val="20"/>
                <w:szCs w:val="20"/>
              </w:rPr>
              <w:t>–</w:t>
            </w:r>
          </w:p>
        </w:tc>
      </w:tr>
      <w:tr w:rsidR="00B03CCB" w:rsidRPr="00CB24AB" w14:paraId="7DB66995" w14:textId="77777777" w:rsidTr="00452E39">
        <w:tc>
          <w:tcPr>
            <w:tcW w:w="1575" w:type="pct"/>
          </w:tcPr>
          <w:p w14:paraId="17950E83" w14:textId="77777777" w:rsidR="00B03CCB" w:rsidRPr="00F00F66" w:rsidRDefault="00B03CCB" w:rsidP="00452E39">
            <w:pPr>
              <w:rPr>
                <w:rFonts w:ascii="Arial" w:hAnsi="Arial" w:cs="Arial"/>
                <w:sz w:val="10"/>
                <w:szCs w:val="10"/>
              </w:rPr>
            </w:pPr>
          </w:p>
        </w:tc>
        <w:tc>
          <w:tcPr>
            <w:tcW w:w="1141" w:type="pct"/>
            <w:vAlign w:val="center"/>
          </w:tcPr>
          <w:p w14:paraId="4C5A8238" w14:textId="77777777" w:rsidR="00B03CCB" w:rsidRPr="00F00F66" w:rsidRDefault="00B03CCB" w:rsidP="00452E39">
            <w:pPr>
              <w:jc w:val="center"/>
              <w:rPr>
                <w:rFonts w:ascii="Arial" w:hAnsi="Arial" w:cs="Arial"/>
                <w:sz w:val="10"/>
                <w:szCs w:val="10"/>
              </w:rPr>
            </w:pPr>
          </w:p>
        </w:tc>
        <w:tc>
          <w:tcPr>
            <w:tcW w:w="1033" w:type="pct"/>
            <w:vAlign w:val="center"/>
          </w:tcPr>
          <w:p w14:paraId="474274E3" w14:textId="77777777" w:rsidR="00B03CCB" w:rsidRPr="00F00F66" w:rsidRDefault="00B03CCB" w:rsidP="00452E39">
            <w:pPr>
              <w:jc w:val="center"/>
              <w:rPr>
                <w:rFonts w:ascii="Arial" w:hAnsi="Arial" w:cs="Arial"/>
                <w:sz w:val="10"/>
                <w:szCs w:val="10"/>
              </w:rPr>
            </w:pPr>
          </w:p>
        </w:tc>
        <w:tc>
          <w:tcPr>
            <w:tcW w:w="1251" w:type="pct"/>
            <w:vAlign w:val="center"/>
          </w:tcPr>
          <w:p w14:paraId="5B8AFA6F" w14:textId="77777777" w:rsidR="00B03CCB" w:rsidRPr="00F00F66" w:rsidRDefault="00B03CCB" w:rsidP="00452E39">
            <w:pPr>
              <w:jc w:val="center"/>
              <w:rPr>
                <w:rFonts w:ascii="Arial" w:hAnsi="Arial" w:cs="Arial"/>
                <w:sz w:val="10"/>
                <w:szCs w:val="10"/>
              </w:rPr>
            </w:pPr>
          </w:p>
        </w:tc>
      </w:tr>
      <w:tr w:rsidR="00B03CCB" w:rsidRPr="00CB24AB" w14:paraId="6D4E9162" w14:textId="77777777" w:rsidTr="00452E39">
        <w:tc>
          <w:tcPr>
            <w:tcW w:w="1575" w:type="pct"/>
          </w:tcPr>
          <w:p w14:paraId="59FD8398" w14:textId="77777777" w:rsidR="00B03CCB" w:rsidRPr="00CB24AB" w:rsidRDefault="00B03CCB" w:rsidP="00452E39">
            <w:pPr>
              <w:spacing w:after="120"/>
              <w:rPr>
                <w:rFonts w:ascii="Arial" w:hAnsi="Arial" w:cs="Arial"/>
                <w:b/>
                <w:bCs/>
                <w:sz w:val="20"/>
                <w:szCs w:val="20"/>
              </w:rPr>
            </w:pPr>
            <w:r w:rsidRPr="00CB24AB">
              <w:rPr>
                <w:rFonts w:ascii="Arial" w:hAnsi="Arial" w:cs="Arial"/>
                <w:b/>
                <w:bCs/>
                <w:sz w:val="20"/>
                <w:szCs w:val="20"/>
              </w:rPr>
              <w:t>Mean days’ supply</w:t>
            </w:r>
          </w:p>
        </w:tc>
        <w:tc>
          <w:tcPr>
            <w:tcW w:w="1141" w:type="pct"/>
            <w:vAlign w:val="center"/>
          </w:tcPr>
          <w:p w14:paraId="6DAE51D5" w14:textId="77777777" w:rsidR="00B03CCB" w:rsidRPr="00CB24AB" w:rsidRDefault="00B03CCB" w:rsidP="00452E39">
            <w:pPr>
              <w:jc w:val="center"/>
              <w:rPr>
                <w:rFonts w:ascii="Arial" w:hAnsi="Arial" w:cs="Arial"/>
                <w:sz w:val="20"/>
                <w:szCs w:val="20"/>
              </w:rPr>
            </w:pPr>
          </w:p>
        </w:tc>
        <w:tc>
          <w:tcPr>
            <w:tcW w:w="1033" w:type="pct"/>
            <w:vAlign w:val="center"/>
          </w:tcPr>
          <w:p w14:paraId="53863CA2" w14:textId="77777777" w:rsidR="00B03CCB" w:rsidRPr="00CB24AB" w:rsidRDefault="00B03CCB" w:rsidP="00452E39">
            <w:pPr>
              <w:jc w:val="center"/>
              <w:rPr>
                <w:rFonts w:ascii="Arial" w:hAnsi="Arial" w:cs="Arial"/>
                <w:sz w:val="20"/>
                <w:szCs w:val="20"/>
              </w:rPr>
            </w:pPr>
          </w:p>
        </w:tc>
        <w:tc>
          <w:tcPr>
            <w:tcW w:w="1251" w:type="pct"/>
            <w:vAlign w:val="center"/>
          </w:tcPr>
          <w:p w14:paraId="5FD0EE30" w14:textId="77777777" w:rsidR="00B03CCB" w:rsidRPr="00CB24AB" w:rsidRDefault="00B03CCB" w:rsidP="00452E39">
            <w:pPr>
              <w:jc w:val="center"/>
              <w:rPr>
                <w:rFonts w:ascii="Arial" w:hAnsi="Arial" w:cs="Arial"/>
                <w:sz w:val="20"/>
                <w:szCs w:val="20"/>
              </w:rPr>
            </w:pPr>
          </w:p>
        </w:tc>
      </w:tr>
      <w:tr w:rsidR="00B03CCB" w:rsidRPr="00CB24AB" w14:paraId="5AB0B2B6" w14:textId="77777777" w:rsidTr="00452E39">
        <w:tc>
          <w:tcPr>
            <w:tcW w:w="1575" w:type="pct"/>
          </w:tcPr>
          <w:p w14:paraId="7A2C56A8" w14:textId="77777777" w:rsidR="00B03CCB" w:rsidRPr="00CB24AB" w:rsidRDefault="00B03CCB" w:rsidP="00452E39">
            <w:pPr>
              <w:ind w:left="332"/>
              <w:rPr>
                <w:rFonts w:ascii="Arial" w:hAnsi="Arial" w:cs="Arial"/>
                <w:b/>
                <w:bCs/>
                <w:sz w:val="20"/>
                <w:szCs w:val="20"/>
              </w:rPr>
            </w:pPr>
            <w:r w:rsidRPr="00CB24AB">
              <w:rPr>
                <w:rFonts w:ascii="Arial" w:hAnsi="Arial" w:cs="Arial"/>
                <w:b/>
                <w:bCs/>
                <w:sz w:val="20"/>
                <w:szCs w:val="20"/>
              </w:rPr>
              <w:t>Overall</w:t>
            </w:r>
          </w:p>
        </w:tc>
        <w:tc>
          <w:tcPr>
            <w:tcW w:w="1141" w:type="pct"/>
            <w:vAlign w:val="center"/>
          </w:tcPr>
          <w:p w14:paraId="12056731" w14:textId="77777777" w:rsidR="00B03CCB" w:rsidRPr="00CB24AB" w:rsidRDefault="00B03CCB" w:rsidP="00452E39">
            <w:pPr>
              <w:jc w:val="center"/>
              <w:rPr>
                <w:rFonts w:ascii="Arial" w:hAnsi="Arial" w:cs="Arial"/>
                <w:sz w:val="20"/>
                <w:szCs w:val="20"/>
              </w:rPr>
            </w:pPr>
          </w:p>
        </w:tc>
        <w:tc>
          <w:tcPr>
            <w:tcW w:w="1033" w:type="pct"/>
            <w:vAlign w:val="center"/>
          </w:tcPr>
          <w:p w14:paraId="74547586" w14:textId="77777777" w:rsidR="00B03CCB" w:rsidRPr="00CB24AB" w:rsidRDefault="00B03CCB" w:rsidP="00452E39">
            <w:pPr>
              <w:jc w:val="center"/>
              <w:rPr>
                <w:rFonts w:ascii="Arial" w:hAnsi="Arial" w:cs="Arial"/>
                <w:sz w:val="20"/>
                <w:szCs w:val="20"/>
              </w:rPr>
            </w:pPr>
          </w:p>
        </w:tc>
        <w:tc>
          <w:tcPr>
            <w:tcW w:w="1251" w:type="pct"/>
            <w:vAlign w:val="center"/>
          </w:tcPr>
          <w:p w14:paraId="672D94C2" w14:textId="77777777" w:rsidR="00B03CCB" w:rsidRPr="00CB24AB" w:rsidRDefault="00B03CCB" w:rsidP="00452E39">
            <w:pPr>
              <w:jc w:val="center"/>
              <w:rPr>
                <w:rFonts w:ascii="Arial" w:hAnsi="Arial" w:cs="Arial"/>
                <w:sz w:val="20"/>
                <w:szCs w:val="20"/>
              </w:rPr>
            </w:pPr>
          </w:p>
        </w:tc>
      </w:tr>
      <w:tr w:rsidR="00B03CCB" w:rsidRPr="00CB24AB" w14:paraId="09410901" w14:textId="77777777" w:rsidTr="00452E39">
        <w:tc>
          <w:tcPr>
            <w:tcW w:w="1575" w:type="pct"/>
          </w:tcPr>
          <w:p w14:paraId="47C4E0F6" w14:textId="77777777" w:rsidR="00B03CCB" w:rsidRPr="00CB24AB" w:rsidRDefault="00B03CCB" w:rsidP="00452E39">
            <w:pPr>
              <w:ind w:left="332"/>
              <w:rPr>
                <w:rFonts w:ascii="Arial" w:hAnsi="Arial" w:cs="Arial"/>
                <w:sz w:val="20"/>
                <w:szCs w:val="20"/>
              </w:rPr>
            </w:pPr>
            <w:r w:rsidRPr="00CB24AB">
              <w:rPr>
                <w:rFonts w:ascii="Arial" w:hAnsi="Arial" w:cs="Arial"/>
                <w:sz w:val="20"/>
                <w:szCs w:val="20"/>
              </w:rPr>
              <w:t>Postsurgical pain</w:t>
            </w:r>
          </w:p>
        </w:tc>
        <w:tc>
          <w:tcPr>
            <w:tcW w:w="1141" w:type="pct"/>
            <w:vAlign w:val="center"/>
          </w:tcPr>
          <w:p w14:paraId="66F705F8" w14:textId="77777777" w:rsidR="00B03CCB" w:rsidRPr="00CB24AB" w:rsidRDefault="00B03CCB" w:rsidP="00452E39">
            <w:pPr>
              <w:jc w:val="center"/>
              <w:rPr>
                <w:rFonts w:ascii="Arial" w:hAnsi="Arial" w:cs="Arial"/>
                <w:sz w:val="20"/>
                <w:szCs w:val="20"/>
              </w:rPr>
            </w:pPr>
            <w:r w:rsidRPr="00971AF3">
              <w:rPr>
                <w:rFonts w:ascii="Arial" w:hAnsi="Arial" w:cs="Arial"/>
                <w:sz w:val="20"/>
                <w:szCs w:val="20"/>
              </w:rPr>
              <w:t>-120.294</w:t>
            </w:r>
          </w:p>
        </w:tc>
        <w:tc>
          <w:tcPr>
            <w:tcW w:w="1033" w:type="pct"/>
            <w:vAlign w:val="center"/>
          </w:tcPr>
          <w:p w14:paraId="2DACFBAC" w14:textId="77777777" w:rsidR="00B03CCB" w:rsidRPr="00CB24AB" w:rsidRDefault="00B03CCB" w:rsidP="00452E39">
            <w:pPr>
              <w:jc w:val="center"/>
              <w:rPr>
                <w:rFonts w:ascii="Arial" w:hAnsi="Arial" w:cs="Arial"/>
                <w:sz w:val="20"/>
                <w:szCs w:val="20"/>
              </w:rPr>
            </w:pPr>
            <w:r w:rsidRPr="00CB24AB">
              <w:rPr>
                <w:rFonts w:ascii="Arial" w:hAnsi="Arial" w:cs="Arial"/>
                <w:sz w:val="20"/>
                <w:szCs w:val="20"/>
              </w:rPr>
              <w:t>9.854629</w:t>
            </w:r>
          </w:p>
        </w:tc>
        <w:tc>
          <w:tcPr>
            <w:tcW w:w="1251" w:type="pct"/>
            <w:vAlign w:val="center"/>
          </w:tcPr>
          <w:p w14:paraId="603FC3A2" w14:textId="77777777" w:rsidR="00B03CCB" w:rsidRPr="00CB24AB" w:rsidRDefault="00B03CCB" w:rsidP="00452E39">
            <w:pPr>
              <w:jc w:val="center"/>
              <w:rPr>
                <w:rFonts w:ascii="Arial" w:hAnsi="Arial" w:cs="Arial"/>
                <w:sz w:val="20"/>
                <w:szCs w:val="20"/>
              </w:rPr>
            </w:pPr>
            <w:r w:rsidRPr="00CB24AB">
              <w:rPr>
                <w:rFonts w:ascii="Arial" w:hAnsi="Arial" w:cs="Arial"/>
                <w:sz w:val="20"/>
                <w:szCs w:val="20"/>
              </w:rPr>
              <w:t>10.78294</w:t>
            </w:r>
          </w:p>
        </w:tc>
      </w:tr>
      <w:tr w:rsidR="00B03CCB" w:rsidRPr="00CB24AB" w14:paraId="43FB9F41" w14:textId="77777777" w:rsidTr="00452E39">
        <w:tc>
          <w:tcPr>
            <w:tcW w:w="1575" w:type="pct"/>
          </w:tcPr>
          <w:p w14:paraId="1F03151A" w14:textId="77777777" w:rsidR="00B03CCB" w:rsidRPr="00CB24AB" w:rsidRDefault="00B03CCB" w:rsidP="00452E39">
            <w:pPr>
              <w:ind w:left="332"/>
              <w:rPr>
                <w:rFonts w:ascii="Arial" w:hAnsi="Arial" w:cs="Arial"/>
                <w:sz w:val="20"/>
                <w:szCs w:val="20"/>
              </w:rPr>
            </w:pPr>
            <w:r w:rsidRPr="00CB24AB">
              <w:rPr>
                <w:rFonts w:ascii="Arial" w:hAnsi="Arial" w:cs="Arial"/>
                <w:sz w:val="20"/>
                <w:szCs w:val="20"/>
              </w:rPr>
              <w:t>Acute pain</w:t>
            </w:r>
          </w:p>
        </w:tc>
        <w:tc>
          <w:tcPr>
            <w:tcW w:w="1141" w:type="pct"/>
            <w:vAlign w:val="center"/>
          </w:tcPr>
          <w:p w14:paraId="544D4097" w14:textId="77777777" w:rsidR="00B03CCB" w:rsidRPr="00CB24AB" w:rsidRDefault="00B03CCB" w:rsidP="00452E39">
            <w:pPr>
              <w:jc w:val="center"/>
              <w:rPr>
                <w:rFonts w:ascii="Arial" w:hAnsi="Arial" w:cs="Arial"/>
                <w:sz w:val="20"/>
                <w:szCs w:val="20"/>
              </w:rPr>
            </w:pPr>
            <w:r w:rsidRPr="00971AF3">
              <w:rPr>
                <w:rFonts w:ascii="Arial" w:hAnsi="Arial" w:cs="Arial"/>
                <w:sz w:val="20"/>
                <w:szCs w:val="20"/>
              </w:rPr>
              <w:t>-75.4956</w:t>
            </w:r>
          </w:p>
        </w:tc>
        <w:tc>
          <w:tcPr>
            <w:tcW w:w="1033" w:type="pct"/>
            <w:vAlign w:val="center"/>
          </w:tcPr>
          <w:p w14:paraId="32B3B8E6" w14:textId="77777777" w:rsidR="00B03CCB" w:rsidRPr="00CB24AB" w:rsidRDefault="00B03CCB" w:rsidP="00452E39">
            <w:pPr>
              <w:jc w:val="center"/>
              <w:rPr>
                <w:rFonts w:ascii="Arial" w:hAnsi="Arial" w:cs="Arial"/>
                <w:sz w:val="20"/>
                <w:szCs w:val="20"/>
              </w:rPr>
            </w:pPr>
            <w:r w:rsidRPr="00CB24AB">
              <w:rPr>
                <w:rFonts w:ascii="Arial" w:hAnsi="Arial" w:cs="Arial"/>
                <w:sz w:val="20"/>
                <w:szCs w:val="20"/>
              </w:rPr>
              <w:t>20.49776</w:t>
            </w:r>
          </w:p>
        </w:tc>
        <w:tc>
          <w:tcPr>
            <w:tcW w:w="1251" w:type="pct"/>
            <w:vAlign w:val="center"/>
          </w:tcPr>
          <w:p w14:paraId="33C91371" w14:textId="77777777" w:rsidR="00B03CCB" w:rsidRPr="00CB24AB" w:rsidRDefault="00B03CCB" w:rsidP="00452E39">
            <w:pPr>
              <w:jc w:val="center"/>
              <w:rPr>
                <w:rFonts w:ascii="Arial" w:hAnsi="Arial" w:cs="Arial"/>
                <w:sz w:val="20"/>
                <w:szCs w:val="20"/>
              </w:rPr>
            </w:pPr>
            <w:r w:rsidRPr="00CB24AB">
              <w:rPr>
                <w:rFonts w:ascii="Arial" w:hAnsi="Arial" w:cs="Arial"/>
                <w:sz w:val="20"/>
                <w:szCs w:val="20"/>
              </w:rPr>
              <w:t>15.50271</w:t>
            </w:r>
          </w:p>
        </w:tc>
      </w:tr>
      <w:tr w:rsidR="00B03CCB" w:rsidRPr="00CB24AB" w14:paraId="4AD335DA" w14:textId="77777777" w:rsidTr="00452E39">
        <w:tc>
          <w:tcPr>
            <w:tcW w:w="1575" w:type="pct"/>
          </w:tcPr>
          <w:p w14:paraId="27196C36" w14:textId="77777777" w:rsidR="00B03CCB" w:rsidRPr="00CB24AB" w:rsidRDefault="00B03CCB" w:rsidP="00452E39">
            <w:pPr>
              <w:ind w:left="332"/>
              <w:rPr>
                <w:rFonts w:ascii="Arial" w:hAnsi="Arial" w:cs="Arial"/>
                <w:sz w:val="20"/>
                <w:szCs w:val="20"/>
              </w:rPr>
            </w:pPr>
            <w:r w:rsidRPr="00CB24AB">
              <w:rPr>
                <w:rFonts w:ascii="Arial" w:hAnsi="Arial" w:cs="Arial"/>
                <w:sz w:val="20"/>
                <w:szCs w:val="20"/>
              </w:rPr>
              <w:t>Chronic pain</w:t>
            </w:r>
          </w:p>
        </w:tc>
        <w:tc>
          <w:tcPr>
            <w:tcW w:w="1141" w:type="pct"/>
            <w:vAlign w:val="center"/>
          </w:tcPr>
          <w:p w14:paraId="1559272A" w14:textId="77777777" w:rsidR="00B03CCB" w:rsidRPr="00CB24AB" w:rsidRDefault="00B03CCB" w:rsidP="00452E39">
            <w:pPr>
              <w:jc w:val="center"/>
              <w:rPr>
                <w:rFonts w:ascii="Arial" w:hAnsi="Arial" w:cs="Arial"/>
                <w:sz w:val="20"/>
                <w:szCs w:val="20"/>
              </w:rPr>
            </w:pPr>
            <w:r w:rsidRPr="00971AF3">
              <w:rPr>
                <w:rFonts w:ascii="Arial" w:hAnsi="Arial" w:cs="Arial"/>
                <w:sz w:val="20"/>
                <w:szCs w:val="20"/>
              </w:rPr>
              <w:t>94.21092</w:t>
            </w:r>
          </w:p>
        </w:tc>
        <w:tc>
          <w:tcPr>
            <w:tcW w:w="1033" w:type="pct"/>
            <w:vAlign w:val="center"/>
          </w:tcPr>
          <w:p w14:paraId="18403E0B" w14:textId="77777777" w:rsidR="00B03CCB" w:rsidRPr="00CB24AB" w:rsidRDefault="00B03CCB" w:rsidP="00452E39">
            <w:pPr>
              <w:jc w:val="center"/>
              <w:rPr>
                <w:rFonts w:ascii="Arial" w:hAnsi="Arial" w:cs="Arial"/>
                <w:sz w:val="20"/>
                <w:szCs w:val="20"/>
              </w:rPr>
            </w:pPr>
            <w:r w:rsidRPr="00CB24AB">
              <w:rPr>
                <w:rFonts w:ascii="Arial" w:hAnsi="Arial" w:cs="Arial"/>
                <w:sz w:val="20"/>
                <w:szCs w:val="20"/>
              </w:rPr>
              <w:t>144.9896</w:t>
            </w:r>
          </w:p>
        </w:tc>
        <w:tc>
          <w:tcPr>
            <w:tcW w:w="1251" w:type="pct"/>
            <w:vAlign w:val="center"/>
          </w:tcPr>
          <w:p w14:paraId="7398DFEB" w14:textId="77777777" w:rsidR="00B03CCB" w:rsidRPr="00CB24AB" w:rsidRDefault="00B03CCB" w:rsidP="00452E39">
            <w:pPr>
              <w:jc w:val="center"/>
              <w:rPr>
                <w:rFonts w:ascii="Arial" w:hAnsi="Arial" w:cs="Arial"/>
                <w:sz w:val="20"/>
                <w:szCs w:val="20"/>
              </w:rPr>
            </w:pPr>
            <w:r w:rsidRPr="00CB24AB">
              <w:rPr>
                <w:rFonts w:ascii="Arial" w:hAnsi="Arial" w:cs="Arial"/>
                <w:sz w:val="20"/>
                <w:szCs w:val="20"/>
              </w:rPr>
              <w:t>68.08934</w:t>
            </w:r>
          </w:p>
        </w:tc>
      </w:tr>
      <w:tr w:rsidR="00B03CCB" w:rsidRPr="00CB24AB" w14:paraId="13AF8BDD" w14:textId="77777777" w:rsidTr="00452E39">
        <w:tc>
          <w:tcPr>
            <w:tcW w:w="1575" w:type="pct"/>
          </w:tcPr>
          <w:p w14:paraId="23C5D339" w14:textId="77777777" w:rsidR="00B03CCB" w:rsidRPr="00F00F66" w:rsidRDefault="00B03CCB" w:rsidP="00452E39">
            <w:pPr>
              <w:ind w:left="332"/>
              <w:rPr>
                <w:rFonts w:ascii="Arial" w:hAnsi="Arial" w:cs="Arial"/>
                <w:sz w:val="10"/>
                <w:szCs w:val="10"/>
              </w:rPr>
            </w:pPr>
          </w:p>
        </w:tc>
        <w:tc>
          <w:tcPr>
            <w:tcW w:w="1141" w:type="pct"/>
            <w:vAlign w:val="center"/>
          </w:tcPr>
          <w:p w14:paraId="7745022D" w14:textId="77777777" w:rsidR="00B03CCB" w:rsidRPr="00F00F66" w:rsidRDefault="00B03CCB" w:rsidP="00452E39">
            <w:pPr>
              <w:jc w:val="center"/>
              <w:rPr>
                <w:rFonts w:ascii="Arial" w:hAnsi="Arial" w:cs="Arial"/>
                <w:sz w:val="10"/>
                <w:szCs w:val="10"/>
              </w:rPr>
            </w:pPr>
          </w:p>
        </w:tc>
        <w:tc>
          <w:tcPr>
            <w:tcW w:w="1033" w:type="pct"/>
            <w:vAlign w:val="center"/>
          </w:tcPr>
          <w:p w14:paraId="2D717BB3" w14:textId="77777777" w:rsidR="00B03CCB" w:rsidRPr="00F00F66" w:rsidRDefault="00B03CCB" w:rsidP="00452E39">
            <w:pPr>
              <w:jc w:val="center"/>
              <w:rPr>
                <w:rFonts w:ascii="Arial" w:hAnsi="Arial" w:cs="Arial"/>
                <w:sz w:val="10"/>
                <w:szCs w:val="10"/>
              </w:rPr>
            </w:pPr>
          </w:p>
        </w:tc>
        <w:tc>
          <w:tcPr>
            <w:tcW w:w="1251" w:type="pct"/>
            <w:vAlign w:val="center"/>
          </w:tcPr>
          <w:p w14:paraId="75A34589" w14:textId="77777777" w:rsidR="00B03CCB" w:rsidRPr="00F00F66" w:rsidRDefault="00B03CCB" w:rsidP="00452E39">
            <w:pPr>
              <w:jc w:val="center"/>
              <w:rPr>
                <w:rFonts w:ascii="Arial" w:hAnsi="Arial" w:cs="Arial"/>
                <w:sz w:val="10"/>
                <w:szCs w:val="10"/>
              </w:rPr>
            </w:pPr>
          </w:p>
        </w:tc>
      </w:tr>
      <w:tr w:rsidR="00B03CCB" w:rsidRPr="00CB24AB" w14:paraId="3F99B2E6" w14:textId="77777777" w:rsidTr="00452E39">
        <w:tc>
          <w:tcPr>
            <w:tcW w:w="1575" w:type="pct"/>
          </w:tcPr>
          <w:p w14:paraId="509550C3" w14:textId="77777777" w:rsidR="00B03CCB" w:rsidRPr="00CB24AB" w:rsidRDefault="00B03CCB" w:rsidP="00452E39">
            <w:pPr>
              <w:ind w:left="332"/>
              <w:rPr>
                <w:rFonts w:ascii="Arial" w:hAnsi="Arial" w:cs="Arial"/>
                <w:b/>
                <w:bCs/>
                <w:sz w:val="20"/>
                <w:szCs w:val="20"/>
              </w:rPr>
            </w:pPr>
            <w:r w:rsidRPr="00CB24AB">
              <w:rPr>
                <w:rFonts w:ascii="Arial" w:hAnsi="Arial" w:cs="Arial"/>
                <w:b/>
                <w:bCs/>
                <w:sz w:val="20"/>
                <w:szCs w:val="20"/>
              </w:rPr>
              <w:t>History of cancer</w:t>
            </w:r>
          </w:p>
        </w:tc>
        <w:tc>
          <w:tcPr>
            <w:tcW w:w="1141" w:type="pct"/>
            <w:vAlign w:val="center"/>
          </w:tcPr>
          <w:p w14:paraId="0B481A84" w14:textId="77777777" w:rsidR="00B03CCB" w:rsidRPr="00CB24AB" w:rsidRDefault="00B03CCB" w:rsidP="00452E39">
            <w:pPr>
              <w:jc w:val="center"/>
              <w:rPr>
                <w:rFonts w:ascii="Arial" w:hAnsi="Arial" w:cs="Arial"/>
                <w:sz w:val="20"/>
                <w:szCs w:val="20"/>
              </w:rPr>
            </w:pPr>
          </w:p>
        </w:tc>
        <w:tc>
          <w:tcPr>
            <w:tcW w:w="1033" w:type="pct"/>
            <w:vAlign w:val="center"/>
          </w:tcPr>
          <w:p w14:paraId="682DECFA" w14:textId="77777777" w:rsidR="00B03CCB" w:rsidRPr="00CB24AB" w:rsidRDefault="00B03CCB" w:rsidP="00452E39">
            <w:pPr>
              <w:jc w:val="center"/>
              <w:rPr>
                <w:rFonts w:ascii="Arial" w:hAnsi="Arial" w:cs="Arial"/>
                <w:sz w:val="20"/>
                <w:szCs w:val="20"/>
              </w:rPr>
            </w:pPr>
          </w:p>
        </w:tc>
        <w:tc>
          <w:tcPr>
            <w:tcW w:w="1251" w:type="pct"/>
            <w:vAlign w:val="center"/>
          </w:tcPr>
          <w:p w14:paraId="44E92769" w14:textId="77777777" w:rsidR="00B03CCB" w:rsidRPr="00CB24AB" w:rsidRDefault="00B03CCB" w:rsidP="00452E39">
            <w:pPr>
              <w:jc w:val="center"/>
              <w:rPr>
                <w:rFonts w:ascii="Arial" w:hAnsi="Arial" w:cs="Arial"/>
                <w:sz w:val="20"/>
                <w:szCs w:val="20"/>
              </w:rPr>
            </w:pPr>
          </w:p>
        </w:tc>
      </w:tr>
      <w:tr w:rsidR="00B03CCB" w:rsidRPr="00CB24AB" w14:paraId="249B8BE5" w14:textId="77777777" w:rsidTr="00452E39">
        <w:tc>
          <w:tcPr>
            <w:tcW w:w="1575" w:type="pct"/>
          </w:tcPr>
          <w:p w14:paraId="0670ED89" w14:textId="77777777" w:rsidR="00B03CCB" w:rsidRPr="00CB24AB" w:rsidRDefault="00B03CCB" w:rsidP="00452E39">
            <w:pPr>
              <w:ind w:left="332"/>
              <w:rPr>
                <w:rFonts w:ascii="Arial" w:hAnsi="Arial" w:cs="Arial"/>
                <w:sz w:val="20"/>
                <w:szCs w:val="20"/>
              </w:rPr>
            </w:pPr>
            <w:r w:rsidRPr="00CB24AB">
              <w:rPr>
                <w:rFonts w:ascii="Arial" w:hAnsi="Arial" w:cs="Arial"/>
                <w:sz w:val="20"/>
                <w:szCs w:val="20"/>
              </w:rPr>
              <w:t>Postsurgical pain</w:t>
            </w:r>
          </w:p>
        </w:tc>
        <w:tc>
          <w:tcPr>
            <w:tcW w:w="1141" w:type="pct"/>
            <w:vAlign w:val="center"/>
          </w:tcPr>
          <w:p w14:paraId="35555B4A" w14:textId="77777777" w:rsidR="00B03CCB" w:rsidRPr="00CB24AB" w:rsidRDefault="00B03CCB" w:rsidP="00452E39">
            <w:pPr>
              <w:jc w:val="center"/>
              <w:rPr>
                <w:rFonts w:ascii="Arial" w:hAnsi="Arial" w:cs="Arial"/>
                <w:sz w:val="20"/>
                <w:szCs w:val="20"/>
              </w:rPr>
            </w:pPr>
            <w:r w:rsidRPr="00D75305">
              <w:rPr>
                <w:rFonts w:ascii="Arial" w:hAnsi="Arial" w:cs="Arial"/>
                <w:sz w:val="20"/>
                <w:szCs w:val="20"/>
              </w:rPr>
              <w:t>-29.217</w:t>
            </w:r>
          </w:p>
        </w:tc>
        <w:tc>
          <w:tcPr>
            <w:tcW w:w="1033" w:type="pct"/>
            <w:vAlign w:val="center"/>
          </w:tcPr>
          <w:p w14:paraId="269BFA67" w14:textId="77777777" w:rsidR="00B03CCB" w:rsidRPr="00CB24AB" w:rsidRDefault="00B03CCB" w:rsidP="00452E39">
            <w:pPr>
              <w:jc w:val="center"/>
              <w:rPr>
                <w:rFonts w:ascii="Arial" w:hAnsi="Arial" w:cs="Arial"/>
                <w:sz w:val="20"/>
                <w:szCs w:val="20"/>
              </w:rPr>
            </w:pPr>
            <w:r w:rsidRPr="00CB24AB">
              <w:rPr>
                <w:rFonts w:ascii="Arial" w:hAnsi="Arial" w:cs="Arial"/>
                <w:sz w:val="20"/>
                <w:szCs w:val="20"/>
              </w:rPr>
              <w:t>43.2497</w:t>
            </w:r>
          </w:p>
        </w:tc>
        <w:tc>
          <w:tcPr>
            <w:tcW w:w="1251" w:type="pct"/>
            <w:vAlign w:val="center"/>
          </w:tcPr>
          <w:p w14:paraId="48E21710" w14:textId="77777777" w:rsidR="00B03CCB" w:rsidRPr="00CB24AB" w:rsidRDefault="00B03CCB" w:rsidP="00452E39">
            <w:pPr>
              <w:jc w:val="center"/>
              <w:rPr>
                <w:rFonts w:ascii="Arial" w:hAnsi="Arial" w:cs="Arial"/>
                <w:sz w:val="20"/>
                <w:szCs w:val="20"/>
              </w:rPr>
            </w:pPr>
            <w:r w:rsidRPr="00CB24AB">
              <w:rPr>
                <w:rFonts w:ascii="Arial" w:hAnsi="Arial" w:cs="Arial"/>
                <w:sz w:val="20"/>
                <w:szCs w:val="20"/>
              </w:rPr>
              <w:t>46.83832</w:t>
            </w:r>
          </w:p>
        </w:tc>
      </w:tr>
      <w:tr w:rsidR="00B03CCB" w:rsidRPr="00CB24AB" w14:paraId="54CD490A" w14:textId="77777777" w:rsidTr="00452E39">
        <w:tc>
          <w:tcPr>
            <w:tcW w:w="1575" w:type="pct"/>
          </w:tcPr>
          <w:p w14:paraId="7E5283D0" w14:textId="77777777" w:rsidR="00B03CCB" w:rsidRPr="00CB24AB" w:rsidRDefault="00B03CCB" w:rsidP="00452E39">
            <w:pPr>
              <w:ind w:left="332"/>
              <w:rPr>
                <w:rFonts w:ascii="Arial" w:hAnsi="Arial" w:cs="Arial"/>
                <w:sz w:val="20"/>
                <w:szCs w:val="20"/>
              </w:rPr>
            </w:pPr>
            <w:r w:rsidRPr="00CB24AB">
              <w:rPr>
                <w:rFonts w:ascii="Arial" w:hAnsi="Arial" w:cs="Arial"/>
                <w:sz w:val="20"/>
                <w:szCs w:val="20"/>
              </w:rPr>
              <w:t>Acute pain</w:t>
            </w:r>
          </w:p>
        </w:tc>
        <w:tc>
          <w:tcPr>
            <w:tcW w:w="1141" w:type="pct"/>
            <w:vAlign w:val="center"/>
          </w:tcPr>
          <w:p w14:paraId="3E97C889" w14:textId="77777777" w:rsidR="00B03CCB" w:rsidRPr="00CB24AB" w:rsidRDefault="00B03CCB" w:rsidP="00452E39">
            <w:pPr>
              <w:jc w:val="center"/>
              <w:rPr>
                <w:rFonts w:ascii="Arial" w:hAnsi="Arial" w:cs="Arial"/>
                <w:sz w:val="20"/>
                <w:szCs w:val="20"/>
              </w:rPr>
            </w:pPr>
            <w:r w:rsidRPr="00490C77">
              <w:rPr>
                <w:rFonts w:ascii="Arial" w:hAnsi="Arial" w:cs="Arial"/>
                <w:sz w:val="20"/>
                <w:szCs w:val="20"/>
              </w:rPr>
              <w:t>57.65746</w:t>
            </w:r>
          </w:p>
        </w:tc>
        <w:tc>
          <w:tcPr>
            <w:tcW w:w="1033" w:type="pct"/>
            <w:vAlign w:val="center"/>
          </w:tcPr>
          <w:p w14:paraId="5FF500EA" w14:textId="77777777" w:rsidR="00B03CCB" w:rsidRPr="00CB24AB" w:rsidRDefault="00B03CCB" w:rsidP="00452E39">
            <w:pPr>
              <w:jc w:val="center"/>
              <w:rPr>
                <w:rFonts w:ascii="Arial" w:hAnsi="Arial" w:cs="Arial"/>
                <w:sz w:val="20"/>
                <w:szCs w:val="20"/>
              </w:rPr>
            </w:pPr>
            <w:r w:rsidRPr="00CB24AB">
              <w:rPr>
                <w:rFonts w:ascii="Arial" w:hAnsi="Arial" w:cs="Arial"/>
                <w:sz w:val="20"/>
                <w:szCs w:val="20"/>
              </w:rPr>
              <w:t>113.7941</w:t>
            </w:r>
          </w:p>
        </w:tc>
        <w:tc>
          <w:tcPr>
            <w:tcW w:w="1251" w:type="pct"/>
            <w:vAlign w:val="center"/>
          </w:tcPr>
          <w:p w14:paraId="55310658" w14:textId="77777777" w:rsidR="00B03CCB" w:rsidRPr="00CB24AB" w:rsidRDefault="00B03CCB" w:rsidP="00452E39">
            <w:pPr>
              <w:jc w:val="center"/>
              <w:rPr>
                <w:rFonts w:ascii="Arial" w:hAnsi="Arial" w:cs="Arial"/>
                <w:sz w:val="20"/>
                <w:szCs w:val="20"/>
              </w:rPr>
            </w:pPr>
            <w:r w:rsidRPr="00CB24AB">
              <w:rPr>
                <w:rFonts w:ascii="Arial" w:hAnsi="Arial" w:cs="Arial"/>
                <w:sz w:val="20"/>
                <w:szCs w:val="20"/>
              </w:rPr>
              <w:t>109.7227</w:t>
            </w:r>
          </w:p>
        </w:tc>
      </w:tr>
      <w:tr w:rsidR="00B03CCB" w:rsidRPr="00CB24AB" w14:paraId="1DE6C033" w14:textId="77777777" w:rsidTr="00452E39">
        <w:tc>
          <w:tcPr>
            <w:tcW w:w="1575" w:type="pct"/>
          </w:tcPr>
          <w:p w14:paraId="6277F420" w14:textId="77777777" w:rsidR="00B03CCB" w:rsidRPr="00CB24AB" w:rsidRDefault="00B03CCB" w:rsidP="00452E39">
            <w:pPr>
              <w:ind w:left="332"/>
              <w:rPr>
                <w:rFonts w:ascii="Arial" w:hAnsi="Arial" w:cs="Arial"/>
                <w:sz w:val="20"/>
                <w:szCs w:val="20"/>
              </w:rPr>
            </w:pPr>
            <w:r w:rsidRPr="00CB24AB">
              <w:rPr>
                <w:rFonts w:ascii="Arial" w:hAnsi="Arial" w:cs="Arial"/>
                <w:sz w:val="20"/>
                <w:szCs w:val="20"/>
              </w:rPr>
              <w:t>Chronic pain</w:t>
            </w:r>
          </w:p>
        </w:tc>
        <w:tc>
          <w:tcPr>
            <w:tcW w:w="1141" w:type="pct"/>
            <w:vAlign w:val="center"/>
          </w:tcPr>
          <w:p w14:paraId="2EDD5441" w14:textId="77777777" w:rsidR="00B03CCB" w:rsidRPr="00CB24AB" w:rsidRDefault="00B03CCB" w:rsidP="00452E39">
            <w:pPr>
              <w:jc w:val="center"/>
              <w:rPr>
                <w:rFonts w:ascii="Arial" w:hAnsi="Arial" w:cs="Arial"/>
                <w:sz w:val="20"/>
                <w:szCs w:val="20"/>
              </w:rPr>
            </w:pPr>
            <w:r w:rsidRPr="0054051B">
              <w:rPr>
                <w:rFonts w:ascii="Arial" w:hAnsi="Arial" w:cs="Arial"/>
                <w:sz w:val="20"/>
                <w:szCs w:val="20"/>
              </w:rPr>
              <w:t>169.4638</w:t>
            </w:r>
          </w:p>
        </w:tc>
        <w:tc>
          <w:tcPr>
            <w:tcW w:w="1033" w:type="pct"/>
            <w:vAlign w:val="center"/>
          </w:tcPr>
          <w:p w14:paraId="7BF61947" w14:textId="77777777" w:rsidR="00B03CCB" w:rsidRPr="00CB24AB" w:rsidRDefault="00B03CCB" w:rsidP="00452E39">
            <w:pPr>
              <w:jc w:val="center"/>
              <w:rPr>
                <w:rFonts w:ascii="Arial" w:hAnsi="Arial" w:cs="Arial"/>
                <w:sz w:val="20"/>
                <w:szCs w:val="20"/>
              </w:rPr>
            </w:pPr>
            <w:r w:rsidRPr="00CB24AB">
              <w:rPr>
                <w:rFonts w:ascii="Arial" w:hAnsi="Arial" w:cs="Arial"/>
                <w:sz w:val="20"/>
                <w:szCs w:val="20"/>
              </w:rPr>
              <w:t>261.7904</w:t>
            </w:r>
          </w:p>
        </w:tc>
        <w:tc>
          <w:tcPr>
            <w:tcW w:w="1251" w:type="pct"/>
            <w:vAlign w:val="center"/>
          </w:tcPr>
          <w:p w14:paraId="2B34A691" w14:textId="77777777" w:rsidR="00B03CCB" w:rsidRPr="00CB24AB" w:rsidRDefault="00B03CCB" w:rsidP="00452E39">
            <w:pPr>
              <w:jc w:val="center"/>
              <w:rPr>
                <w:rFonts w:ascii="Arial" w:hAnsi="Arial" w:cs="Arial"/>
                <w:sz w:val="20"/>
                <w:szCs w:val="20"/>
              </w:rPr>
            </w:pPr>
            <w:r w:rsidRPr="00CB24AB">
              <w:rPr>
                <w:rFonts w:ascii="Arial" w:hAnsi="Arial" w:cs="Arial"/>
                <w:sz w:val="20"/>
                <w:szCs w:val="20"/>
              </w:rPr>
              <w:t>236.247</w:t>
            </w:r>
          </w:p>
        </w:tc>
      </w:tr>
      <w:tr w:rsidR="00B03CCB" w:rsidRPr="00CB24AB" w14:paraId="0D38E610" w14:textId="77777777" w:rsidTr="00452E39">
        <w:tc>
          <w:tcPr>
            <w:tcW w:w="1575" w:type="pct"/>
          </w:tcPr>
          <w:p w14:paraId="38682EDB" w14:textId="77777777" w:rsidR="00B03CCB" w:rsidRPr="00F00F66" w:rsidRDefault="00B03CCB" w:rsidP="00452E39">
            <w:pPr>
              <w:ind w:left="332"/>
              <w:rPr>
                <w:rFonts w:ascii="Arial" w:hAnsi="Arial" w:cs="Arial"/>
                <w:sz w:val="10"/>
                <w:szCs w:val="10"/>
              </w:rPr>
            </w:pPr>
          </w:p>
        </w:tc>
        <w:tc>
          <w:tcPr>
            <w:tcW w:w="1141" w:type="pct"/>
            <w:vAlign w:val="center"/>
          </w:tcPr>
          <w:p w14:paraId="0FDA6898" w14:textId="77777777" w:rsidR="00B03CCB" w:rsidRPr="00F00F66" w:rsidRDefault="00B03CCB" w:rsidP="00452E39">
            <w:pPr>
              <w:jc w:val="center"/>
              <w:rPr>
                <w:rFonts w:ascii="Arial" w:hAnsi="Arial" w:cs="Arial"/>
                <w:sz w:val="10"/>
                <w:szCs w:val="10"/>
              </w:rPr>
            </w:pPr>
          </w:p>
        </w:tc>
        <w:tc>
          <w:tcPr>
            <w:tcW w:w="1033" w:type="pct"/>
            <w:vAlign w:val="center"/>
          </w:tcPr>
          <w:p w14:paraId="48EB4B50" w14:textId="77777777" w:rsidR="00B03CCB" w:rsidRPr="00F00F66" w:rsidRDefault="00B03CCB" w:rsidP="00452E39">
            <w:pPr>
              <w:jc w:val="center"/>
              <w:rPr>
                <w:rFonts w:ascii="Arial" w:hAnsi="Arial" w:cs="Arial"/>
                <w:sz w:val="10"/>
                <w:szCs w:val="10"/>
              </w:rPr>
            </w:pPr>
          </w:p>
        </w:tc>
        <w:tc>
          <w:tcPr>
            <w:tcW w:w="1251" w:type="pct"/>
            <w:vAlign w:val="center"/>
          </w:tcPr>
          <w:p w14:paraId="05B50978" w14:textId="77777777" w:rsidR="00B03CCB" w:rsidRPr="00F00F66" w:rsidRDefault="00B03CCB" w:rsidP="00452E39">
            <w:pPr>
              <w:jc w:val="center"/>
              <w:rPr>
                <w:rFonts w:ascii="Arial" w:hAnsi="Arial" w:cs="Arial"/>
                <w:sz w:val="10"/>
                <w:szCs w:val="10"/>
              </w:rPr>
            </w:pPr>
          </w:p>
        </w:tc>
      </w:tr>
      <w:tr w:rsidR="00B03CCB" w:rsidRPr="00CB24AB" w14:paraId="01DC422B" w14:textId="77777777" w:rsidTr="00452E39">
        <w:tc>
          <w:tcPr>
            <w:tcW w:w="1575" w:type="pct"/>
          </w:tcPr>
          <w:p w14:paraId="5ADEA065" w14:textId="77777777" w:rsidR="00B03CCB" w:rsidRPr="00CB24AB" w:rsidRDefault="00B03CCB" w:rsidP="00452E39">
            <w:pPr>
              <w:ind w:left="332"/>
              <w:rPr>
                <w:rFonts w:ascii="Arial" w:hAnsi="Arial" w:cs="Arial"/>
                <w:b/>
                <w:bCs/>
                <w:sz w:val="20"/>
                <w:szCs w:val="20"/>
              </w:rPr>
            </w:pPr>
            <w:r w:rsidRPr="00CB24AB">
              <w:rPr>
                <w:rFonts w:ascii="Arial" w:hAnsi="Arial" w:cs="Arial"/>
                <w:b/>
                <w:bCs/>
                <w:sz w:val="20"/>
                <w:szCs w:val="20"/>
              </w:rPr>
              <w:t>No history of cancer</w:t>
            </w:r>
          </w:p>
        </w:tc>
        <w:tc>
          <w:tcPr>
            <w:tcW w:w="1141" w:type="pct"/>
            <w:vAlign w:val="center"/>
          </w:tcPr>
          <w:p w14:paraId="29BC1F74" w14:textId="77777777" w:rsidR="00B03CCB" w:rsidRPr="00CB24AB" w:rsidRDefault="00B03CCB" w:rsidP="00452E39">
            <w:pPr>
              <w:jc w:val="center"/>
              <w:rPr>
                <w:rFonts w:ascii="Arial" w:hAnsi="Arial" w:cs="Arial"/>
                <w:sz w:val="20"/>
                <w:szCs w:val="20"/>
              </w:rPr>
            </w:pPr>
          </w:p>
        </w:tc>
        <w:tc>
          <w:tcPr>
            <w:tcW w:w="1033" w:type="pct"/>
            <w:vAlign w:val="center"/>
          </w:tcPr>
          <w:p w14:paraId="310F7A09" w14:textId="77777777" w:rsidR="00B03CCB" w:rsidRPr="00CB24AB" w:rsidRDefault="00B03CCB" w:rsidP="00452E39">
            <w:pPr>
              <w:jc w:val="center"/>
              <w:rPr>
                <w:rFonts w:ascii="Arial" w:hAnsi="Arial" w:cs="Arial"/>
                <w:sz w:val="20"/>
                <w:szCs w:val="20"/>
              </w:rPr>
            </w:pPr>
          </w:p>
        </w:tc>
        <w:tc>
          <w:tcPr>
            <w:tcW w:w="1251" w:type="pct"/>
            <w:vAlign w:val="center"/>
          </w:tcPr>
          <w:p w14:paraId="39C97D64" w14:textId="77777777" w:rsidR="00B03CCB" w:rsidRPr="00CB24AB" w:rsidRDefault="00B03CCB" w:rsidP="00452E39">
            <w:pPr>
              <w:jc w:val="center"/>
              <w:rPr>
                <w:rFonts w:ascii="Arial" w:hAnsi="Arial" w:cs="Arial"/>
                <w:sz w:val="20"/>
                <w:szCs w:val="20"/>
              </w:rPr>
            </w:pPr>
          </w:p>
        </w:tc>
      </w:tr>
      <w:tr w:rsidR="00B03CCB" w:rsidRPr="00CB24AB" w14:paraId="3D4B7481" w14:textId="77777777" w:rsidTr="00452E39">
        <w:tc>
          <w:tcPr>
            <w:tcW w:w="1575" w:type="pct"/>
          </w:tcPr>
          <w:p w14:paraId="79E3211E" w14:textId="77777777" w:rsidR="00B03CCB" w:rsidRPr="00CB24AB" w:rsidRDefault="00B03CCB" w:rsidP="00452E39">
            <w:pPr>
              <w:ind w:left="332"/>
              <w:rPr>
                <w:rFonts w:ascii="Arial" w:hAnsi="Arial" w:cs="Arial"/>
                <w:sz w:val="20"/>
                <w:szCs w:val="20"/>
              </w:rPr>
            </w:pPr>
            <w:r w:rsidRPr="00CB24AB">
              <w:rPr>
                <w:rFonts w:ascii="Arial" w:hAnsi="Arial" w:cs="Arial"/>
                <w:sz w:val="20"/>
                <w:szCs w:val="20"/>
              </w:rPr>
              <w:t>Postsurgical pain</w:t>
            </w:r>
          </w:p>
        </w:tc>
        <w:tc>
          <w:tcPr>
            <w:tcW w:w="1141" w:type="pct"/>
            <w:vAlign w:val="center"/>
          </w:tcPr>
          <w:p w14:paraId="197A7044" w14:textId="77777777" w:rsidR="00B03CCB" w:rsidRPr="00CB24AB" w:rsidRDefault="00B03CCB" w:rsidP="00452E39">
            <w:pPr>
              <w:jc w:val="center"/>
              <w:rPr>
                <w:rFonts w:ascii="Arial" w:hAnsi="Arial" w:cs="Arial"/>
                <w:sz w:val="20"/>
                <w:szCs w:val="20"/>
              </w:rPr>
            </w:pPr>
            <w:r w:rsidRPr="00C07F5B">
              <w:rPr>
                <w:rFonts w:ascii="Arial" w:hAnsi="Arial" w:cs="Arial"/>
                <w:sz w:val="20"/>
                <w:szCs w:val="20"/>
              </w:rPr>
              <w:t>-108.54</w:t>
            </w:r>
          </w:p>
        </w:tc>
        <w:tc>
          <w:tcPr>
            <w:tcW w:w="1033" w:type="pct"/>
            <w:vAlign w:val="center"/>
          </w:tcPr>
          <w:p w14:paraId="0931AE8F" w14:textId="77777777" w:rsidR="00B03CCB" w:rsidRPr="00CB24AB" w:rsidRDefault="00B03CCB" w:rsidP="00452E39">
            <w:pPr>
              <w:jc w:val="center"/>
              <w:rPr>
                <w:rFonts w:ascii="Arial" w:hAnsi="Arial" w:cs="Arial"/>
                <w:sz w:val="20"/>
                <w:szCs w:val="20"/>
              </w:rPr>
            </w:pPr>
            <w:r w:rsidRPr="00CB24AB">
              <w:rPr>
                <w:rFonts w:ascii="Arial" w:hAnsi="Arial" w:cs="Arial"/>
                <w:sz w:val="20"/>
                <w:szCs w:val="20"/>
              </w:rPr>
              <w:t>12.54672</w:t>
            </w:r>
          </w:p>
        </w:tc>
        <w:tc>
          <w:tcPr>
            <w:tcW w:w="1251" w:type="pct"/>
          </w:tcPr>
          <w:p w14:paraId="52024CDC" w14:textId="77777777" w:rsidR="00B03CCB" w:rsidRPr="00CB24AB" w:rsidRDefault="00B03CCB" w:rsidP="00452E39">
            <w:pPr>
              <w:jc w:val="center"/>
              <w:rPr>
                <w:rFonts w:ascii="Arial" w:hAnsi="Arial" w:cs="Arial"/>
                <w:sz w:val="20"/>
                <w:szCs w:val="20"/>
              </w:rPr>
            </w:pPr>
            <w:r w:rsidRPr="00090D9E">
              <w:rPr>
                <w:rFonts w:ascii="Arial" w:hAnsi="Arial" w:cs="Arial"/>
                <w:sz w:val="20"/>
                <w:szCs w:val="20"/>
              </w:rPr>
              <w:t>12.47365</w:t>
            </w:r>
          </w:p>
        </w:tc>
      </w:tr>
      <w:tr w:rsidR="00B03CCB" w:rsidRPr="00CB24AB" w14:paraId="12494C1D" w14:textId="77777777" w:rsidTr="00452E39">
        <w:tc>
          <w:tcPr>
            <w:tcW w:w="1575" w:type="pct"/>
          </w:tcPr>
          <w:p w14:paraId="12C157E0" w14:textId="77777777" w:rsidR="00B03CCB" w:rsidRPr="00CB24AB" w:rsidRDefault="00B03CCB" w:rsidP="00452E39">
            <w:pPr>
              <w:ind w:left="332"/>
              <w:rPr>
                <w:rFonts w:ascii="Arial" w:hAnsi="Arial" w:cs="Arial"/>
                <w:sz w:val="20"/>
                <w:szCs w:val="20"/>
              </w:rPr>
            </w:pPr>
            <w:r w:rsidRPr="00CB24AB">
              <w:rPr>
                <w:rFonts w:ascii="Arial" w:hAnsi="Arial" w:cs="Arial"/>
                <w:sz w:val="20"/>
                <w:szCs w:val="20"/>
              </w:rPr>
              <w:t>Acute pain</w:t>
            </w:r>
          </w:p>
        </w:tc>
        <w:tc>
          <w:tcPr>
            <w:tcW w:w="1141" w:type="pct"/>
            <w:vAlign w:val="center"/>
          </w:tcPr>
          <w:p w14:paraId="1E54EC24" w14:textId="77777777" w:rsidR="00B03CCB" w:rsidRPr="00CB24AB" w:rsidRDefault="00B03CCB" w:rsidP="00452E39">
            <w:pPr>
              <w:jc w:val="center"/>
              <w:rPr>
                <w:rFonts w:ascii="Arial" w:hAnsi="Arial" w:cs="Arial"/>
                <w:sz w:val="20"/>
                <w:szCs w:val="20"/>
              </w:rPr>
            </w:pPr>
            <w:r w:rsidRPr="00C07F5B">
              <w:rPr>
                <w:rFonts w:ascii="Arial" w:hAnsi="Arial" w:cs="Arial"/>
                <w:sz w:val="20"/>
                <w:szCs w:val="20"/>
              </w:rPr>
              <w:t>-65.4489</w:t>
            </w:r>
          </w:p>
        </w:tc>
        <w:tc>
          <w:tcPr>
            <w:tcW w:w="1033" w:type="pct"/>
            <w:vAlign w:val="center"/>
          </w:tcPr>
          <w:p w14:paraId="3AF3EAA9" w14:textId="77777777" w:rsidR="00B03CCB" w:rsidRPr="00CB24AB" w:rsidRDefault="00B03CCB" w:rsidP="00452E39">
            <w:pPr>
              <w:jc w:val="center"/>
              <w:rPr>
                <w:rFonts w:ascii="Arial" w:hAnsi="Arial" w:cs="Arial"/>
                <w:sz w:val="20"/>
                <w:szCs w:val="20"/>
              </w:rPr>
            </w:pPr>
            <w:r w:rsidRPr="00CB24AB">
              <w:rPr>
                <w:rFonts w:ascii="Arial" w:hAnsi="Arial" w:cs="Arial"/>
                <w:sz w:val="20"/>
                <w:szCs w:val="20"/>
              </w:rPr>
              <w:t>23.77832</w:t>
            </w:r>
          </w:p>
        </w:tc>
        <w:tc>
          <w:tcPr>
            <w:tcW w:w="1251" w:type="pct"/>
          </w:tcPr>
          <w:p w14:paraId="3A7E171B" w14:textId="77777777" w:rsidR="00B03CCB" w:rsidRPr="00CB24AB" w:rsidRDefault="00B03CCB" w:rsidP="00452E39">
            <w:pPr>
              <w:jc w:val="center"/>
              <w:rPr>
                <w:rFonts w:ascii="Arial" w:hAnsi="Arial" w:cs="Arial"/>
                <w:sz w:val="20"/>
                <w:szCs w:val="20"/>
              </w:rPr>
            </w:pPr>
            <w:r w:rsidRPr="00090D9E">
              <w:rPr>
                <w:rFonts w:ascii="Arial" w:hAnsi="Arial" w:cs="Arial"/>
                <w:sz w:val="20"/>
                <w:szCs w:val="20"/>
              </w:rPr>
              <w:t>19.44019</w:t>
            </w:r>
          </w:p>
        </w:tc>
      </w:tr>
      <w:tr w:rsidR="00B03CCB" w:rsidRPr="00CB24AB" w14:paraId="7298B35E" w14:textId="77777777" w:rsidTr="00452E39">
        <w:tc>
          <w:tcPr>
            <w:tcW w:w="1575" w:type="pct"/>
          </w:tcPr>
          <w:p w14:paraId="20F9BE31" w14:textId="77777777" w:rsidR="00B03CCB" w:rsidRPr="00CB24AB" w:rsidRDefault="00B03CCB" w:rsidP="00452E39">
            <w:pPr>
              <w:ind w:left="332"/>
              <w:rPr>
                <w:rFonts w:ascii="Arial" w:hAnsi="Arial" w:cs="Arial"/>
                <w:sz w:val="20"/>
                <w:szCs w:val="20"/>
              </w:rPr>
            </w:pPr>
            <w:r w:rsidRPr="00CB24AB">
              <w:rPr>
                <w:rFonts w:ascii="Arial" w:hAnsi="Arial" w:cs="Arial"/>
                <w:sz w:val="20"/>
                <w:szCs w:val="20"/>
              </w:rPr>
              <w:t>Chronic pain</w:t>
            </w:r>
          </w:p>
        </w:tc>
        <w:tc>
          <w:tcPr>
            <w:tcW w:w="1141" w:type="pct"/>
            <w:vAlign w:val="center"/>
          </w:tcPr>
          <w:p w14:paraId="2802267C" w14:textId="77777777" w:rsidR="00B03CCB" w:rsidRPr="00CB24AB" w:rsidRDefault="00B03CCB" w:rsidP="00452E39">
            <w:pPr>
              <w:jc w:val="center"/>
              <w:rPr>
                <w:rFonts w:ascii="Arial" w:hAnsi="Arial" w:cs="Arial"/>
                <w:sz w:val="20"/>
                <w:szCs w:val="20"/>
              </w:rPr>
            </w:pPr>
            <w:r w:rsidRPr="00C07F5B">
              <w:rPr>
                <w:rFonts w:ascii="Arial" w:hAnsi="Arial" w:cs="Arial"/>
                <w:sz w:val="20"/>
                <w:szCs w:val="20"/>
              </w:rPr>
              <w:t>96.81897</w:t>
            </w:r>
          </w:p>
        </w:tc>
        <w:tc>
          <w:tcPr>
            <w:tcW w:w="1033" w:type="pct"/>
            <w:vAlign w:val="center"/>
          </w:tcPr>
          <w:p w14:paraId="758B1DDD" w14:textId="77777777" w:rsidR="00B03CCB" w:rsidRPr="00CB24AB" w:rsidRDefault="00B03CCB" w:rsidP="00452E39">
            <w:pPr>
              <w:jc w:val="center"/>
              <w:rPr>
                <w:rFonts w:ascii="Arial" w:hAnsi="Arial" w:cs="Arial"/>
                <w:sz w:val="20"/>
                <w:szCs w:val="20"/>
              </w:rPr>
            </w:pPr>
            <w:r w:rsidRPr="00CB24AB">
              <w:rPr>
                <w:rFonts w:ascii="Arial" w:hAnsi="Arial" w:cs="Arial"/>
                <w:sz w:val="20"/>
                <w:szCs w:val="20"/>
              </w:rPr>
              <w:t>148.598</w:t>
            </w:r>
          </w:p>
        </w:tc>
        <w:tc>
          <w:tcPr>
            <w:tcW w:w="1251" w:type="pct"/>
          </w:tcPr>
          <w:p w14:paraId="750597AD" w14:textId="77777777" w:rsidR="00B03CCB" w:rsidRPr="00CB24AB" w:rsidRDefault="00B03CCB" w:rsidP="00452E39">
            <w:pPr>
              <w:jc w:val="center"/>
              <w:rPr>
                <w:rFonts w:ascii="Arial" w:hAnsi="Arial" w:cs="Arial"/>
                <w:sz w:val="20"/>
                <w:szCs w:val="20"/>
              </w:rPr>
            </w:pPr>
            <w:r w:rsidRPr="00090D9E">
              <w:rPr>
                <w:rFonts w:ascii="Arial" w:hAnsi="Arial" w:cs="Arial"/>
                <w:sz w:val="20"/>
                <w:szCs w:val="20"/>
              </w:rPr>
              <w:t>68.79801</w:t>
            </w:r>
          </w:p>
        </w:tc>
      </w:tr>
      <w:tr w:rsidR="00B03CCB" w:rsidRPr="00CB24AB" w14:paraId="6939BA6F" w14:textId="77777777" w:rsidTr="00452E39">
        <w:tc>
          <w:tcPr>
            <w:tcW w:w="1575" w:type="pct"/>
          </w:tcPr>
          <w:p w14:paraId="67261029" w14:textId="77777777" w:rsidR="00B03CCB" w:rsidRPr="00F00F66" w:rsidRDefault="00B03CCB" w:rsidP="00452E39">
            <w:pPr>
              <w:rPr>
                <w:rFonts w:ascii="Arial" w:hAnsi="Arial" w:cs="Arial"/>
                <w:sz w:val="10"/>
                <w:szCs w:val="10"/>
              </w:rPr>
            </w:pPr>
          </w:p>
        </w:tc>
        <w:tc>
          <w:tcPr>
            <w:tcW w:w="1141" w:type="pct"/>
            <w:vAlign w:val="center"/>
          </w:tcPr>
          <w:p w14:paraId="3A46EE34" w14:textId="77777777" w:rsidR="00B03CCB" w:rsidRPr="00F00F66" w:rsidRDefault="00B03CCB" w:rsidP="00452E39">
            <w:pPr>
              <w:jc w:val="center"/>
              <w:rPr>
                <w:rFonts w:ascii="Arial" w:hAnsi="Arial" w:cs="Arial"/>
                <w:sz w:val="10"/>
                <w:szCs w:val="10"/>
              </w:rPr>
            </w:pPr>
          </w:p>
        </w:tc>
        <w:tc>
          <w:tcPr>
            <w:tcW w:w="1033" w:type="pct"/>
            <w:vAlign w:val="center"/>
          </w:tcPr>
          <w:p w14:paraId="4E2D1DA7" w14:textId="77777777" w:rsidR="00B03CCB" w:rsidRPr="00F00F66" w:rsidRDefault="00B03CCB" w:rsidP="00452E39">
            <w:pPr>
              <w:jc w:val="center"/>
              <w:rPr>
                <w:rFonts w:ascii="Arial" w:hAnsi="Arial" w:cs="Arial"/>
                <w:sz w:val="10"/>
                <w:szCs w:val="10"/>
              </w:rPr>
            </w:pPr>
          </w:p>
        </w:tc>
        <w:tc>
          <w:tcPr>
            <w:tcW w:w="1251" w:type="pct"/>
            <w:vAlign w:val="center"/>
          </w:tcPr>
          <w:p w14:paraId="33D76490" w14:textId="77777777" w:rsidR="00B03CCB" w:rsidRPr="00F00F66" w:rsidRDefault="00B03CCB" w:rsidP="00452E39">
            <w:pPr>
              <w:jc w:val="center"/>
              <w:rPr>
                <w:rFonts w:ascii="Arial" w:hAnsi="Arial" w:cs="Arial"/>
                <w:sz w:val="10"/>
                <w:szCs w:val="10"/>
              </w:rPr>
            </w:pPr>
          </w:p>
        </w:tc>
      </w:tr>
      <w:tr w:rsidR="00B03CCB" w:rsidRPr="00CB24AB" w14:paraId="6EC66BBF" w14:textId="77777777" w:rsidTr="00452E39">
        <w:tc>
          <w:tcPr>
            <w:tcW w:w="1575" w:type="pct"/>
          </w:tcPr>
          <w:p w14:paraId="66B21129" w14:textId="77777777" w:rsidR="00B03CCB" w:rsidRPr="00CB24AB" w:rsidRDefault="00B03CCB" w:rsidP="00452E39">
            <w:pPr>
              <w:spacing w:after="120"/>
              <w:rPr>
                <w:rFonts w:ascii="Arial" w:hAnsi="Arial" w:cs="Arial"/>
                <w:b/>
                <w:bCs/>
                <w:sz w:val="20"/>
                <w:szCs w:val="20"/>
              </w:rPr>
            </w:pPr>
            <w:r w:rsidRPr="00CB24AB">
              <w:rPr>
                <w:rFonts w:ascii="Arial" w:hAnsi="Arial" w:cs="Arial"/>
                <w:b/>
                <w:bCs/>
                <w:sz w:val="20"/>
                <w:szCs w:val="20"/>
              </w:rPr>
              <w:t>Mean daily MME</w:t>
            </w:r>
          </w:p>
        </w:tc>
        <w:tc>
          <w:tcPr>
            <w:tcW w:w="1141" w:type="pct"/>
            <w:vAlign w:val="center"/>
          </w:tcPr>
          <w:p w14:paraId="58492DC1" w14:textId="77777777" w:rsidR="00B03CCB" w:rsidRPr="00CB24AB" w:rsidRDefault="00B03CCB" w:rsidP="00452E39">
            <w:pPr>
              <w:jc w:val="center"/>
              <w:rPr>
                <w:rFonts w:ascii="Arial" w:hAnsi="Arial" w:cs="Arial"/>
                <w:sz w:val="20"/>
                <w:szCs w:val="20"/>
              </w:rPr>
            </w:pPr>
          </w:p>
        </w:tc>
        <w:tc>
          <w:tcPr>
            <w:tcW w:w="1033" w:type="pct"/>
            <w:vAlign w:val="center"/>
          </w:tcPr>
          <w:p w14:paraId="0A6D397B" w14:textId="77777777" w:rsidR="00B03CCB" w:rsidRPr="00CB24AB" w:rsidRDefault="00B03CCB" w:rsidP="00452E39">
            <w:pPr>
              <w:jc w:val="center"/>
              <w:rPr>
                <w:rFonts w:ascii="Arial" w:hAnsi="Arial" w:cs="Arial"/>
                <w:sz w:val="20"/>
                <w:szCs w:val="20"/>
              </w:rPr>
            </w:pPr>
          </w:p>
        </w:tc>
        <w:tc>
          <w:tcPr>
            <w:tcW w:w="1251" w:type="pct"/>
            <w:vAlign w:val="center"/>
          </w:tcPr>
          <w:p w14:paraId="1B42DA89" w14:textId="77777777" w:rsidR="00B03CCB" w:rsidRPr="00CB24AB" w:rsidRDefault="00B03CCB" w:rsidP="00452E39">
            <w:pPr>
              <w:jc w:val="center"/>
              <w:rPr>
                <w:rFonts w:ascii="Arial" w:hAnsi="Arial" w:cs="Arial"/>
                <w:sz w:val="20"/>
                <w:szCs w:val="20"/>
              </w:rPr>
            </w:pPr>
          </w:p>
        </w:tc>
      </w:tr>
      <w:tr w:rsidR="00B03CCB" w:rsidRPr="00CB24AB" w14:paraId="41BC8259" w14:textId="77777777" w:rsidTr="00452E39">
        <w:tc>
          <w:tcPr>
            <w:tcW w:w="1575" w:type="pct"/>
          </w:tcPr>
          <w:p w14:paraId="4D205E25" w14:textId="77777777" w:rsidR="00B03CCB" w:rsidRPr="00CB24AB" w:rsidRDefault="00B03CCB" w:rsidP="00452E39">
            <w:pPr>
              <w:ind w:left="332"/>
              <w:rPr>
                <w:rFonts w:ascii="Arial" w:hAnsi="Arial" w:cs="Arial"/>
                <w:b/>
                <w:bCs/>
                <w:sz w:val="20"/>
                <w:szCs w:val="20"/>
              </w:rPr>
            </w:pPr>
            <w:r w:rsidRPr="00CB24AB">
              <w:rPr>
                <w:rFonts w:ascii="Arial" w:hAnsi="Arial" w:cs="Arial"/>
                <w:b/>
                <w:bCs/>
                <w:sz w:val="20"/>
                <w:szCs w:val="20"/>
              </w:rPr>
              <w:t>Overall</w:t>
            </w:r>
          </w:p>
        </w:tc>
        <w:tc>
          <w:tcPr>
            <w:tcW w:w="1141" w:type="pct"/>
            <w:vAlign w:val="center"/>
          </w:tcPr>
          <w:p w14:paraId="6DC890AC" w14:textId="77777777" w:rsidR="00B03CCB" w:rsidRPr="00CB24AB" w:rsidRDefault="00B03CCB" w:rsidP="00452E39">
            <w:pPr>
              <w:jc w:val="center"/>
              <w:rPr>
                <w:rFonts w:ascii="Arial" w:hAnsi="Arial" w:cs="Arial"/>
                <w:sz w:val="20"/>
                <w:szCs w:val="20"/>
              </w:rPr>
            </w:pPr>
          </w:p>
        </w:tc>
        <w:tc>
          <w:tcPr>
            <w:tcW w:w="1033" w:type="pct"/>
            <w:vAlign w:val="center"/>
          </w:tcPr>
          <w:p w14:paraId="42631184" w14:textId="77777777" w:rsidR="00B03CCB" w:rsidRPr="00CB24AB" w:rsidRDefault="00B03CCB" w:rsidP="00452E39">
            <w:pPr>
              <w:jc w:val="center"/>
              <w:rPr>
                <w:rFonts w:ascii="Arial" w:hAnsi="Arial" w:cs="Arial"/>
                <w:sz w:val="20"/>
                <w:szCs w:val="20"/>
              </w:rPr>
            </w:pPr>
          </w:p>
        </w:tc>
        <w:tc>
          <w:tcPr>
            <w:tcW w:w="1251" w:type="pct"/>
            <w:vAlign w:val="center"/>
          </w:tcPr>
          <w:p w14:paraId="6DA3D8AE" w14:textId="77777777" w:rsidR="00B03CCB" w:rsidRPr="00CB24AB" w:rsidRDefault="00B03CCB" w:rsidP="00452E39">
            <w:pPr>
              <w:jc w:val="center"/>
              <w:rPr>
                <w:rFonts w:ascii="Arial" w:hAnsi="Arial" w:cs="Arial"/>
                <w:sz w:val="20"/>
                <w:szCs w:val="20"/>
              </w:rPr>
            </w:pPr>
          </w:p>
        </w:tc>
      </w:tr>
      <w:tr w:rsidR="00B03CCB" w:rsidRPr="00CB24AB" w14:paraId="0CCFC0FB" w14:textId="77777777" w:rsidTr="00452E39">
        <w:tc>
          <w:tcPr>
            <w:tcW w:w="1575" w:type="pct"/>
          </w:tcPr>
          <w:p w14:paraId="77E162FA" w14:textId="77777777" w:rsidR="00B03CCB" w:rsidRPr="00CB24AB" w:rsidRDefault="00B03CCB" w:rsidP="00452E39">
            <w:pPr>
              <w:ind w:left="332"/>
              <w:rPr>
                <w:rFonts w:ascii="Arial" w:hAnsi="Arial" w:cs="Arial"/>
                <w:sz w:val="20"/>
                <w:szCs w:val="20"/>
              </w:rPr>
            </w:pPr>
            <w:r w:rsidRPr="00CB24AB">
              <w:rPr>
                <w:rFonts w:ascii="Arial" w:hAnsi="Arial" w:cs="Arial"/>
                <w:sz w:val="20"/>
                <w:szCs w:val="20"/>
              </w:rPr>
              <w:t>Postsurgical pain</w:t>
            </w:r>
          </w:p>
        </w:tc>
        <w:tc>
          <w:tcPr>
            <w:tcW w:w="1141" w:type="pct"/>
            <w:vAlign w:val="center"/>
          </w:tcPr>
          <w:p w14:paraId="1C9EF813" w14:textId="77777777" w:rsidR="00B03CCB" w:rsidRPr="00CB24AB" w:rsidRDefault="00B03CCB" w:rsidP="00452E39">
            <w:pPr>
              <w:jc w:val="center"/>
              <w:rPr>
                <w:rFonts w:ascii="Arial" w:hAnsi="Arial" w:cs="Arial"/>
                <w:sz w:val="20"/>
                <w:szCs w:val="20"/>
              </w:rPr>
            </w:pPr>
            <w:r w:rsidRPr="00AC0EE3">
              <w:rPr>
                <w:rFonts w:ascii="Arial" w:hAnsi="Arial" w:cs="Arial"/>
                <w:sz w:val="20"/>
                <w:szCs w:val="20"/>
              </w:rPr>
              <w:t>230.6742</w:t>
            </w:r>
          </w:p>
        </w:tc>
        <w:tc>
          <w:tcPr>
            <w:tcW w:w="1033" w:type="pct"/>
          </w:tcPr>
          <w:p w14:paraId="199FB012" w14:textId="77777777" w:rsidR="00B03CCB" w:rsidRPr="00CB24AB" w:rsidRDefault="00B03CCB" w:rsidP="00452E39">
            <w:pPr>
              <w:jc w:val="center"/>
              <w:rPr>
                <w:rFonts w:ascii="Arial" w:hAnsi="Arial" w:cs="Arial"/>
                <w:sz w:val="20"/>
                <w:szCs w:val="20"/>
              </w:rPr>
            </w:pPr>
            <w:r w:rsidRPr="006732B8">
              <w:rPr>
                <w:rFonts w:ascii="Arial" w:hAnsi="Arial" w:cs="Arial"/>
                <w:sz w:val="20"/>
                <w:szCs w:val="20"/>
              </w:rPr>
              <w:t>–</w:t>
            </w:r>
          </w:p>
        </w:tc>
        <w:tc>
          <w:tcPr>
            <w:tcW w:w="1251" w:type="pct"/>
          </w:tcPr>
          <w:p w14:paraId="1E325ABD" w14:textId="77777777" w:rsidR="00B03CCB" w:rsidRPr="00CB24AB" w:rsidRDefault="00B03CCB" w:rsidP="00452E39">
            <w:pPr>
              <w:jc w:val="center"/>
              <w:rPr>
                <w:rFonts w:ascii="Arial" w:hAnsi="Arial" w:cs="Arial"/>
                <w:sz w:val="20"/>
                <w:szCs w:val="20"/>
              </w:rPr>
            </w:pPr>
            <w:r w:rsidRPr="00683FDF">
              <w:rPr>
                <w:rFonts w:ascii="Arial" w:hAnsi="Arial" w:cs="Arial"/>
                <w:sz w:val="20"/>
                <w:szCs w:val="20"/>
              </w:rPr>
              <w:t>–</w:t>
            </w:r>
          </w:p>
        </w:tc>
      </w:tr>
      <w:tr w:rsidR="00B03CCB" w:rsidRPr="00CB24AB" w14:paraId="2ECFF85E" w14:textId="77777777" w:rsidTr="00452E39">
        <w:tc>
          <w:tcPr>
            <w:tcW w:w="1575" w:type="pct"/>
          </w:tcPr>
          <w:p w14:paraId="192B1921" w14:textId="77777777" w:rsidR="00B03CCB" w:rsidRPr="00CB24AB" w:rsidRDefault="00B03CCB" w:rsidP="00452E39">
            <w:pPr>
              <w:ind w:left="332"/>
              <w:rPr>
                <w:rFonts w:ascii="Arial" w:hAnsi="Arial" w:cs="Arial"/>
                <w:sz w:val="20"/>
                <w:szCs w:val="20"/>
              </w:rPr>
            </w:pPr>
            <w:r w:rsidRPr="00CB24AB">
              <w:rPr>
                <w:rFonts w:ascii="Arial" w:hAnsi="Arial" w:cs="Arial"/>
                <w:sz w:val="20"/>
                <w:szCs w:val="20"/>
              </w:rPr>
              <w:t>Acute pain</w:t>
            </w:r>
          </w:p>
        </w:tc>
        <w:tc>
          <w:tcPr>
            <w:tcW w:w="1141" w:type="pct"/>
            <w:vAlign w:val="center"/>
          </w:tcPr>
          <w:p w14:paraId="256FC674" w14:textId="77777777" w:rsidR="00B03CCB" w:rsidRPr="00CB24AB" w:rsidRDefault="00B03CCB" w:rsidP="00452E39">
            <w:pPr>
              <w:jc w:val="center"/>
              <w:rPr>
                <w:rFonts w:ascii="Arial" w:hAnsi="Arial" w:cs="Arial"/>
                <w:sz w:val="20"/>
                <w:szCs w:val="20"/>
              </w:rPr>
            </w:pPr>
            <w:r w:rsidRPr="00AC0EE3">
              <w:rPr>
                <w:rFonts w:ascii="Arial" w:hAnsi="Arial" w:cs="Arial"/>
                <w:sz w:val="20"/>
                <w:szCs w:val="20"/>
              </w:rPr>
              <w:t>148.6881</w:t>
            </w:r>
          </w:p>
        </w:tc>
        <w:tc>
          <w:tcPr>
            <w:tcW w:w="1033" w:type="pct"/>
          </w:tcPr>
          <w:p w14:paraId="4C1D2436" w14:textId="77777777" w:rsidR="00B03CCB" w:rsidRPr="00CB24AB" w:rsidRDefault="00B03CCB" w:rsidP="00452E39">
            <w:pPr>
              <w:jc w:val="center"/>
              <w:rPr>
                <w:rFonts w:ascii="Arial" w:hAnsi="Arial" w:cs="Arial"/>
                <w:sz w:val="20"/>
                <w:szCs w:val="20"/>
              </w:rPr>
            </w:pPr>
            <w:r w:rsidRPr="006732B8">
              <w:rPr>
                <w:rFonts w:ascii="Arial" w:hAnsi="Arial" w:cs="Arial"/>
                <w:sz w:val="20"/>
                <w:szCs w:val="20"/>
              </w:rPr>
              <w:t>–</w:t>
            </w:r>
          </w:p>
        </w:tc>
        <w:tc>
          <w:tcPr>
            <w:tcW w:w="1251" w:type="pct"/>
          </w:tcPr>
          <w:p w14:paraId="1502FDD1" w14:textId="77777777" w:rsidR="00B03CCB" w:rsidRPr="00CB24AB" w:rsidRDefault="00B03CCB" w:rsidP="00452E39">
            <w:pPr>
              <w:jc w:val="center"/>
              <w:rPr>
                <w:rFonts w:ascii="Arial" w:hAnsi="Arial" w:cs="Arial"/>
                <w:sz w:val="20"/>
                <w:szCs w:val="20"/>
              </w:rPr>
            </w:pPr>
            <w:r w:rsidRPr="00683FDF">
              <w:rPr>
                <w:rFonts w:ascii="Arial" w:hAnsi="Arial" w:cs="Arial"/>
                <w:sz w:val="20"/>
                <w:szCs w:val="20"/>
              </w:rPr>
              <w:t>–</w:t>
            </w:r>
          </w:p>
        </w:tc>
      </w:tr>
      <w:tr w:rsidR="00B03CCB" w:rsidRPr="00CB24AB" w14:paraId="119EE4B4" w14:textId="77777777" w:rsidTr="00452E39">
        <w:tc>
          <w:tcPr>
            <w:tcW w:w="1575" w:type="pct"/>
          </w:tcPr>
          <w:p w14:paraId="7B7805E3" w14:textId="77777777" w:rsidR="00B03CCB" w:rsidRPr="00CB24AB" w:rsidRDefault="00B03CCB" w:rsidP="00452E39">
            <w:pPr>
              <w:ind w:left="332"/>
              <w:rPr>
                <w:rFonts w:ascii="Arial" w:hAnsi="Arial" w:cs="Arial"/>
                <w:sz w:val="20"/>
                <w:szCs w:val="20"/>
              </w:rPr>
            </w:pPr>
            <w:r w:rsidRPr="00CB24AB">
              <w:rPr>
                <w:rFonts w:ascii="Arial" w:hAnsi="Arial" w:cs="Arial"/>
                <w:sz w:val="20"/>
                <w:szCs w:val="20"/>
              </w:rPr>
              <w:t>Chronic pain</w:t>
            </w:r>
          </w:p>
        </w:tc>
        <w:tc>
          <w:tcPr>
            <w:tcW w:w="1141" w:type="pct"/>
            <w:vAlign w:val="center"/>
          </w:tcPr>
          <w:p w14:paraId="4686CA34" w14:textId="77777777" w:rsidR="00B03CCB" w:rsidRPr="00CB24AB" w:rsidRDefault="00B03CCB" w:rsidP="00452E39">
            <w:pPr>
              <w:jc w:val="center"/>
              <w:rPr>
                <w:rFonts w:ascii="Arial" w:hAnsi="Arial" w:cs="Arial"/>
                <w:sz w:val="20"/>
                <w:szCs w:val="20"/>
              </w:rPr>
            </w:pPr>
            <w:r w:rsidRPr="00AC0EE3">
              <w:rPr>
                <w:rFonts w:ascii="Arial" w:hAnsi="Arial" w:cs="Arial"/>
                <w:sz w:val="20"/>
                <w:szCs w:val="20"/>
              </w:rPr>
              <w:t>117.7825</w:t>
            </w:r>
          </w:p>
        </w:tc>
        <w:tc>
          <w:tcPr>
            <w:tcW w:w="1033" w:type="pct"/>
          </w:tcPr>
          <w:p w14:paraId="3C0806BB" w14:textId="77777777" w:rsidR="00B03CCB" w:rsidRPr="00CB24AB" w:rsidRDefault="00B03CCB" w:rsidP="00452E39">
            <w:pPr>
              <w:jc w:val="center"/>
              <w:rPr>
                <w:rFonts w:ascii="Arial" w:hAnsi="Arial" w:cs="Arial"/>
                <w:sz w:val="20"/>
                <w:szCs w:val="20"/>
              </w:rPr>
            </w:pPr>
            <w:r w:rsidRPr="006732B8">
              <w:rPr>
                <w:rFonts w:ascii="Arial" w:hAnsi="Arial" w:cs="Arial"/>
                <w:sz w:val="20"/>
                <w:szCs w:val="20"/>
              </w:rPr>
              <w:t>–</w:t>
            </w:r>
          </w:p>
        </w:tc>
        <w:tc>
          <w:tcPr>
            <w:tcW w:w="1251" w:type="pct"/>
          </w:tcPr>
          <w:p w14:paraId="1AF7059C" w14:textId="77777777" w:rsidR="00B03CCB" w:rsidRPr="00CB24AB" w:rsidRDefault="00B03CCB" w:rsidP="00452E39">
            <w:pPr>
              <w:jc w:val="center"/>
              <w:rPr>
                <w:rFonts w:ascii="Arial" w:hAnsi="Arial" w:cs="Arial"/>
                <w:sz w:val="20"/>
                <w:szCs w:val="20"/>
              </w:rPr>
            </w:pPr>
            <w:r w:rsidRPr="00683FDF">
              <w:rPr>
                <w:rFonts w:ascii="Arial" w:hAnsi="Arial" w:cs="Arial"/>
                <w:sz w:val="20"/>
                <w:szCs w:val="20"/>
              </w:rPr>
              <w:t>–</w:t>
            </w:r>
          </w:p>
        </w:tc>
      </w:tr>
      <w:tr w:rsidR="00B03CCB" w:rsidRPr="00CB24AB" w14:paraId="112C6FC0" w14:textId="77777777" w:rsidTr="00452E39">
        <w:tc>
          <w:tcPr>
            <w:tcW w:w="1575" w:type="pct"/>
          </w:tcPr>
          <w:p w14:paraId="17B87541" w14:textId="77777777" w:rsidR="00B03CCB" w:rsidRPr="00F00F66" w:rsidRDefault="00B03CCB" w:rsidP="00452E39">
            <w:pPr>
              <w:ind w:left="332"/>
              <w:rPr>
                <w:rFonts w:ascii="Arial" w:hAnsi="Arial" w:cs="Arial"/>
                <w:sz w:val="10"/>
                <w:szCs w:val="10"/>
              </w:rPr>
            </w:pPr>
          </w:p>
        </w:tc>
        <w:tc>
          <w:tcPr>
            <w:tcW w:w="1141" w:type="pct"/>
            <w:vAlign w:val="center"/>
          </w:tcPr>
          <w:p w14:paraId="1A770A5E" w14:textId="77777777" w:rsidR="00B03CCB" w:rsidRPr="00F00F66" w:rsidRDefault="00B03CCB" w:rsidP="00452E39">
            <w:pPr>
              <w:jc w:val="center"/>
              <w:rPr>
                <w:rFonts w:ascii="Arial" w:hAnsi="Arial" w:cs="Arial"/>
                <w:sz w:val="10"/>
                <w:szCs w:val="10"/>
              </w:rPr>
            </w:pPr>
          </w:p>
        </w:tc>
        <w:tc>
          <w:tcPr>
            <w:tcW w:w="1033" w:type="pct"/>
            <w:vAlign w:val="center"/>
          </w:tcPr>
          <w:p w14:paraId="63D58420" w14:textId="77777777" w:rsidR="00B03CCB" w:rsidRPr="00F00F66" w:rsidRDefault="00B03CCB" w:rsidP="00452E39">
            <w:pPr>
              <w:jc w:val="center"/>
              <w:rPr>
                <w:rFonts w:ascii="Arial" w:hAnsi="Arial" w:cs="Arial"/>
                <w:sz w:val="10"/>
                <w:szCs w:val="10"/>
              </w:rPr>
            </w:pPr>
          </w:p>
        </w:tc>
        <w:tc>
          <w:tcPr>
            <w:tcW w:w="1251" w:type="pct"/>
            <w:vAlign w:val="center"/>
          </w:tcPr>
          <w:p w14:paraId="113AA083" w14:textId="77777777" w:rsidR="00B03CCB" w:rsidRPr="00F00F66" w:rsidRDefault="00B03CCB" w:rsidP="00452E39">
            <w:pPr>
              <w:jc w:val="center"/>
              <w:rPr>
                <w:rFonts w:ascii="Arial" w:hAnsi="Arial" w:cs="Arial"/>
                <w:sz w:val="10"/>
                <w:szCs w:val="10"/>
              </w:rPr>
            </w:pPr>
          </w:p>
        </w:tc>
      </w:tr>
      <w:tr w:rsidR="00B03CCB" w:rsidRPr="00CB24AB" w14:paraId="143B172C" w14:textId="77777777" w:rsidTr="00452E39">
        <w:tc>
          <w:tcPr>
            <w:tcW w:w="1575" w:type="pct"/>
          </w:tcPr>
          <w:p w14:paraId="70C7C807" w14:textId="77777777" w:rsidR="00B03CCB" w:rsidRPr="00CB24AB" w:rsidRDefault="00B03CCB" w:rsidP="00452E39">
            <w:pPr>
              <w:ind w:left="332"/>
              <w:rPr>
                <w:rFonts w:ascii="Arial" w:hAnsi="Arial" w:cs="Arial"/>
                <w:b/>
                <w:bCs/>
                <w:sz w:val="20"/>
                <w:szCs w:val="20"/>
              </w:rPr>
            </w:pPr>
            <w:r w:rsidRPr="00CB24AB">
              <w:rPr>
                <w:rFonts w:ascii="Arial" w:hAnsi="Arial" w:cs="Arial"/>
                <w:b/>
                <w:bCs/>
                <w:sz w:val="20"/>
                <w:szCs w:val="20"/>
              </w:rPr>
              <w:t>History of cancer</w:t>
            </w:r>
          </w:p>
        </w:tc>
        <w:tc>
          <w:tcPr>
            <w:tcW w:w="1141" w:type="pct"/>
            <w:vAlign w:val="center"/>
          </w:tcPr>
          <w:p w14:paraId="3B51A5FC" w14:textId="77777777" w:rsidR="00B03CCB" w:rsidRPr="00CB24AB" w:rsidRDefault="00B03CCB" w:rsidP="00452E39">
            <w:pPr>
              <w:jc w:val="center"/>
              <w:rPr>
                <w:rFonts w:ascii="Arial" w:hAnsi="Arial" w:cs="Arial"/>
                <w:sz w:val="20"/>
                <w:szCs w:val="20"/>
              </w:rPr>
            </w:pPr>
          </w:p>
        </w:tc>
        <w:tc>
          <w:tcPr>
            <w:tcW w:w="1033" w:type="pct"/>
            <w:vAlign w:val="center"/>
          </w:tcPr>
          <w:p w14:paraId="46598EB0" w14:textId="77777777" w:rsidR="00B03CCB" w:rsidRPr="00CB24AB" w:rsidRDefault="00B03CCB" w:rsidP="00452E39">
            <w:pPr>
              <w:jc w:val="center"/>
              <w:rPr>
                <w:rFonts w:ascii="Arial" w:hAnsi="Arial" w:cs="Arial"/>
                <w:sz w:val="20"/>
                <w:szCs w:val="20"/>
              </w:rPr>
            </w:pPr>
          </w:p>
        </w:tc>
        <w:tc>
          <w:tcPr>
            <w:tcW w:w="1251" w:type="pct"/>
            <w:vAlign w:val="center"/>
          </w:tcPr>
          <w:p w14:paraId="74C3BD1E" w14:textId="77777777" w:rsidR="00B03CCB" w:rsidRPr="00CB24AB" w:rsidRDefault="00B03CCB" w:rsidP="00452E39">
            <w:pPr>
              <w:jc w:val="center"/>
              <w:rPr>
                <w:rFonts w:ascii="Arial" w:hAnsi="Arial" w:cs="Arial"/>
                <w:sz w:val="20"/>
                <w:szCs w:val="20"/>
              </w:rPr>
            </w:pPr>
          </w:p>
        </w:tc>
      </w:tr>
      <w:tr w:rsidR="00B03CCB" w:rsidRPr="00CB24AB" w14:paraId="019BD377" w14:textId="77777777" w:rsidTr="00452E39">
        <w:tc>
          <w:tcPr>
            <w:tcW w:w="1575" w:type="pct"/>
          </w:tcPr>
          <w:p w14:paraId="39F49C6C" w14:textId="77777777" w:rsidR="00B03CCB" w:rsidRPr="00CB24AB" w:rsidRDefault="00B03CCB" w:rsidP="00452E39">
            <w:pPr>
              <w:ind w:left="332"/>
              <w:rPr>
                <w:rFonts w:ascii="Arial" w:hAnsi="Arial" w:cs="Arial"/>
                <w:sz w:val="20"/>
                <w:szCs w:val="20"/>
              </w:rPr>
            </w:pPr>
            <w:r w:rsidRPr="00CB24AB">
              <w:rPr>
                <w:rFonts w:ascii="Arial" w:hAnsi="Arial" w:cs="Arial"/>
                <w:sz w:val="20"/>
                <w:szCs w:val="20"/>
              </w:rPr>
              <w:t>Postsurgical pain</w:t>
            </w:r>
          </w:p>
        </w:tc>
        <w:tc>
          <w:tcPr>
            <w:tcW w:w="1141" w:type="pct"/>
            <w:vAlign w:val="center"/>
          </w:tcPr>
          <w:p w14:paraId="78219FDE" w14:textId="77777777" w:rsidR="00B03CCB" w:rsidRPr="00CB24AB" w:rsidRDefault="00B03CCB" w:rsidP="00452E39">
            <w:pPr>
              <w:jc w:val="center"/>
              <w:rPr>
                <w:rFonts w:ascii="Arial" w:hAnsi="Arial" w:cs="Arial"/>
                <w:sz w:val="20"/>
                <w:szCs w:val="20"/>
              </w:rPr>
            </w:pPr>
            <w:r w:rsidRPr="00AC0EE3">
              <w:rPr>
                <w:rFonts w:ascii="Arial" w:hAnsi="Arial" w:cs="Arial"/>
                <w:sz w:val="20"/>
                <w:szCs w:val="20"/>
              </w:rPr>
              <w:t>276.4558</w:t>
            </w:r>
          </w:p>
        </w:tc>
        <w:tc>
          <w:tcPr>
            <w:tcW w:w="1033" w:type="pct"/>
          </w:tcPr>
          <w:p w14:paraId="3CFEF02D" w14:textId="77777777" w:rsidR="00B03CCB" w:rsidRPr="00CB24AB" w:rsidRDefault="00B03CCB" w:rsidP="00452E39">
            <w:pPr>
              <w:jc w:val="center"/>
              <w:rPr>
                <w:rFonts w:ascii="Arial" w:hAnsi="Arial" w:cs="Arial"/>
                <w:sz w:val="20"/>
                <w:szCs w:val="20"/>
              </w:rPr>
            </w:pPr>
            <w:r w:rsidRPr="00BD7C56">
              <w:rPr>
                <w:rFonts w:ascii="Arial" w:hAnsi="Arial" w:cs="Arial"/>
                <w:sz w:val="20"/>
                <w:szCs w:val="20"/>
              </w:rPr>
              <w:t>–</w:t>
            </w:r>
          </w:p>
        </w:tc>
        <w:tc>
          <w:tcPr>
            <w:tcW w:w="1251" w:type="pct"/>
          </w:tcPr>
          <w:p w14:paraId="1B50B0D0" w14:textId="77777777" w:rsidR="00B03CCB" w:rsidRPr="00CB24AB" w:rsidRDefault="00B03CCB" w:rsidP="00452E39">
            <w:pPr>
              <w:jc w:val="center"/>
              <w:rPr>
                <w:rFonts w:ascii="Arial" w:hAnsi="Arial" w:cs="Arial"/>
                <w:sz w:val="20"/>
                <w:szCs w:val="20"/>
              </w:rPr>
            </w:pPr>
            <w:r w:rsidRPr="00335D4F">
              <w:rPr>
                <w:rFonts w:ascii="Arial" w:hAnsi="Arial" w:cs="Arial"/>
                <w:sz w:val="20"/>
                <w:szCs w:val="20"/>
              </w:rPr>
              <w:t>–</w:t>
            </w:r>
          </w:p>
        </w:tc>
      </w:tr>
      <w:tr w:rsidR="00B03CCB" w:rsidRPr="00CB24AB" w14:paraId="2118AE17" w14:textId="77777777" w:rsidTr="00452E39">
        <w:tc>
          <w:tcPr>
            <w:tcW w:w="1575" w:type="pct"/>
          </w:tcPr>
          <w:p w14:paraId="520C1CAC" w14:textId="77777777" w:rsidR="00B03CCB" w:rsidRPr="00CB24AB" w:rsidRDefault="00B03CCB" w:rsidP="00452E39">
            <w:pPr>
              <w:ind w:left="332"/>
              <w:rPr>
                <w:rFonts w:ascii="Arial" w:hAnsi="Arial" w:cs="Arial"/>
                <w:sz w:val="20"/>
                <w:szCs w:val="20"/>
              </w:rPr>
            </w:pPr>
            <w:r w:rsidRPr="00CB24AB">
              <w:rPr>
                <w:rFonts w:ascii="Arial" w:hAnsi="Arial" w:cs="Arial"/>
                <w:sz w:val="20"/>
                <w:szCs w:val="20"/>
              </w:rPr>
              <w:t>Acute pain</w:t>
            </w:r>
          </w:p>
        </w:tc>
        <w:tc>
          <w:tcPr>
            <w:tcW w:w="1141" w:type="pct"/>
            <w:vAlign w:val="center"/>
          </w:tcPr>
          <w:p w14:paraId="35B4E547" w14:textId="77777777" w:rsidR="00B03CCB" w:rsidRPr="00CB24AB" w:rsidRDefault="00B03CCB" w:rsidP="00452E39">
            <w:pPr>
              <w:jc w:val="center"/>
              <w:rPr>
                <w:rFonts w:ascii="Arial" w:hAnsi="Arial" w:cs="Arial"/>
                <w:sz w:val="20"/>
                <w:szCs w:val="20"/>
              </w:rPr>
            </w:pPr>
            <w:r w:rsidRPr="00AC0EE3">
              <w:rPr>
                <w:rFonts w:ascii="Arial" w:hAnsi="Arial" w:cs="Arial"/>
                <w:sz w:val="20"/>
                <w:szCs w:val="20"/>
              </w:rPr>
              <w:t>313.5634</w:t>
            </w:r>
          </w:p>
        </w:tc>
        <w:tc>
          <w:tcPr>
            <w:tcW w:w="1033" w:type="pct"/>
          </w:tcPr>
          <w:p w14:paraId="77CC9E38" w14:textId="77777777" w:rsidR="00B03CCB" w:rsidRPr="00CB24AB" w:rsidRDefault="00B03CCB" w:rsidP="00452E39">
            <w:pPr>
              <w:jc w:val="center"/>
              <w:rPr>
                <w:rFonts w:ascii="Arial" w:hAnsi="Arial" w:cs="Arial"/>
                <w:sz w:val="20"/>
                <w:szCs w:val="20"/>
              </w:rPr>
            </w:pPr>
            <w:r w:rsidRPr="00BD7C56">
              <w:rPr>
                <w:rFonts w:ascii="Arial" w:hAnsi="Arial" w:cs="Arial"/>
                <w:sz w:val="20"/>
                <w:szCs w:val="20"/>
              </w:rPr>
              <w:t>–</w:t>
            </w:r>
          </w:p>
        </w:tc>
        <w:tc>
          <w:tcPr>
            <w:tcW w:w="1251" w:type="pct"/>
          </w:tcPr>
          <w:p w14:paraId="7FDECAD8" w14:textId="77777777" w:rsidR="00B03CCB" w:rsidRPr="00CB24AB" w:rsidRDefault="00B03CCB" w:rsidP="00452E39">
            <w:pPr>
              <w:jc w:val="center"/>
              <w:rPr>
                <w:rFonts w:ascii="Arial" w:hAnsi="Arial" w:cs="Arial"/>
                <w:sz w:val="20"/>
                <w:szCs w:val="20"/>
              </w:rPr>
            </w:pPr>
            <w:r w:rsidRPr="00335D4F">
              <w:rPr>
                <w:rFonts w:ascii="Arial" w:hAnsi="Arial" w:cs="Arial"/>
                <w:sz w:val="20"/>
                <w:szCs w:val="20"/>
              </w:rPr>
              <w:t>–</w:t>
            </w:r>
          </w:p>
        </w:tc>
      </w:tr>
      <w:tr w:rsidR="00B03CCB" w:rsidRPr="00CB24AB" w14:paraId="333CAAD0" w14:textId="77777777" w:rsidTr="00452E39">
        <w:tc>
          <w:tcPr>
            <w:tcW w:w="1575" w:type="pct"/>
          </w:tcPr>
          <w:p w14:paraId="4ADB784E" w14:textId="77777777" w:rsidR="00B03CCB" w:rsidRPr="00CB24AB" w:rsidRDefault="00B03CCB" w:rsidP="00452E39">
            <w:pPr>
              <w:ind w:left="332"/>
              <w:rPr>
                <w:rFonts w:ascii="Arial" w:hAnsi="Arial" w:cs="Arial"/>
                <w:sz w:val="20"/>
                <w:szCs w:val="20"/>
              </w:rPr>
            </w:pPr>
            <w:r w:rsidRPr="00CB24AB">
              <w:rPr>
                <w:rFonts w:ascii="Arial" w:hAnsi="Arial" w:cs="Arial"/>
                <w:sz w:val="20"/>
                <w:szCs w:val="20"/>
              </w:rPr>
              <w:t>Chronic pain</w:t>
            </w:r>
          </w:p>
        </w:tc>
        <w:tc>
          <w:tcPr>
            <w:tcW w:w="1141" w:type="pct"/>
            <w:vAlign w:val="center"/>
          </w:tcPr>
          <w:p w14:paraId="60A31AE8" w14:textId="77777777" w:rsidR="00B03CCB" w:rsidRPr="00CB24AB" w:rsidRDefault="00B03CCB" w:rsidP="00452E39">
            <w:pPr>
              <w:jc w:val="center"/>
              <w:rPr>
                <w:rFonts w:ascii="Arial" w:hAnsi="Arial" w:cs="Arial"/>
                <w:sz w:val="20"/>
                <w:szCs w:val="20"/>
              </w:rPr>
            </w:pPr>
            <w:r w:rsidRPr="00AC0EE3">
              <w:rPr>
                <w:rFonts w:ascii="Arial" w:hAnsi="Arial" w:cs="Arial"/>
                <w:sz w:val="20"/>
                <w:szCs w:val="20"/>
              </w:rPr>
              <w:t>251.4687</w:t>
            </w:r>
          </w:p>
        </w:tc>
        <w:tc>
          <w:tcPr>
            <w:tcW w:w="1033" w:type="pct"/>
          </w:tcPr>
          <w:p w14:paraId="6C4C1690" w14:textId="77777777" w:rsidR="00B03CCB" w:rsidRPr="00CB24AB" w:rsidRDefault="00B03CCB" w:rsidP="00452E39">
            <w:pPr>
              <w:jc w:val="center"/>
              <w:rPr>
                <w:rFonts w:ascii="Arial" w:hAnsi="Arial" w:cs="Arial"/>
                <w:sz w:val="20"/>
                <w:szCs w:val="20"/>
              </w:rPr>
            </w:pPr>
            <w:r w:rsidRPr="00BD7C56">
              <w:rPr>
                <w:rFonts w:ascii="Arial" w:hAnsi="Arial" w:cs="Arial"/>
                <w:sz w:val="20"/>
                <w:szCs w:val="20"/>
              </w:rPr>
              <w:t>–</w:t>
            </w:r>
          </w:p>
        </w:tc>
        <w:tc>
          <w:tcPr>
            <w:tcW w:w="1251" w:type="pct"/>
          </w:tcPr>
          <w:p w14:paraId="3E0A7BD0" w14:textId="77777777" w:rsidR="00B03CCB" w:rsidRPr="00CB24AB" w:rsidRDefault="00B03CCB" w:rsidP="00452E39">
            <w:pPr>
              <w:jc w:val="center"/>
              <w:rPr>
                <w:rFonts w:ascii="Arial" w:hAnsi="Arial" w:cs="Arial"/>
                <w:sz w:val="20"/>
                <w:szCs w:val="20"/>
              </w:rPr>
            </w:pPr>
            <w:r w:rsidRPr="00335D4F">
              <w:rPr>
                <w:rFonts w:ascii="Arial" w:hAnsi="Arial" w:cs="Arial"/>
                <w:sz w:val="20"/>
                <w:szCs w:val="20"/>
              </w:rPr>
              <w:t>–</w:t>
            </w:r>
          </w:p>
        </w:tc>
      </w:tr>
      <w:tr w:rsidR="00B03CCB" w:rsidRPr="00CB24AB" w14:paraId="72EB2855" w14:textId="77777777" w:rsidTr="00452E39">
        <w:tc>
          <w:tcPr>
            <w:tcW w:w="1575" w:type="pct"/>
          </w:tcPr>
          <w:p w14:paraId="3971B5A5" w14:textId="77777777" w:rsidR="00B03CCB" w:rsidRPr="00F00F66" w:rsidRDefault="00B03CCB" w:rsidP="00452E39">
            <w:pPr>
              <w:ind w:left="332"/>
              <w:rPr>
                <w:rFonts w:ascii="Arial" w:hAnsi="Arial" w:cs="Arial"/>
                <w:sz w:val="10"/>
                <w:szCs w:val="10"/>
              </w:rPr>
            </w:pPr>
          </w:p>
        </w:tc>
        <w:tc>
          <w:tcPr>
            <w:tcW w:w="1141" w:type="pct"/>
            <w:vAlign w:val="center"/>
          </w:tcPr>
          <w:p w14:paraId="5A524ABD" w14:textId="77777777" w:rsidR="00B03CCB" w:rsidRPr="00F00F66" w:rsidRDefault="00B03CCB" w:rsidP="00452E39">
            <w:pPr>
              <w:jc w:val="center"/>
              <w:rPr>
                <w:rFonts w:ascii="Arial" w:hAnsi="Arial" w:cs="Arial"/>
                <w:sz w:val="10"/>
                <w:szCs w:val="10"/>
              </w:rPr>
            </w:pPr>
          </w:p>
        </w:tc>
        <w:tc>
          <w:tcPr>
            <w:tcW w:w="1033" w:type="pct"/>
            <w:vAlign w:val="center"/>
          </w:tcPr>
          <w:p w14:paraId="220A1FA9" w14:textId="77777777" w:rsidR="00B03CCB" w:rsidRPr="00F00F66" w:rsidRDefault="00B03CCB" w:rsidP="00452E39">
            <w:pPr>
              <w:jc w:val="center"/>
              <w:rPr>
                <w:rFonts w:ascii="Arial" w:hAnsi="Arial" w:cs="Arial"/>
                <w:sz w:val="10"/>
                <w:szCs w:val="10"/>
              </w:rPr>
            </w:pPr>
          </w:p>
        </w:tc>
        <w:tc>
          <w:tcPr>
            <w:tcW w:w="1251" w:type="pct"/>
            <w:vAlign w:val="center"/>
          </w:tcPr>
          <w:p w14:paraId="796D588E" w14:textId="77777777" w:rsidR="00B03CCB" w:rsidRPr="00F00F66" w:rsidRDefault="00B03CCB" w:rsidP="00452E39">
            <w:pPr>
              <w:jc w:val="center"/>
              <w:rPr>
                <w:rFonts w:ascii="Arial" w:hAnsi="Arial" w:cs="Arial"/>
                <w:sz w:val="10"/>
                <w:szCs w:val="10"/>
              </w:rPr>
            </w:pPr>
          </w:p>
        </w:tc>
      </w:tr>
      <w:tr w:rsidR="00B03CCB" w:rsidRPr="00CB24AB" w14:paraId="34D64BFB" w14:textId="77777777" w:rsidTr="00452E39">
        <w:tc>
          <w:tcPr>
            <w:tcW w:w="1575" w:type="pct"/>
          </w:tcPr>
          <w:p w14:paraId="427742AF" w14:textId="77777777" w:rsidR="00B03CCB" w:rsidRPr="00CB24AB" w:rsidRDefault="00B03CCB" w:rsidP="00452E39">
            <w:pPr>
              <w:ind w:left="332"/>
              <w:rPr>
                <w:rFonts w:ascii="Arial" w:hAnsi="Arial" w:cs="Arial"/>
                <w:b/>
                <w:bCs/>
                <w:sz w:val="20"/>
                <w:szCs w:val="20"/>
              </w:rPr>
            </w:pPr>
            <w:r w:rsidRPr="00CB24AB">
              <w:rPr>
                <w:rFonts w:ascii="Arial" w:hAnsi="Arial" w:cs="Arial"/>
                <w:b/>
                <w:bCs/>
                <w:sz w:val="20"/>
                <w:szCs w:val="20"/>
              </w:rPr>
              <w:t>No history of cancer</w:t>
            </w:r>
          </w:p>
        </w:tc>
        <w:tc>
          <w:tcPr>
            <w:tcW w:w="1141" w:type="pct"/>
            <w:vAlign w:val="center"/>
          </w:tcPr>
          <w:p w14:paraId="74460C83" w14:textId="77777777" w:rsidR="00B03CCB" w:rsidRPr="00CB24AB" w:rsidRDefault="00B03CCB" w:rsidP="00452E39">
            <w:pPr>
              <w:jc w:val="center"/>
              <w:rPr>
                <w:rFonts w:ascii="Arial" w:hAnsi="Arial" w:cs="Arial"/>
                <w:sz w:val="20"/>
                <w:szCs w:val="20"/>
              </w:rPr>
            </w:pPr>
          </w:p>
        </w:tc>
        <w:tc>
          <w:tcPr>
            <w:tcW w:w="1033" w:type="pct"/>
            <w:vAlign w:val="center"/>
          </w:tcPr>
          <w:p w14:paraId="3E5AEEBB" w14:textId="77777777" w:rsidR="00B03CCB" w:rsidRPr="00CB24AB" w:rsidRDefault="00B03CCB" w:rsidP="00452E39">
            <w:pPr>
              <w:jc w:val="center"/>
              <w:rPr>
                <w:rFonts w:ascii="Arial" w:hAnsi="Arial" w:cs="Arial"/>
                <w:sz w:val="20"/>
                <w:szCs w:val="20"/>
              </w:rPr>
            </w:pPr>
          </w:p>
        </w:tc>
        <w:tc>
          <w:tcPr>
            <w:tcW w:w="1251" w:type="pct"/>
            <w:vAlign w:val="center"/>
          </w:tcPr>
          <w:p w14:paraId="41856090" w14:textId="77777777" w:rsidR="00B03CCB" w:rsidRPr="00CB24AB" w:rsidRDefault="00B03CCB" w:rsidP="00452E39">
            <w:pPr>
              <w:jc w:val="center"/>
              <w:rPr>
                <w:rFonts w:ascii="Arial" w:hAnsi="Arial" w:cs="Arial"/>
                <w:sz w:val="20"/>
                <w:szCs w:val="20"/>
              </w:rPr>
            </w:pPr>
          </w:p>
        </w:tc>
      </w:tr>
      <w:tr w:rsidR="00B03CCB" w:rsidRPr="00CB24AB" w14:paraId="7B135ED2" w14:textId="77777777" w:rsidTr="00452E39">
        <w:tc>
          <w:tcPr>
            <w:tcW w:w="1575" w:type="pct"/>
          </w:tcPr>
          <w:p w14:paraId="1C2DA398" w14:textId="77777777" w:rsidR="00B03CCB" w:rsidRPr="00CB24AB" w:rsidRDefault="00B03CCB" w:rsidP="00452E39">
            <w:pPr>
              <w:ind w:left="332"/>
              <w:rPr>
                <w:rFonts w:ascii="Arial" w:hAnsi="Arial" w:cs="Arial"/>
                <w:sz w:val="20"/>
                <w:szCs w:val="20"/>
              </w:rPr>
            </w:pPr>
            <w:r w:rsidRPr="00CB24AB">
              <w:rPr>
                <w:rFonts w:ascii="Arial" w:hAnsi="Arial" w:cs="Arial"/>
                <w:sz w:val="20"/>
                <w:szCs w:val="20"/>
              </w:rPr>
              <w:t>Postsurgical pain</w:t>
            </w:r>
          </w:p>
        </w:tc>
        <w:tc>
          <w:tcPr>
            <w:tcW w:w="1141" w:type="pct"/>
            <w:vAlign w:val="center"/>
          </w:tcPr>
          <w:p w14:paraId="1DE9B5AB" w14:textId="77777777" w:rsidR="00B03CCB" w:rsidRPr="00CB24AB" w:rsidRDefault="00B03CCB" w:rsidP="00452E39">
            <w:pPr>
              <w:jc w:val="center"/>
              <w:rPr>
                <w:rFonts w:ascii="Arial" w:hAnsi="Arial" w:cs="Arial"/>
                <w:sz w:val="20"/>
                <w:szCs w:val="20"/>
              </w:rPr>
            </w:pPr>
            <w:r w:rsidRPr="00AC0EE3">
              <w:rPr>
                <w:rFonts w:ascii="Arial" w:hAnsi="Arial" w:cs="Arial"/>
                <w:sz w:val="20"/>
                <w:szCs w:val="20"/>
              </w:rPr>
              <w:t>250.0172</w:t>
            </w:r>
          </w:p>
        </w:tc>
        <w:tc>
          <w:tcPr>
            <w:tcW w:w="1033" w:type="pct"/>
          </w:tcPr>
          <w:p w14:paraId="29EB247C" w14:textId="77777777" w:rsidR="00B03CCB" w:rsidRPr="00CB24AB" w:rsidRDefault="00B03CCB" w:rsidP="00452E39">
            <w:pPr>
              <w:jc w:val="center"/>
              <w:rPr>
                <w:rFonts w:ascii="Arial" w:hAnsi="Arial" w:cs="Arial"/>
                <w:sz w:val="20"/>
                <w:szCs w:val="20"/>
              </w:rPr>
            </w:pPr>
            <w:r w:rsidRPr="00584E16">
              <w:rPr>
                <w:rFonts w:ascii="Arial" w:hAnsi="Arial" w:cs="Arial"/>
                <w:sz w:val="20"/>
                <w:szCs w:val="20"/>
              </w:rPr>
              <w:t>–</w:t>
            </w:r>
          </w:p>
        </w:tc>
        <w:tc>
          <w:tcPr>
            <w:tcW w:w="1251" w:type="pct"/>
          </w:tcPr>
          <w:p w14:paraId="3CE367D6" w14:textId="77777777" w:rsidR="00B03CCB" w:rsidRPr="00CB24AB" w:rsidRDefault="00B03CCB" w:rsidP="00452E39">
            <w:pPr>
              <w:jc w:val="center"/>
              <w:rPr>
                <w:rFonts w:ascii="Arial" w:hAnsi="Arial" w:cs="Arial"/>
                <w:sz w:val="20"/>
                <w:szCs w:val="20"/>
              </w:rPr>
            </w:pPr>
            <w:r w:rsidRPr="00976546">
              <w:rPr>
                <w:rFonts w:ascii="Arial" w:hAnsi="Arial" w:cs="Arial"/>
                <w:sz w:val="20"/>
                <w:szCs w:val="20"/>
              </w:rPr>
              <w:t>–</w:t>
            </w:r>
          </w:p>
        </w:tc>
      </w:tr>
      <w:tr w:rsidR="00B03CCB" w:rsidRPr="00CB24AB" w14:paraId="4C0F48A7" w14:textId="77777777" w:rsidTr="00452E39">
        <w:tc>
          <w:tcPr>
            <w:tcW w:w="1575" w:type="pct"/>
          </w:tcPr>
          <w:p w14:paraId="31299593" w14:textId="77777777" w:rsidR="00B03CCB" w:rsidRPr="00CB24AB" w:rsidRDefault="00B03CCB" w:rsidP="00452E39">
            <w:pPr>
              <w:ind w:left="332"/>
              <w:rPr>
                <w:rFonts w:ascii="Arial" w:hAnsi="Arial" w:cs="Arial"/>
                <w:sz w:val="20"/>
                <w:szCs w:val="20"/>
              </w:rPr>
            </w:pPr>
            <w:r w:rsidRPr="00CB24AB">
              <w:rPr>
                <w:rFonts w:ascii="Arial" w:hAnsi="Arial" w:cs="Arial"/>
                <w:sz w:val="20"/>
                <w:szCs w:val="20"/>
              </w:rPr>
              <w:t>Acute pain</w:t>
            </w:r>
          </w:p>
        </w:tc>
        <w:tc>
          <w:tcPr>
            <w:tcW w:w="1141" w:type="pct"/>
            <w:vAlign w:val="center"/>
          </w:tcPr>
          <w:p w14:paraId="235C08D6" w14:textId="77777777" w:rsidR="00B03CCB" w:rsidRPr="00CB24AB" w:rsidRDefault="00B03CCB" w:rsidP="00452E39">
            <w:pPr>
              <w:jc w:val="center"/>
              <w:rPr>
                <w:rFonts w:ascii="Arial" w:hAnsi="Arial" w:cs="Arial"/>
                <w:sz w:val="20"/>
                <w:szCs w:val="20"/>
              </w:rPr>
            </w:pPr>
            <w:r w:rsidRPr="00AC0EE3">
              <w:rPr>
                <w:rFonts w:ascii="Arial" w:hAnsi="Arial" w:cs="Arial"/>
                <w:sz w:val="20"/>
                <w:szCs w:val="20"/>
              </w:rPr>
              <w:t>158.8155</w:t>
            </w:r>
          </w:p>
        </w:tc>
        <w:tc>
          <w:tcPr>
            <w:tcW w:w="1033" w:type="pct"/>
          </w:tcPr>
          <w:p w14:paraId="1CCBCAD1" w14:textId="77777777" w:rsidR="00B03CCB" w:rsidRPr="00CB24AB" w:rsidRDefault="00B03CCB" w:rsidP="00452E39">
            <w:pPr>
              <w:jc w:val="center"/>
              <w:rPr>
                <w:rFonts w:ascii="Arial" w:hAnsi="Arial" w:cs="Arial"/>
                <w:sz w:val="20"/>
                <w:szCs w:val="20"/>
              </w:rPr>
            </w:pPr>
            <w:r w:rsidRPr="00584E16">
              <w:rPr>
                <w:rFonts w:ascii="Arial" w:hAnsi="Arial" w:cs="Arial"/>
                <w:sz w:val="20"/>
                <w:szCs w:val="20"/>
              </w:rPr>
              <w:t>–</w:t>
            </w:r>
          </w:p>
        </w:tc>
        <w:tc>
          <w:tcPr>
            <w:tcW w:w="1251" w:type="pct"/>
          </w:tcPr>
          <w:p w14:paraId="51307BEE" w14:textId="77777777" w:rsidR="00B03CCB" w:rsidRPr="00CB24AB" w:rsidRDefault="00B03CCB" w:rsidP="00452E39">
            <w:pPr>
              <w:jc w:val="center"/>
              <w:rPr>
                <w:rFonts w:ascii="Arial" w:hAnsi="Arial" w:cs="Arial"/>
                <w:sz w:val="20"/>
                <w:szCs w:val="20"/>
              </w:rPr>
            </w:pPr>
            <w:r w:rsidRPr="00976546">
              <w:rPr>
                <w:rFonts w:ascii="Arial" w:hAnsi="Arial" w:cs="Arial"/>
                <w:sz w:val="20"/>
                <w:szCs w:val="20"/>
              </w:rPr>
              <w:t>–</w:t>
            </w:r>
          </w:p>
        </w:tc>
      </w:tr>
      <w:tr w:rsidR="00B03CCB" w:rsidRPr="00CB24AB" w14:paraId="780147D6" w14:textId="77777777" w:rsidTr="00452E39">
        <w:tc>
          <w:tcPr>
            <w:tcW w:w="1575" w:type="pct"/>
            <w:tcBorders>
              <w:bottom w:val="single" w:sz="4" w:space="0" w:color="auto"/>
            </w:tcBorders>
          </w:tcPr>
          <w:p w14:paraId="01631DCA" w14:textId="77777777" w:rsidR="00B03CCB" w:rsidRPr="00CB24AB" w:rsidRDefault="00B03CCB" w:rsidP="00452E39">
            <w:pPr>
              <w:ind w:left="332"/>
              <w:rPr>
                <w:rFonts w:ascii="Arial" w:hAnsi="Arial" w:cs="Arial"/>
                <w:sz w:val="20"/>
                <w:szCs w:val="20"/>
              </w:rPr>
            </w:pPr>
            <w:r w:rsidRPr="00CB24AB">
              <w:rPr>
                <w:rFonts w:ascii="Arial" w:hAnsi="Arial" w:cs="Arial"/>
                <w:sz w:val="20"/>
                <w:szCs w:val="20"/>
              </w:rPr>
              <w:t>Chronic pain</w:t>
            </w:r>
          </w:p>
        </w:tc>
        <w:tc>
          <w:tcPr>
            <w:tcW w:w="1141" w:type="pct"/>
            <w:tcBorders>
              <w:bottom w:val="single" w:sz="4" w:space="0" w:color="auto"/>
            </w:tcBorders>
            <w:vAlign w:val="center"/>
          </w:tcPr>
          <w:p w14:paraId="527A902B" w14:textId="77777777" w:rsidR="00B03CCB" w:rsidRPr="00CB24AB" w:rsidRDefault="00B03CCB" w:rsidP="00452E39">
            <w:pPr>
              <w:jc w:val="center"/>
              <w:rPr>
                <w:rFonts w:ascii="Arial" w:hAnsi="Arial" w:cs="Arial"/>
                <w:sz w:val="20"/>
                <w:szCs w:val="20"/>
              </w:rPr>
            </w:pPr>
            <w:r w:rsidRPr="00AC0EE3">
              <w:rPr>
                <w:rFonts w:ascii="Arial" w:hAnsi="Arial" w:cs="Arial"/>
                <w:sz w:val="20"/>
                <w:szCs w:val="20"/>
              </w:rPr>
              <w:t>129.4726</w:t>
            </w:r>
          </w:p>
        </w:tc>
        <w:tc>
          <w:tcPr>
            <w:tcW w:w="1033" w:type="pct"/>
            <w:tcBorders>
              <w:bottom w:val="single" w:sz="4" w:space="0" w:color="auto"/>
            </w:tcBorders>
          </w:tcPr>
          <w:p w14:paraId="42F9ADE5" w14:textId="77777777" w:rsidR="00B03CCB" w:rsidRPr="00CB24AB" w:rsidRDefault="00B03CCB" w:rsidP="00452E39">
            <w:pPr>
              <w:jc w:val="center"/>
              <w:rPr>
                <w:rFonts w:ascii="Arial" w:hAnsi="Arial" w:cs="Arial"/>
                <w:sz w:val="20"/>
                <w:szCs w:val="20"/>
              </w:rPr>
            </w:pPr>
            <w:r w:rsidRPr="00584E16">
              <w:rPr>
                <w:rFonts w:ascii="Arial" w:hAnsi="Arial" w:cs="Arial"/>
                <w:sz w:val="20"/>
                <w:szCs w:val="20"/>
              </w:rPr>
              <w:t>–</w:t>
            </w:r>
          </w:p>
        </w:tc>
        <w:tc>
          <w:tcPr>
            <w:tcW w:w="1251" w:type="pct"/>
            <w:tcBorders>
              <w:bottom w:val="single" w:sz="4" w:space="0" w:color="auto"/>
            </w:tcBorders>
          </w:tcPr>
          <w:p w14:paraId="7F90FB2F" w14:textId="77777777" w:rsidR="00B03CCB" w:rsidRPr="00CB24AB" w:rsidRDefault="00B03CCB" w:rsidP="00452E39">
            <w:pPr>
              <w:jc w:val="center"/>
              <w:rPr>
                <w:rFonts w:ascii="Arial" w:hAnsi="Arial" w:cs="Arial"/>
                <w:sz w:val="20"/>
                <w:szCs w:val="20"/>
              </w:rPr>
            </w:pPr>
            <w:r w:rsidRPr="00976546">
              <w:rPr>
                <w:rFonts w:ascii="Arial" w:hAnsi="Arial" w:cs="Arial"/>
                <w:sz w:val="20"/>
                <w:szCs w:val="20"/>
              </w:rPr>
              <w:t>–</w:t>
            </w:r>
          </w:p>
        </w:tc>
      </w:tr>
    </w:tbl>
    <w:p w14:paraId="642DD00E" w14:textId="77777777" w:rsidR="00B03CCB" w:rsidRDefault="00B03CCB" w:rsidP="00B03CCB">
      <w:pPr>
        <w:pStyle w:val="ListParagraph"/>
        <w:numPr>
          <w:ilvl w:val="0"/>
          <w:numId w:val="4"/>
        </w:numPr>
        <w:rPr>
          <w:rFonts w:ascii="Arial" w:hAnsi="Arial" w:cs="Arial"/>
          <w:sz w:val="20"/>
          <w:szCs w:val="20"/>
        </w:rPr>
      </w:pPr>
      <w:r>
        <w:rPr>
          <w:rFonts w:ascii="Arial" w:hAnsi="Arial" w:cs="Arial"/>
          <w:sz w:val="20"/>
          <w:szCs w:val="20"/>
        </w:rPr>
        <w:t>N=80 observations</w:t>
      </w:r>
    </w:p>
    <w:p w14:paraId="4C9397E8" w14:textId="77777777" w:rsidR="00B03CCB" w:rsidRDefault="00B03CCB" w:rsidP="00B03CCB">
      <w:pPr>
        <w:pStyle w:val="ListParagraph"/>
        <w:numPr>
          <w:ilvl w:val="0"/>
          <w:numId w:val="4"/>
        </w:numPr>
        <w:rPr>
          <w:rFonts w:ascii="Arial" w:hAnsi="Arial" w:cs="Arial"/>
          <w:sz w:val="20"/>
          <w:szCs w:val="20"/>
        </w:rPr>
      </w:pPr>
      <w:r w:rsidRPr="008D35A2">
        <w:rPr>
          <w:rFonts w:ascii="Arial" w:hAnsi="Arial" w:cs="Arial"/>
          <w:sz w:val="20"/>
          <w:szCs w:val="20"/>
        </w:rPr>
        <w:t xml:space="preserve">AIC </w:t>
      </w:r>
      <w:r>
        <w:rPr>
          <w:rFonts w:ascii="Arial" w:hAnsi="Arial" w:cs="Arial"/>
          <w:sz w:val="20"/>
          <w:szCs w:val="20"/>
        </w:rPr>
        <w:t xml:space="preserve">values </w:t>
      </w:r>
      <w:r w:rsidRPr="008D35A2">
        <w:rPr>
          <w:rFonts w:ascii="Arial" w:hAnsi="Arial" w:cs="Arial"/>
          <w:sz w:val="20"/>
          <w:szCs w:val="20"/>
        </w:rPr>
        <w:t>do not include log determinant</w:t>
      </w:r>
    </w:p>
    <w:p w14:paraId="2A4BF8E1" w14:textId="01E604A7" w:rsidR="00B03CCB" w:rsidRPr="00B03CCB" w:rsidRDefault="00B03CCB" w:rsidP="00B03CCB">
      <w:pPr>
        <w:pStyle w:val="ListParagraph"/>
        <w:numPr>
          <w:ilvl w:val="0"/>
          <w:numId w:val="4"/>
        </w:numPr>
        <w:rPr>
          <w:rFonts w:ascii="Arial" w:hAnsi="Arial" w:cs="Arial"/>
          <w:sz w:val="20"/>
          <w:szCs w:val="20"/>
        </w:rPr>
      </w:pPr>
      <w:r>
        <w:rPr>
          <w:rFonts w:ascii="Arial" w:hAnsi="Arial" w:cs="Arial"/>
          <w:sz w:val="20"/>
          <w:szCs w:val="20"/>
        </w:rPr>
        <w:t>N=160 observations with benzodiazepine series</w:t>
      </w:r>
      <w:r w:rsidRPr="00B03CCB">
        <w:rPr>
          <w:rFonts w:ascii="Arial" w:hAnsi="Arial" w:cs="Arial"/>
          <w:b/>
          <w:bCs/>
        </w:rPr>
        <w:br w:type="page"/>
      </w:r>
    </w:p>
    <w:p w14:paraId="3AC48BF2" w14:textId="69E8FD58" w:rsidR="00C47BC4" w:rsidRPr="00F7778C" w:rsidRDefault="00F7778C" w:rsidP="00703B2E">
      <w:pPr>
        <w:spacing w:after="120"/>
        <w:rPr>
          <w:rFonts w:ascii="Arial" w:hAnsi="Arial" w:cs="Arial"/>
          <w:b/>
          <w:bCs/>
        </w:rPr>
      </w:pPr>
      <w:r w:rsidRPr="00F7778C">
        <w:rPr>
          <w:rFonts w:ascii="Arial" w:hAnsi="Arial" w:cs="Arial"/>
          <w:b/>
          <w:bCs/>
        </w:rPr>
        <w:lastRenderedPageBreak/>
        <w:t xml:space="preserve">Supplementary </w:t>
      </w:r>
      <w:r w:rsidR="008A2ED9" w:rsidRPr="00F7778C">
        <w:rPr>
          <w:rFonts w:ascii="Arial" w:hAnsi="Arial" w:cs="Arial"/>
          <w:b/>
          <w:bCs/>
        </w:rPr>
        <w:t>References</w:t>
      </w:r>
    </w:p>
    <w:p w14:paraId="2918C282" w14:textId="58366760" w:rsidR="00A2328C" w:rsidRPr="00A2328C" w:rsidRDefault="009A009E" w:rsidP="00A2328C">
      <w:pPr>
        <w:widowControl w:val="0"/>
        <w:autoSpaceDE w:val="0"/>
        <w:autoSpaceDN w:val="0"/>
        <w:adjustRightInd w:val="0"/>
        <w:spacing w:after="120" w:line="240" w:lineRule="auto"/>
        <w:ind w:left="640" w:hanging="640"/>
        <w:rPr>
          <w:rFonts w:ascii="Arial" w:hAnsi="Arial" w:cs="Arial"/>
          <w:noProof/>
        </w:rPr>
      </w:pPr>
      <w:r w:rsidRPr="00F7778C">
        <w:rPr>
          <w:rFonts w:ascii="Arial" w:hAnsi="Arial" w:cs="Arial"/>
          <w:b/>
          <w:bCs/>
        </w:rPr>
        <w:fldChar w:fldCharType="begin" w:fldLock="1"/>
      </w:r>
      <w:r w:rsidRPr="00F7778C">
        <w:rPr>
          <w:rFonts w:ascii="Arial" w:hAnsi="Arial" w:cs="Arial"/>
          <w:b/>
          <w:bCs/>
        </w:rPr>
        <w:instrText xml:space="preserve">ADDIN Mendeley Bibliography CSL_BIBLIOGRAPHY </w:instrText>
      </w:r>
      <w:r w:rsidRPr="00F7778C">
        <w:rPr>
          <w:rFonts w:ascii="Arial" w:hAnsi="Arial" w:cs="Arial"/>
          <w:b/>
          <w:bCs/>
        </w:rPr>
        <w:fldChar w:fldCharType="separate"/>
      </w:r>
      <w:r w:rsidR="00A2328C" w:rsidRPr="00A2328C">
        <w:rPr>
          <w:rFonts w:ascii="Arial" w:hAnsi="Arial" w:cs="Arial"/>
          <w:noProof/>
        </w:rPr>
        <w:t xml:space="preserve">1. </w:t>
      </w:r>
      <w:r w:rsidR="00A2328C" w:rsidRPr="00A2328C">
        <w:rPr>
          <w:rFonts w:ascii="Arial" w:hAnsi="Arial" w:cs="Arial"/>
          <w:noProof/>
        </w:rPr>
        <w:tab/>
        <w:t>Centers for Disease Control and Prevention. National Center for Injury Prevention and Control. Opioid Overdose: Data Resources. Analyzing prescription data and morphine milligram equivalents (MME). https://www.cdc.gov/opioids/data-resources/index.html. Published 2021. Accessed July 16, 2021.</w:t>
      </w:r>
    </w:p>
    <w:p w14:paraId="35EAAF72" w14:textId="77777777" w:rsidR="00A2328C" w:rsidRPr="00A2328C" w:rsidRDefault="00A2328C" w:rsidP="00A2328C">
      <w:pPr>
        <w:widowControl w:val="0"/>
        <w:autoSpaceDE w:val="0"/>
        <w:autoSpaceDN w:val="0"/>
        <w:adjustRightInd w:val="0"/>
        <w:spacing w:after="120" w:line="240" w:lineRule="auto"/>
        <w:ind w:left="640" w:hanging="640"/>
        <w:rPr>
          <w:rFonts w:ascii="Arial" w:hAnsi="Arial" w:cs="Arial"/>
          <w:noProof/>
        </w:rPr>
      </w:pPr>
      <w:r w:rsidRPr="00A2328C">
        <w:rPr>
          <w:rFonts w:ascii="Arial" w:hAnsi="Arial" w:cs="Arial"/>
          <w:noProof/>
        </w:rPr>
        <w:t xml:space="preserve">2. </w:t>
      </w:r>
      <w:r w:rsidRPr="00A2328C">
        <w:rPr>
          <w:rFonts w:ascii="Arial" w:hAnsi="Arial" w:cs="Arial"/>
          <w:noProof/>
        </w:rPr>
        <w:tab/>
        <w:t>Agency for Healthcare Research and Quality. Healthcare Cost and Utilization Project (HCUP). HCUP Tools and Software. https://www.hcup-us.ahrq.gov/tools_software.jsp. Published 2019. Accessed July 23, 2021.</w:t>
      </w:r>
    </w:p>
    <w:p w14:paraId="0759876D" w14:textId="77777777" w:rsidR="00A2328C" w:rsidRPr="00A2328C" w:rsidRDefault="00A2328C" w:rsidP="00A2328C">
      <w:pPr>
        <w:widowControl w:val="0"/>
        <w:autoSpaceDE w:val="0"/>
        <w:autoSpaceDN w:val="0"/>
        <w:adjustRightInd w:val="0"/>
        <w:spacing w:after="120" w:line="240" w:lineRule="auto"/>
        <w:ind w:left="640" w:hanging="640"/>
        <w:rPr>
          <w:rFonts w:ascii="Arial" w:hAnsi="Arial" w:cs="Arial"/>
          <w:noProof/>
        </w:rPr>
      </w:pPr>
      <w:r w:rsidRPr="00A2328C">
        <w:rPr>
          <w:rFonts w:ascii="Arial" w:hAnsi="Arial" w:cs="Arial"/>
          <w:noProof/>
        </w:rPr>
        <w:t xml:space="preserve">3. </w:t>
      </w:r>
      <w:r w:rsidRPr="00A2328C">
        <w:rPr>
          <w:rFonts w:ascii="Arial" w:hAnsi="Arial" w:cs="Arial"/>
          <w:noProof/>
        </w:rPr>
        <w:tab/>
        <w:t xml:space="preserve">Brummett CM, Waljee JF, Goesling J, et al. New Persistent Opioid Use After Minor and Major Surgical Procedures in US Adults. </w:t>
      </w:r>
      <w:r w:rsidRPr="00A2328C">
        <w:rPr>
          <w:rFonts w:ascii="Arial" w:hAnsi="Arial" w:cs="Arial"/>
          <w:i/>
          <w:iCs/>
          <w:noProof/>
        </w:rPr>
        <w:t>JAMA Surg</w:t>
      </w:r>
      <w:r w:rsidRPr="00A2328C">
        <w:rPr>
          <w:rFonts w:ascii="Arial" w:hAnsi="Arial" w:cs="Arial"/>
          <w:noProof/>
        </w:rPr>
        <w:t>. 2017;152(6):e170504. doi:10.1001/jamasurg.2017.0504</w:t>
      </w:r>
    </w:p>
    <w:p w14:paraId="10AD205D" w14:textId="77777777" w:rsidR="00A2328C" w:rsidRPr="00A2328C" w:rsidRDefault="00A2328C" w:rsidP="00A2328C">
      <w:pPr>
        <w:widowControl w:val="0"/>
        <w:autoSpaceDE w:val="0"/>
        <w:autoSpaceDN w:val="0"/>
        <w:adjustRightInd w:val="0"/>
        <w:spacing w:after="120" w:line="240" w:lineRule="auto"/>
        <w:ind w:left="640" w:hanging="640"/>
        <w:rPr>
          <w:rFonts w:ascii="Arial" w:hAnsi="Arial" w:cs="Arial"/>
          <w:noProof/>
        </w:rPr>
      </w:pPr>
      <w:r w:rsidRPr="00A2328C">
        <w:rPr>
          <w:rFonts w:ascii="Arial" w:hAnsi="Arial" w:cs="Arial"/>
          <w:noProof/>
        </w:rPr>
        <w:t xml:space="preserve">4. </w:t>
      </w:r>
      <w:r w:rsidRPr="00A2328C">
        <w:rPr>
          <w:rFonts w:ascii="Arial" w:hAnsi="Arial" w:cs="Arial"/>
          <w:noProof/>
        </w:rPr>
        <w:tab/>
        <w:t xml:space="preserve">Calcaterra SL, Scarbro S, Hull ML, Forber AD, Binswanger IA, Colborn KL. Prediction of Future Chronic Opioid Use Among Hospitalized Patients. </w:t>
      </w:r>
      <w:r w:rsidRPr="00A2328C">
        <w:rPr>
          <w:rFonts w:ascii="Arial" w:hAnsi="Arial" w:cs="Arial"/>
          <w:i/>
          <w:iCs/>
          <w:noProof/>
        </w:rPr>
        <w:t>J Gen Intern Med</w:t>
      </w:r>
      <w:r w:rsidRPr="00A2328C">
        <w:rPr>
          <w:rFonts w:ascii="Arial" w:hAnsi="Arial" w:cs="Arial"/>
          <w:noProof/>
        </w:rPr>
        <w:t>. 2018;33(6):898-905. doi:10.1007/s11606-018-4335-8</w:t>
      </w:r>
    </w:p>
    <w:p w14:paraId="5CBF595D" w14:textId="77777777" w:rsidR="00A2328C" w:rsidRPr="00A2328C" w:rsidRDefault="00A2328C" w:rsidP="00A2328C">
      <w:pPr>
        <w:widowControl w:val="0"/>
        <w:autoSpaceDE w:val="0"/>
        <w:autoSpaceDN w:val="0"/>
        <w:adjustRightInd w:val="0"/>
        <w:spacing w:after="120" w:line="240" w:lineRule="auto"/>
        <w:ind w:left="640" w:hanging="640"/>
        <w:rPr>
          <w:rFonts w:ascii="Arial" w:hAnsi="Arial" w:cs="Arial"/>
          <w:noProof/>
        </w:rPr>
      </w:pPr>
      <w:r w:rsidRPr="00A2328C">
        <w:rPr>
          <w:rFonts w:ascii="Arial" w:hAnsi="Arial" w:cs="Arial"/>
          <w:noProof/>
        </w:rPr>
        <w:t xml:space="preserve">5. </w:t>
      </w:r>
      <w:r w:rsidRPr="00A2328C">
        <w:rPr>
          <w:rFonts w:ascii="Arial" w:hAnsi="Arial" w:cs="Arial"/>
          <w:noProof/>
        </w:rPr>
        <w:tab/>
        <w:t xml:space="preserve">Mundkur ML, Rough K, Huybrechts KF, et al. Patterns of opioid initiation at first visits for pain in United States primary care settings. </w:t>
      </w:r>
      <w:r w:rsidRPr="00A2328C">
        <w:rPr>
          <w:rFonts w:ascii="Arial" w:hAnsi="Arial" w:cs="Arial"/>
          <w:i/>
          <w:iCs/>
          <w:noProof/>
        </w:rPr>
        <w:t>Pharmacoepidemiol Drug Saf</w:t>
      </w:r>
      <w:r w:rsidRPr="00A2328C">
        <w:rPr>
          <w:rFonts w:ascii="Arial" w:hAnsi="Arial" w:cs="Arial"/>
          <w:noProof/>
        </w:rPr>
        <w:t>. 2018;27(5):495-503. doi:10.1002/pds.4322</w:t>
      </w:r>
    </w:p>
    <w:p w14:paraId="33D42CDD" w14:textId="77777777" w:rsidR="00A2328C" w:rsidRPr="00A2328C" w:rsidRDefault="00A2328C" w:rsidP="00A2328C">
      <w:pPr>
        <w:widowControl w:val="0"/>
        <w:autoSpaceDE w:val="0"/>
        <w:autoSpaceDN w:val="0"/>
        <w:adjustRightInd w:val="0"/>
        <w:spacing w:after="120" w:line="240" w:lineRule="auto"/>
        <w:ind w:left="640" w:hanging="640"/>
        <w:rPr>
          <w:rFonts w:ascii="Arial" w:hAnsi="Arial" w:cs="Arial"/>
          <w:noProof/>
        </w:rPr>
      </w:pPr>
      <w:r w:rsidRPr="00A2328C">
        <w:rPr>
          <w:rFonts w:ascii="Arial" w:hAnsi="Arial" w:cs="Arial"/>
          <w:noProof/>
        </w:rPr>
        <w:t xml:space="preserve">6. </w:t>
      </w:r>
      <w:r w:rsidRPr="00A2328C">
        <w:rPr>
          <w:rFonts w:ascii="Arial" w:hAnsi="Arial" w:cs="Arial"/>
          <w:noProof/>
        </w:rPr>
        <w:tab/>
        <w:t xml:space="preserve">Centers for Disease Control and Prevention. </w:t>
      </w:r>
      <w:r w:rsidRPr="00A2328C">
        <w:rPr>
          <w:rFonts w:ascii="Arial" w:hAnsi="Arial" w:cs="Arial"/>
          <w:i/>
          <w:iCs/>
          <w:noProof/>
        </w:rPr>
        <w:t>Prescription Drug Overdose Data &amp; Statistics: Guide to ICD-9-CM and ICD-10 Codes Related to Poisoning and Pain</w:t>
      </w:r>
      <w:r w:rsidRPr="00A2328C">
        <w:rPr>
          <w:rFonts w:ascii="Arial" w:hAnsi="Arial" w:cs="Arial"/>
          <w:noProof/>
        </w:rPr>
        <w:t>.; 2013. http://www.cdc.gov/nchs/icd.htm. Accessed July 23, 2021.</w:t>
      </w:r>
    </w:p>
    <w:p w14:paraId="6DC9D939" w14:textId="77777777" w:rsidR="00A2328C" w:rsidRPr="00A2328C" w:rsidRDefault="00A2328C" w:rsidP="00A2328C">
      <w:pPr>
        <w:widowControl w:val="0"/>
        <w:autoSpaceDE w:val="0"/>
        <w:autoSpaceDN w:val="0"/>
        <w:adjustRightInd w:val="0"/>
        <w:spacing w:after="120" w:line="240" w:lineRule="auto"/>
        <w:ind w:left="640" w:hanging="640"/>
        <w:rPr>
          <w:rFonts w:ascii="Arial" w:hAnsi="Arial" w:cs="Arial"/>
          <w:noProof/>
        </w:rPr>
      </w:pPr>
      <w:r w:rsidRPr="00A2328C">
        <w:rPr>
          <w:rFonts w:ascii="Arial" w:hAnsi="Arial" w:cs="Arial"/>
          <w:noProof/>
        </w:rPr>
        <w:t xml:space="preserve">7. </w:t>
      </w:r>
      <w:r w:rsidRPr="00A2328C">
        <w:rPr>
          <w:rFonts w:ascii="Arial" w:hAnsi="Arial" w:cs="Arial"/>
          <w:noProof/>
        </w:rPr>
        <w:tab/>
        <w:t xml:space="preserve">Schaffer AL, Dobbins TA, Pearson SA. Interrupted time series analysis using autoregressive integrated moving average (ARIMA) models: a guide for evaluating large-scale health interventions. </w:t>
      </w:r>
      <w:r w:rsidRPr="00A2328C">
        <w:rPr>
          <w:rFonts w:ascii="Arial" w:hAnsi="Arial" w:cs="Arial"/>
          <w:i/>
          <w:iCs/>
          <w:noProof/>
        </w:rPr>
        <w:t>BMC Med Res Methodol</w:t>
      </w:r>
      <w:r w:rsidRPr="00A2328C">
        <w:rPr>
          <w:rFonts w:ascii="Arial" w:hAnsi="Arial" w:cs="Arial"/>
          <w:noProof/>
        </w:rPr>
        <w:t>. 2021;21(1):1-12. doi:10.1186/S12874-021-01235-8/FIGURES/5</w:t>
      </w:r>
    </w:p>
    <w:p w14:paraId="739F4FB9" w14:textId="77777777" w:rsidR="00A2328C" w:rsidRPr="00A2328C" w:rsidRDefault="00A2328C" w:rsidP="00A2328C">
      <w:pPr>
        <w:widowControl w:val="0"/>
        <w:autoSpaceDE w:val="0"/>
        <w:autoSpaceDN w:val="0"/>
        <w:adjustRightInd w:val="0"/>
        <w:spacing w:after="120" w:line="240" w:lineRule="auto"/>
        <w:ind w:left="640" w:hanging="640"/>
        <w:rPr>
          <w:rFonts w:ascii="Arial" w:hAnsi="Arial" w:cs="Arial"/>
          <w:noProof/>
        </w:rPr>
      </w:pPr>
      <w:r w:rsidRPr="00A2328C">
        <w:rPr>
          <w:rFonts w:ascii="Arial" w:hAnsi="Arial" w:cs="Arial"/>
          <w:noProof/>
        </w:rPr>
        <w:t xml:space="preserve">8. </w:t>
      </w:r>
      <w:r w:rsidRPr="00A2328C">
        <w:rPr>
          <w:rFonts w:ascii="Arial" w:hAnsi="Arial" w:cs="Arial"/>
          <w:noProof/>
        </w:rPr>
        <w:tab/>
        <w:t xml:space="preserve">SAS Institute Inc. </w:t>
      </w:r>
      <w:r w:rsidRPr="00A2328C">
        <w:rPr>
          <w:rFonts w:ascii="Arial" w:hAnsi="Arial" w:cs="Arial"/>
          <w:i/>
          <w:iCs/>
          <w:noProof/>
        </w:rPr>
        <w:t>SAS/ETS ® 13.2 User’s Guide: The ARIMA Procedure</w:t>
      </w:r>
      <w:r w:rsidRPr="00A2328C">
        <w:rPr>
          <w:rFonts w:ascii="Arial" w:hAnsi="Arial" w:cs="Arial"/>
          <w:noProof/>
        </w:rPr>
        <w:t>. SAS Institute Inc., Cary, NC, USA; 2014.</w:t>
      </w:r>
    </w:p>
    <w:p w14:paraId="29D736BE" w14:textId="41C25B53" w:rsidR="00B42DDC" w:rsidRPr="008A2ED9" w:rsidRDefault="009A009E" w:rsidP="00A2328C">
      <w:pPr>
        <w:widowControl w:val="0"/>
        <w:autoSpaceDE w:val="0"/>
        <w:autoSpaceDN w:val="0"/>
        <w:adjustRightInd w:val="0"/>
        <w:spacing w:after="120" w:line="240" w:lineRule="auto"/>
        <w:ind w:left="640" w:hanging="640"/>
        <w:rPr>
          <w:rFonts w:ascii="Times New Roman" w:hAnsi="Times New Roman" w:cs="Times New Roman"/>
          <w:b/>
          <w:bCs/>
          <w:sz w:val="20"/>
          <w:szCs w:val="20"/>
        </w:rPr>
      </w:pPr>
      <w:r w:rsidRPr="00F7778C">
        <w:rPr>
          <w:rFonts w:ascii="Arial" w:hAnsi="Arial" w:cs="Arial"/>
          <w:b/>
          <w:bCs/>
        </w:rPr>
        <w:fldChar w:fldCharType="end"/>
      </w:r>
    </w:p>
    <w:sectPr w:rsidR="00B42DDC" w:rsidRPr="008A2ED9" w:rsidSect="006A69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AD600" w14:textId="77777777" w:rsidR="00687B60" w:rsidRDefault="00687B60" w:rsidP="0020276A">
      <w:pPr>
        <w:spacing w:after="0" w:line="240" w:lineRule="auto"/>
      </w:pPr>
      <w:r>
        <w:separator/>
      </w:r>
    </w:p>
  </w:endnote>
  <w:endnote w:type="continuationSeparator" w:id="0">
    <w:p w14:paraId="63F9DC63" w14:textId="77777777" w:rsidR="00687B60" w:rsidRDefault="00687B60" w:rsidP="00202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2825663"/>
      <w:docPartObj>
        <w:docPartGallery w:val="Page Numbers (Bottom of Page)"/>
        <w:docPartUnique/>
      </w:docPartObj>
    </w:sdtPr>
    <w:sdtContent>
      <w:p w14:paraId="680C4C90" w14:textId="368D0C84" w:rsidR="0020276A" w:rsidRDefault="0020276A" w:rsidP="004278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33E32">
          <w:rPr>
            <w:rStyle w:val="PageNumber"/>
            <w:noProof/>
          </w:rPr>
          <w:t>1</w:t>
        </w:r>
        <w:r>
          <w:rPr>
            <w:rStyle w:val="PageNumber"/>
          </w:rPr>
          <w:fldChar w:fldCharType="end"/>
        </w:r>
      </w:p>
    </w:sdtContent>
  </w:sdt>
  <w:p w14:paraId="68002159" w14:textId="77777777" w:rsidR="0020276A" w:rsidRDefault="0020276A" w:rsidP="002027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258059104"/>
      <w:docPartObj>
        <w:docPartGallery w:val="Page Numbers (Bottom of Page)"/>
        <w:docPartUnique/>
      </w:docPartObj>
    </w:sdtPr>
    <w:sdtContent>
      <w:p w14:paraId="56B8918D" w14:textId="01D1D303" w:rsidR="0020276A" w:rsidRPr="0020276A" w:rsidRDefault="0020276A" w:rsidP="004278AC">
        <w:pPr>
          <w:pStyle w:val="Footer"/>
          <w:framePr w:wrap="none" w:vAnchor="text" w:hAnchor="margin" w:xAlign="right" w:y="1"/>
          <w:rPr>
            <w:rStyle w:val="PageNumber"/>
            <w:rFonts w:ascii="Arial" w:hAnsi="Arial" w:cs="Arial"/>
          </w:rPr>
        </w:pPr>
        <w:r w:rsidRPr="0020276A">
          <w:rPr>
            <w:rStyle w:val="PageNumber"/>
            <w:rFonts w:ascii="Arial" w:hAnsi="Arial" w:cs="Arial"/>
          </w:rPr>
          <w:fldChar w:fldCharType="begin"/>
        </w:r>
        <w:r w:rsidRPr="0020276A">
          <w:rPr>
            <w:rStyle w:val="PageNumber"/>
            <w:rFonts w:ascii="Arial" w:hAnsi="Arial" w:cs="Arial"/>
          </w:rPr>
          <w:instrText xml:space="preserve"> PAGE </w:instrText>
        </w:r>
        <w:r w:rsidRPr="0020276A">
          <w:rPr>
            <w:rStyle w:val="PageNumber"/>
            <w:rFonts w:ascii="Arial" w:hAnsi="Arial" w:cs="Arial"/>
          </w:rPr>
          <w:fldChar w:fldCharType="separate"/>
        </w:r>
        <w:r w:rsidRPr="0020276A">
          <w:rPr>
            <w:rStyle w:val="PageNumber"/>
            <w:rFonts w:ascii="Arial" w:hAnsi="Arial" w:cs="Arial"/>
            <w:noProof/>
          </w:rPr>
          <w:t>1</w:t>
        </w:r>
        <w:r w:rsidRPr="0020276A">
          <w:rPr>
            <w:rStyle w:val="PageNumber"/>
            <w:rFonts w:ascii="Arial" w:hAnsi="Arial" w:cs="Arial"/>
          </w:rPr>
          <w:fldChar w:fldCharType="end"/>
        </w:r>
      </w:p>
    </w:sdtContent>
  </w:sdt>
  <w:p w14:paraId="389567B6" w14:textId="77777777" w:rsidR="0020276A" w:rsidRDefault="0020276A" w:rsidP="002027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A2C62" w14:textId="77777777" w:rsidR="00687B60" w:rsidRDefault="00687B60" w:rsidP="0020276A">
      <w:pPr>
        <w:spacing w:after="0" w:line="240" w:lineRule="auto"/>
      </w:pPr>
      <w:r>
        <w:separator/>
      </w:r>
    </w:p>
  </w:footnote>
  <w:footnote w:type="continuationSeparator" w:id="0">
    <w:p w14:paraId="14A11A1E" w14:textId="77777777" w:rsidR="00687B60" w:rsidRDefault="00687B60" w:rsidP="00202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A2C34"/>
    <w:multiLevelType w:val="hybridMultilevel"/>
    <w:tmpl w:val="84AA0ADE"/>
    <w:lvl w:ilvl="0" w:tplc="FFFFFFFF">
      <w:start w:val="1"/>
      <w:numFmt w:val="lowerLetter"/>
      <w:lvlText w:val="%1."/>
      <w:lvlJc w:val="left"/>
      <w:pPr>
        <w:ind w:left="720" w:hanging="360"/>
      </w:pPr>
      <w:rPr>
        <w:rFonts w:hint="default"/>
        <w:b w:val="0"/>
        <w:bCs w:val="0"/>
        <w:vertAlign w:val="superscrip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6D42636"/>
    <w:multiLevelType w:val="hybridMultilevel"/>
    <w:tmpl w:val="A246C80A"/>
    <w:lvl w:ilvl="0" w:tplc="A85E93EC">
      <w:start w:val="1"/>
      <w:numFmt w:val="lowerLetter"/>
      <w:lvlText w:val="%1."/>
      <w:lvlJc w:val="left"/>
      <w:pPr>
        <w:ind w:left="720" w:hanging="360"/>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051672"/>
    <w:multiLevelType w:val="hybridMultilevel"/>
    <w:tmpl w:val="E78EEEAA"/>
    <w:lvl w:ilvl="0" w:tplc="FFFFFFFF">
      <w:start w:val="1"/>
      <w:numFmt w:val="lowerLetter"/>
      <w:lvlText w:val="%1."/>
      <w:lvlJc w:val="left"/>
      <w:pPr>
        <w:ind w:left="720" w:hanging="360"/>
      </w:pPr>
      <w:rPr>
        <w:rFonts w:hint="default"/>
        <w:b w:val="0"/>
        <w:bCs w:val="0"/>
        <w:vertAlign w:val="superscrip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0621E5F"/>
    <w:multiLevelType w:val="hybridMultilevel"/>
    <w:tmpl w:val="E78EEEAA"/>
    <w:lvl w:ilvl="0" w:tplc="72768C0C">
      <w:start w:val="1"/>
      <w:numFmt w:val="lowerLetter"/>
      <w:lvlText w:val="%1."/>
      <w:lvlJc w:val="left"/>
      <w:pPr>
        <w:ind w:left="720" w:hanging="360"/>
      </w:pPr>
      <w:rPr>
        <w:rFonts w:hint="default"/>
        <w:b w:val="0"/>
        <w:bCs w:val="0"/>
        <w:vertAlign w:val="superscrip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46592518">
    <w:abstractNumId w:val="3"/>
  </w:num>
  <w:num w:numId="2" w16cid:durableId="700784760">
    <w:abstractNumId w:val="0"/>
  </w:num>
  <w:num w:numId="3" w16cid:durableId="995181779">
    <w:abstractNumId w:val="2"/>
  </w:num>
  <w:num w:numId="4" w16cid:durableId="305014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E04"/>
    <w:rsid w:val="000116D7"/>
    <w:rsid w:val="0003057E"/>
    <w:rsid w:val="0003664A"/>
    <w:rsid w:val="000662CA"/>
    <w:rsid w:val="00073C17"/>
    <w:rsid w:val="00097CD8"/>
    <w:rsid w:val="000A4300"/>
    <w:rsid w:val="000B281B"/>
    <w:rsid w:val="000B377F"/>
    <w:rsid w:val="000B4681"/>
    <w:rsid w:val="000B64EA"/>
    <w:rsid w:val="000C0728"/>
    <w:rsid w:val="000C3F3A"/>
    <w:rsid w:val="000C42DE"/>
    <w:rsid w:val="000D34B2"/>
    <w:rsid w:val="0012135D"/>
    <w:rsid w:val="001731C2"/>
    <w:rsid w:val="00176180"/>
    <w:rsid w:val="00184AA8"/>
    <w:rsid w:val="00196EE2"/>
    <w:rsid w:val="001C3D42"/>
    <w:rsid w:val="001C5782"/>
    <w:rsid w:val="001F3951"/>
    <w:rsid w:val="0020276A"/>
    <w:rsid w:val="00210100"/>
    <w:rsid w:val="00221C02"/>
    <w:rsid w:val="002315DE"/>
    <w:rsid w:val="00233F96"/>
    <w:rsid w:val="002B5B43"/>
    <w:rsid w:val="002F5651"/>
    <w:rsid w:val="00333726"/>
    <w:rsid w:val="003434B1"/>
    <w:rsid w:val="003557E7"/>
    <w:rsid w:val="003A487F"/>
    <w:rsid w:val="003D4015"/>
    <w:rsid w:val="003F2BA2"/>
    <w:rsid w:val="003F5226"/>
    <w:rsid w:val="004019E6"/>
    <w:rsid w:val="00427F54"/>
    <w:rsid w:val="00440460"/>
    <w:rsid w:val="0044471B"/>
    <w:rsid w:val="0044655C"/>
    <w:rsid w:val="00466D01"/>
    <w:rsid w:val="00481122"/>
    <w:rsid w:val="004B180B"/>
    <w:rsid w:val="004C1F4C"/>
    <w:rsid w:val="004C5D5D"/>
    <w:rsid w:val="00525B7B"/>
    <w:rsid w:val="00543AD9"/>
    <w:rsid w:val="005610DE"/>
    <w:rsid w:val="00572D12"/>
    <w:rsid w:val="0058721E"/>
    <w:rsid w:val="005A407E"/>
    <w:rsid w:val="005B14D0"/>
    <w:rsid w:val="005B6DAD"/>
    <w:rsid w:val="005C61C0"/>
    <w:rsid w:val="006004E3"/>
    <w:rsid w:val="0061339E"/>
    <w:rsid w:val="00621AD2"/>
    <w:rsid w:val="00622019"/>
    <w:rsid w:val="00655497"/>
    <w:rsid w:val="00660A7C"/>
    <w:rsid w:val="00661826"/>
    <w:rsid w:val="00667444"/>
    <w:rsid w:val="006728CA"/>
    <w:rsid w:val="00687B60"/>
    <w:rsid w:val="006A6941"/>
    <w:rsid w:val="006C0EC9"/>
    <w:rsid w:val="006C549B"/>
    <w:rsid w:val="006D2635"/>
    <w:rsid w:val="006D5B28"/>
    <w:rsid w:val="00703B2E"/>
    <w:rsid w:val="00707AE7"/>
    <w:rsid w:val="00713D63"/>
    <w:rsid w:val="00720E40"/>
    <w:rsid w:val="007324AE"/>
    <w:rsid w:val="00740A1E"/>
    <w:rsid w:val="007548B8"/>
    <w:rsid w:val="00760D68"/>
    <w:rsid w:val="0076711B"/>
    <w:rsid w:val="00774742"/>
    <w:rsid w:val="00774F24"/>
    <w:rsid w:val="00776440"/>
    <w:rsid w:val="007B0F35"/>
    <w:rsid w:val="007D43A8"/>
    <w:rsid w:val="00805DCA"/>
    <w:rsid w:val="00817471"/>
    <w:rsid w:val="00833E32"/>
    <w:rsid w:val="0085258C"/>
    <w:rsid w:val="008807A9"/>
    <w:rsid w:val="00887314"/>
    <w:rsid w:val="008A2ED9"/>
    <w:rsid w:val="008B773B"/>
    <w:rsid w:val="008E4ACA"/>
    <w:rsid w:val="008E7D19"/>
    <w:rsid w:val="008E7E3A"/>
    <w:rsid w:val="00952FE1"/>
    <w:rsid w:val="009A009E"/>
    <w:rsid w:val="009F04F4"/>
    <w:rsid w:val="00A00EEE"/>
    <w:rsid w:val="00A217A4"/>
    <w:rsid w:val="00A2328C"/>
    <w:rsid w:val="00A32E0A"/>
    <w:rsid w:val="00A36E3A"/>
    <w:rsid w:val="00A404B7"/>
    <w:rsid w:val="00A417E8"/>
    <w:rsid w:val="00A41B0B"/>
    <w:rsid w:val="00AB651A"/>
    <w:rsid w:val="00AC186B"/>
    <w:rsid w:val="00AC77B3"/>
    <w:rsid w:val="00AD5ACA"/>
    <w:rsid w:val="00B03CCB"/>
    <w:rsid w:val="00B1174B"/>
    <w:rsid w:val="00B24FCE"/>
    <w:rsid w:val="00B26FB9"/>
    <w:rsid w:val="00B37449"/>
    <w:rsid w:val="00B402B1"/>
    <w:rsid w:val="00B40B55"/>
    <w:rsid w:val="00B42DDC"/>
    <w:rsid w:val="00B62127"/>
    <w:rsid w:val="00B63533"/>
    <w:rsid w:val="00B67277"/>
    <w:rsid w:val="00B90876"/>
    <w:rsid w:val="00B96BA5"/>
    <w:rsid w:val="00BA6D1E"/>
    <w:rsid w:val="00BD066F"/>
    <w:rsid w:val="00BE78E7"/>
    <w:rsid w:val="00BE7DAA"/>
    <w:rsid w:val="00BF0316"/>
    <w:rsid w:val="00BF24B6"/>
    <w:rsid w:val="00C14936"/>
    <w:rsid w:val="00C26635"/>
    <w:rsid w:val="00C47BC4"/>
    <w:rsid w:val="00C6622F"/>
    <w:rsid w:val="00C83685"/>
    <w:rsid w:val="00C859B8"/>
    <w:rsid w:val="00CB2B6F"/>
    <w:rsid w:val="00CD06E8"/>
    <w:rsid w:val="00CF22D0"/>
    <w:rsid w:val="00D124FE"/>
    <w:rsid w:val="00D12C43"/>
    <w:rsid w:val="00D16AED"/>
    <w:rsid w:val="00D2276E"/>
    <w:rsid w:val="00D32277"/>
    <w:rsid w:val="00D514E2"/>
    <w:rsid w:val="00D70F86"/>
    <w:rsid w:val="00D71278"/>
    <w:rsid w:val="00D71DF3"/>
    <w:rsid w:val="00D74BDB"/>
    <w:rsid w:val="00DB0E23"/>
    <w:rsid w:val="00E051A8"/>
    <w:rsid w:val="00E162B2"/>
    <w:rsid w:val="00E30693"/>
    <w:rsid w:val="00E32027"/>
    <w:rsid w:val="00E556A2"/>
    <w:rsid w:val="00E92729"/>
    <w:rsid w:val="00EE3487"/>
    <w:rsid w:val="00EE566B"/>
    <w:rsid w:val="00F00F66"/>
    <w:rsid w:val="00F066B7"/>
    <w:rsid w:val="00F34C81"/>
    <w:rsid w:val="00F47DED"/>
    <w:rsid w:val="00F55A66"/>
    <w:rsid w:val="00F7778C"/>
    <w:rsid w:val="00FC4E04"/>
    <w:rsid w:val="00FD5A64"/>
    <w:rsid w:val="00FF0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340DF"/>
  <w15:chartTrackingRefBased/>
  <w15:docId w15:val="{859F619C-127E-4B50-B9DA-20094DD0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0E40"/>
    <w:rPr>
      <w:sz w:val="16"/>
      <w:szCs w:val="16"/>
    </w:rPr>
  </w:style>
  <w:style w:type="paragraph" w:styleId="CommentText">
    <w:name w:val="annotation text"/>
    <w:basedOn w:val="Normal"/>
    <w:link w:val="CommentTextChar"/>
    <w:uiPriority w:val="99"/>
    <w:unhideWhenUsed/>
    <w:rsid w:val="00720E40"/>
    <w:pPr>
      <w:spacing w:after="0" w:line="240" w:lineRule="auto"/>
    </w:pPr>
    <w:rPr>
      <w:sz w:val="20"/>
      <w:szCs w:val="20"/>
    </w:rPr>
  </w:style>
  <w:style w:type="character" w:customStyle="1" w:styleId="CommentTextChar">
    <w:name w:val="Comment Text Char"/>
    <w:basedOn w:val="DefaultParagraphFont"/>
    <w:link w:val="CommentText"/>
    <w:uiPriority w:val="99"/>
    <w:rsid w:val="00720E40"/>
    <w:rPr>
      <w:sz w:val="20"/>
      <w:szCs w:val="20"/>
    </w:rPr>
  </w:style>
  <w:style w:type="table" w:styleId="TableGrid">
    <w:name w:val="Table Grid"/>
    <w:basedOn w:val="TableNormal"/>
    <w:uiPriority w:val="39"/>
    <w:rsid w:val="00C47BC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A2ED9"/>
    <w:pPr>
      <w:spacing w:after="160"/>
    </w:pPr>
    <w:rPr>
      <w:b/>
      <w:bCs/>
    </w:rPr>
  </w:style>
  <w:style w:type="character" w:customStyle="1" w:styleId="CommentSubjectChar">
    <w:name w:val="Comment Subject Char"/>
    <w:basedOn w:val="CommentTextChar"/>
    <w:link w:val="CommentSubject"/>
    <w:uiPriority w:val="99"/>
    <w:semiHidden/>
    <w:rsid w:val="008A2ED9"/>
    <w:rPr>
      <w:b/>
      <w:bCs/>
      <w:sz w:val="20"/>
      <w:szCs w:val="20"/>
    </w:rPr>
  </w:style>
  <w:style w:type="paragraph" w:styleId="Footer">
    <w:name w:val="footer"/>
    <w:basedOn w:val="Normal"/>
    <w:link w:val="FooterChar"/>
    <w:uiPriority w:val="99"/>
    <w:unhideWhenUsed/>
    <w:rsid w:val="00202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76A"/>
  </w:style>
  <w:style w:type="character" w:styleId="PageNumber">
    <w:name w:val="page number"/>
    <w:basedOn w:val="DefaultParagraphFont"/>
    <w:uiPriority w:val="99"/>
    <w:semiHidden/>
    <w:unhideWhenUsed/>
    <w:rsid w:val="0020276A"/>
  </w:style>
  <w:style w:type="paragraph" w:styleId="Header">
    <w:name w:val="header"/>
    <w:basedOn w:val="Normal"/>
    <w:link w:val="HeaderChar"/>
    <w:uiPriority w:val="99"/>
    <w:unhideWhenUsed/>
    <w:rsid w:val="00202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76A"/>
  </w:style>
  <w:style w:type="paragraph" w:styleId="Revision">
    <w:name w:val="Revision"/>
    <w:hidden/>
    <w:uiPriority w:val="99"/>
    <w:semiHidden/>
    <w:rsid w:val="000A4300"/>
    <w:pPr>
      <w:spacing w:after="0" w:line="240" w:lineRule="auto"/>
    </w:pPr>
  </w:style>
  <w:style w:type="paragraph" w:styleId="ListParagraph">
    <w:name w:val="List Paragraph"/>
    <w:basedOn w:val="Normal"/>
    <w:uiPriority w:val="34"/>
    <w:qFormat/>
    <w:rsid w:val="00EE3487"/>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964D7-F43A-B740-97C9-AABD5E838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6295</Words>
  <Characters>35884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Pence, Brian Wells</dc:creator>
  <cp:keywords/>
  <dc:description/>
  <cp:lastModifiedBy>Courtney Maierhofer</cp:lastModifiedBy>
  <cp:revision>7</cp:revision>
  <dcterms:created xsi:type="dcterms:W3CDTF">2022-12-01T19:29:00Z</dcterms:created>
  <dcterms:modified xsi:type="dcterms:W3CDTF">2022-12-01T19:52:00Z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64e89922-47ed-3234-9a5c-10732f17395a</vt:lpwstr>
  </property>
  <property fmtid="{D5CDD505-2E9C-101B-9397-08002B2CF9AE}" pid="24" name="Mendeley Citation Style_1">
    <vt:lpwstr>http://www.zotero.org/styles/american-medical-association</vt:lpwstr>
  </property>
</Properties>
</file>