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imes New Roman"/>
          <w:color w:val="auto"/>
          <w:sz w:val="22"/>
          <w:szCs w:val="22"/>
        </w:rPr>
        <w:id w:val="463016691"/>
        <w:docPartObj>
          <w:docPartGallery w:val="Table of Contents"/>
          <w:docPartUnique/>
        </w:docPartObj>
      </w:sdtPr>
      <w:sdtEndPr/>
      <w:sdtContent>
        <w:p w14:paraId="070A5704" w14:textId="17467BDD" w:rsidR="004F4723" w:rsidRPr="004F4723" w:rsidRDefault="004F4723" w:rsidP="004F4723">
          <w:pPr>
            <w:pStyle w:val="TOCHeading"/>
            <w:rPr>
              <w:color w:val="auto"/>
            </w:rPr>
          </w:pPr>
          <w:r w:rsidRPr="004F4723">
            <w:rPr>
              <w:rFonts w:ascii="Arial" w:hAnsi="Arial" w:cs="Arial"/>
              <w:b/>
              <w:color w:val="auto"/>
              <w:sz w:val="22"/>
              <w:szCs w:val="22"/>
            </w:rPr>
            <w:t>Appendix/Online Supplemental information:</w:t>
          </w:r>
        </w:p>
        <w:p w14:paraId="480CE015" w14:textId="77777777" w:rsidR="004F4723" w:rsidRDefault="004F4723" w:rsidP="004F4723">
          <w:pPr>
            <w:pStyle w:val="TOCHeading"/>
            <w:jc w:val="center"/>
            <w:rPr>
              <w:rFonts w:ascii="Arial" w:hAnsi="Arial" w:cs="Arial"/>
              <w:b/>
              <w:color w:val="auto"/>
              <w:sz w:val="22"/>
              <w:szCs w:val="22"/>
            </w:rPr>
          </w:pPr>
        </w:p>
        <w:p w14:paraId="016E67E7" w14:textId="34FA731D" w:rsidR="00E1707E" w:rsidRDefault="00E1707E" w:rsidP="004F4723">
          <w:pPr>
            <w:pStyle w:val="TOCHeading"/>
            <w:jc w:val="center"/>
            <w:rPr>
              <w:rFonts w:ascii="Arial" w:hAnsi="Arial" w:cs="Arial"/>
              <w:b/>
              <w:color w:val="auto"/>
              <w:sz w:val="22"/>
              <w:szCs w:val="22"/>
            </w:rPr>
          </w:pPr>
          <w:r w:rsidRPr="004F4723">
            <w:rPr>
              <w:rFonts w:ascii="Arial" w:hAnsi="Arial" w:cs="Arial"/>
              <w:b/>
              <w:color w:val="auto"/>
              <w:sz w:val="22"/>
              <w:szCs w:val="22"/>
            </w:rPr>
            <w:t>Table of Contents</w:t>
          </w:r>
        </w:p>
        <w:p w14:paraId="071EF867" w14:textId="77777777" w:rsidR="00CE130D" w:rsidRPr="00CE130D" w:rsidRDefault="00CE130D" w:rsidP="00CE130D"/>
        <w:p w14:paraId="0394C17E" w14:textId="5407C6C6" w:rsidR="00E1707E" w:rsidRDefault="004F4723">
          <w:pPr>
            <w:pStyle w:val="TOC1"/>
            <w:rPr>
              <w:rFonts w:ascii="Arial" w:hAnsi="Arial" w:cs="Arial"/>
              <w:b/>
              <w:bCs/>
            </w:rPr>
          </w:pPr>
          <w:r w:rsidRPr="00CE130D">
            <w:rPr>
              <w:rFonts w:ascii="Arial" w:hAnsi="Arial" w:cs="Arial"/>
              <w:b/>
              <w:bCs/>
            </w:rPr>
            <w:t>Figure S1</w:t>
          </w:r>
          <w:r w:rsidR="00CE130D" w:rsidRPr="00CE130D">
            <w:rPr>
              <w:rFonts w:ascii="Arial" w:hAnsi="Arial" w:cs="Arial"/>
              <w:b/>
              <w:bCs/>
            </w:rPr>
            <w:t>.</w:t>
          </w:r>
          <w:r w:rsidR="00CE130D">
            <w:rPr>
              <w:rFonts w:ascii="Arial" w:hAnsi="Arial" w:cs="Arial"/>
              <w:bCs/>
            </w:rPr>
            <w:t xml:space="preserve"> Global Comparison of 2016 U.S. Mortality Rates (Deaths per 100,000 </w:t>
          </w:r>
          <w:proofErr w:type="spellStart"/>
          <w:r w:rsidR="00CE130D">
            <w:rPr>
              <w:rFonts w:ascii="Arial" w:hAnsi="Arial" w:cs="Arial"/>
              <w:bCs/>
            </w:rPr>
            <w:t>Childrent</w:t>
          </w:r>
          <w:proofErr w:type="spellEnd"/>
          <w:r w:rsidR="00CE130D">
            <w:rPr>
              <w:rFonts w:ascii="Arial" w:hAnsi="Arial" w:cs="Arial"/>
              <w:bCs/>
            </w:rPr>
            <w:t>/</w:t>
          </w:r>
          <w:proofErr w:type="spellStart"/>
          <w:r w:rsidR="00CE130D">
            <w:rPr>
              <w:rFonts w:ascii="Arial" w:hAnsi="Arial" w:cs="Arial"/>
              <w:bCs/>
            </w:rPr>
            <w:t>Adolescentws</w:t>
          </w:r>
          <w:proofErr w:type="spellEnd"/>
          <w:r w:rsidR="00CE130D">
            <w:rPr>
              <w:rFonts w:ascii="Arial" w:hAnsi="Arial" w:cs="Arial"/>
              <w:bCs/>
            </w:rPr>
            <w:t xml:space="preserve">) to other High-Income (HIC) and Low-Middle Income (LMIC) Countries for the three leading causes of </w:t>
          </w:r>
          <w:proofErr w:type="spellStart"/>
          <w:r w:rsidR="00CE130D">
            <w:rPr>
              <w:rFonts w:ascii="Arial" w:hAnsi="Arial" w:cs="Arial"/>
              <w:bCs/>
            </w:rPr>
            <w:t>U.S.Child</w:t>
          </w:r>
          <w:proofErr w:type="spellEnd"/>
          <w:r w:rsidR="00CE130D">
            <w:rPr>
              <w:rFonts w:ascii="Arial" w:hAnsi="Arial" w:cs="Arial"/>
              <w:bCs/>
            </w:rPr>
            <w:t xml:space="preserve"> and Adolescent Death</w:t>
          </w:r>
          <w:r w:rsidR="00E1707E" w:rsidRPr="004F4723">
            <w:rPr>
              <w:rFonts w:ascii="Arial" w:hAnsi="Arial" w:cs="Arial"/>
            </w:rPr>
            <w:ptab w:relativeTo="margin" w:alignment="right" w:leader="dot"/>
          </w:r>
          <w:r w:rsidRPr="004F4723">
            <w:rPr>
              <w:rFonts w:ascii="Arial" w:hAnsi="Arial" w:cs="Arial"/>
              <w:b/>
              <w:bCs/>
            </w:rPr>
            <w:t>2</w:t>
          </w:r>
        </w:p>
        <w:p w14:paraId="4961709F" w14:textId="77777777" w:rsidR="00CE130D" w:rsidRPr="00CE130D" w:rsidRDefault="00CE130D" w:rsidP="00CE130D"/>
        <w:p w14:paraId="00812D9F" w14:textId="1A89F965" w:rsidR="00E1707E" w:rsidRPr="004F4723" w:rsidRDefault="004F4723">
          <w:pPr>
            <w:pStyle w:val="TOC1"/>
            <w:rPr>
              <w:rFonts w:ascii="Arial" w:hAnsi="Arial" w:cs="Arial"/>
              <w:b/>
              <w:bCs/>
            </w:rPr>
          </w:pPr>
          <w:r w:rsidRPr="00CE130D">
            <w:rPr>
              <w:rFonts w:ascii="Arial" w:hAnsi="Arial" w:cs="Arial"/>
              <w:b/>
              <w:bCs/>
            </w:rPr>
            <w:t>Figure S2</w:t>
          </w:r>
          <w:r w:rsidR="00CE130D" w:rsidRPr="00CE130D">
            <w:rPr>
              <w:rFonts w:ascii="Arial" w:hAnsi="Arial" w:cs="Arial"/>
              <w:b/>
              <w:bCs/>
            </w:rPr>
            <w:t>.</w:t>
          </w:r>
          <w:r w:rsidR="00CE130D" w:rsidRPr="00CE130D">
            <w:rPr>
              <w:rFonts w:ascii="Arial" w:hAnsi="Arial" w:cs="Arial"/>
              <w:bCs/>
            </w:rPr>
            <w:t xml:space="preserve"> </w:t>
          </w:r>
          <w:r w:rsidR="00CE130D" w:rsidRPr="00CE130D">
            <w:rPr>
              <w:rFonts w:ascii="Arial" w:hAnsi="Arial" w:cs="Arial"/>
            </w:rPr>
            <w:t>Mortality Rates (Deaths per 100,000 Children/Adolescents)</w:t>
          </w:r>
          <w:r w:rsidR="00CE130D" w:rsidRPr="00CE130D">
            <w:rPr>
              <w:rFonts w:ascii="Arial" w:eastAsiaTheme="minorHAnsi" w:hAnsi="Arial" w:cs="Arial"/>
              <w:vertAlign w:val="superscript"/>
            </w:rPr>
            <w:t xml:space="preserve"> a</w:t>
          </w:r>
          <w:r w:rsidR="00CE130D" w:rsidRPr="00CE130D">
            <w:rPr>
              <w:rFonts w:ascii="Arial" w:eastAsiaTheme="minorHAnsi" w:hAnsi="Arial" w:cs="Arial"/>
            </w:rPr>
            <w:t xml:space="preserve"> for the leading causes of childhood and adolescent death by rurality.</w:t>
          </w:r>
          <w:r w:rsidR="00E1707E" w:rsidRPr="004F4723">
            <w:rPr>
              <w:rFonts w:ascii="Arial" w:hAnsi="Arial" w:cs="Arial"/>
            </w:rPr>
            <w:ptab w:relativeTo="margin" w:alignment="right" w:leader="dot"/>
          </w:r>
          <w:r w:rsidRPr="004F4723">
            <w:rPr>
              <w:rFonts w:ascii="Arial" w:hAnsi="Arial" w:cs="Arial"/>
              <w:b/>
              <w:bCs/>
            </w:rPr>
            <w:t>3</w:t>
          </w:r>
        </w:p>
        <w:p w14:paraId="49D1D4B2" w14:textId="77777777" w:rsidR="00CE130D" w:rsidRDefault="00CE130D" w:rsidP="004F4723">
          <w:pPr>
            <w:pStyle w:val="TOC1"/>
            <w:rPr>
              <w:rFonts w:ascii="Arial" w:hAnsi="Arial" w:cs="Arial"/>
            </w:rPr>
          </w:pPr>
        </w:p>
        <w:p w14:paraId="38689C7F" w14:textId="01CCC4A2" w:rsidR="004F4723" w:rsidRPr="00CE130D" w:rsidRDefault="00F90862" w:rsidP="00CE130D">
          <w:pPr>
            <w:rPr>
              <w:rFonts w:ascii="Arial" w:hAnsi="Arial" w:cs="Arial"/>
              <w:b/>
              <w:color w:val="000000"/>
              <w:sz w:val="22"/>
              <w:szCs w:val="22"/>
            </w:rPr>
          </w:pPr>
          <w:r>
            <w:rPr>
              <w:rFonts w:ascii="Arial" w:hAnsi="Arial" w:cs="Arial"/>
              <w:b/>
              <w:color w:val="000000"/>
              <w:sz w:val="22"/>
              <w:szCs w:val="22"/>
            </w:rPr>
            <w:t xml:space="preserve">Figure S3. </w:t>
          </w:r>
          <w:r w:rsidR="00CE130D" w:rsidRPr="00F90862">
            <w:rPr>
              <w:rFonts w:ascii="Arial" w:hAnsi="Arial" w:cs="Arial"/>
              <w:color w:val="000000"/>
              <w:sz w:val="22"/>
              <w:szCs w:val="22"/>
            </w:rPr>
            <w:t>ICD Definitions of In</w:t>
          </w:r>
          <w:r w:rsidR="00CE130D" w:rsidRPr="00F90862">
            <w:rPr>
              <w:rFonts w:ascii="Arial" w:hAnsi="Arial" w:cs="Arial"/>
              <w:color w:val="000000"/>
              <w:sz w:val="22"/>
              <w:szCs w:val="22"/>
            </w:rPr>
            <w:t>jury</w:t>
          </w:r>
          <w:r w:rsidR="004F4723" w:rsidRPr="004F4723">
            <w:rPr>
              <w:rFonts w:ascii="Arial" w:hAnsi="Arial" w:cs="Arial"/>
            </w:rPr>
            <w:ptab w:relativeTo="margin" w:alignment="right" w:leader="dot"/>
          </w:r>
          <w:r w:rsidR="004F4723" w:rsidRPr="004F4723">
            <w:rPr>
              <w:rFonts w:ascii="Arial" w:hAnsi="Arial" w:cs="Arial"/>
              <w:b/>
              <w:bCs/>
            </w:rPr>
            <w:t>4</w:t>
          </w:r>
        </w:p>
        <w:p w14:paraId="176D2B3A" w14:textId="77777777" w:rsidR="00CE130D" w:rsidRDefault="00CE130D" w:rsidP="004F4723">
          <w:pPr>
            <w:pStyle w:val="TOC1"/>
            <w:rPr>
              <w:rFonts w:ascii="Arial" w:hAnsi="Arial" w:cs="Arial"/>
              <w:bCs/>
            </w:rPr>
          </w:pPr>
        </w:p>
        <w:p w14:paraId="0F2457FF" w14:textId="04CE5970" w:rsidR="004F4723" w:rsidRPr="004F4723" w:rsidRDefault="004F4723" w:rsidP="004F4723">
          <w:pPr>
            <w:pStyle w:val="TOC1"/>
            <w:rPr>
              <w:rFonts w:ascii="Arial" w:hAnsi="Arial" w:cs="Arial"/>
              <w:b/>
              <w:bCs/>
            </w:rPr>
          </w:pPr>
          <w:r w:rsidRPr="00CE130D">
            <w:rPr>
              <w:rFonts w:ascii="Arial" w:hAnsi="Arial" w:cs="Arial"/>
              <w:b/>
              <w:bCs/>
            </w:rPr>
            <w:t>Table S1</w:t>
          </w:r>
          <w:r w:rsidR="00CE130D" w:rsidRPr="00CE130D">
            <w:rPr>
              <w:rFonts w:ascii="Arial" w:hAnsi="Arial" w:cs="Arial"/>
              <w:b/>
              <w:bCs/>
            </w:rPr>
            <w:t>.</w:t>
          </w:r>
          <w:r w:rsidR="00CE130D" w:rsidRPr="00CE130D">
            <w:rPr>
              <w:rFonts w:ascii="Arial" w:hAnsi="Arial" w:cs="Arial"/>
              <w:color w:val="000000" w:themeColor="text1"/>
            </w:rPr>
            <w:t xml:space="preserve"> </w:t>
          </w:r>
          <w:r w:rsidR="00CE130D" w:rsidRPr="00CE130D">
            <w:rPr>
              <w:rFonts w:ascii="Arial" w:hAnsi="Arial" w:cs="Arial"/>
              <w:color w:val="000000" w:themeColor="text1"/>
            </w:rPr>
            <w:t>Ten Leading Causes of Child and Adolescent Mortality (ages 1-19)</w:t>
          </w:r>
          <w:r w:rsidR="00CE130D" w:rsidRPr="00CE130D">
            <w:rPr>
              <w:rFonts w:ascii="Arial" w:hAnsi="Arial" w:cs="Arial"/>
              <w:color w:val="000000" w:themeColor="text1"/>
              <w:vertAlign w:val="superscript"/>
            </w:rPr>
            <w:t>a</w:t>
          </w:r>
          <w:r w:rsidR="00CE130D" w:rsidRPr="004F4723">
            <w:rPr>
              <w:rFonts w:ascii="Arial" w:hAnsi="Arial" w:cs="Arial"/>
            </w:rPr>
            <w:t xml:space="preserve"> </w:t>
          </w:r>
          <w:r w:rsidRPr="004F4723">
            <w:rPr>
              <w:rFonts w:ascii="Arial" w:hAnsi="Arial" w:cs="Arial"/>
            </w:rPr>
            <w:ptab w:relativeTo="margin" w:alignment="right" w:leader="dot"/>
          </w:r>
          <w:r w:rsidRPr="004F4723">
            <w:rPr>
              <w:rFonts w:ascii="Arial" w:hAnsi="Arial" w:cs="Arial"/>
              <w:b/>
              <w:bCs/>
            </w:rPr>
            <w:t>5</w:t>
          </w:r>
        </w:p>
        <w:p w14:paraId="701E38FE" w14:textId="77777777" w:rsidR="00CE130D" w:rsidRDefault="00CE130D" w:rsidP="004F4723">
          <w:pPr>
            <w:pStyle w:val="TOC1"/>
            <w:rPr>
              <w:rFonts w:ascii="Arial" w:hAnsi="Arial" w:cs="Arial"/>
            </w:rPr>
          </w:pPr>
        </w:p>
        <w:p w14:paraId="695763CB" w14:textId="68A07E68" w:rsidR="004F4723" w:rsidRPr="004F4723" w:rsidRDefault="004F4723" w:rsidP="004F4723">
          <w:pPr>
            <w:pStyle w:val="TOC1"/>
            <w:rPr>
              <w:rFonts w:ascii="Arial" w:hAnsi="Arial" w:cs="Arial"/>
              <w:b/>
              <w:bCs/>
            </w:rPr>
          </w:pPr>
          <w:r w:rsidRPr="00CE130D">
            <w:rPr>
              <w:rFonts w:ascii="Arial" w:hAnsi="Arial" w:cs="Arial"/>
              <w:b/>
            </w:rPr>
            <w:t>References</w:t>
          </w:r>
          <w:r w:rsidRPr="004F4723">
            <w:rPr>
              <w:rFonts w:ascii="Arial" w:hAnsi="Arial" w:cs="Arial"/>
            </w:rPr>
            <w:ptab w:relativeTo="margin" w:alignment="right" w:leader="dot"/>
          </w:r>
          <w:r w:rsidRPr="004F4723">
            <w:rPr>
              <w:rFonts w:ascii="Arial" w:hAnsi="Arial" w:cs="Arial"/>
              <w:b/>
              <w:bCs/>
            </w:rPr>
            <w:t>6</w:t>
          </w:r>
        </w:p>
        <w:p w14:paraId="1257676B" w14:textId="77777777" w:rsidR="004F4723" w:rsidRPr="004F4723" w:rsidRDefault="004F4723" w:rsidP="004F4723">
          <w:pPr>
            <w:rPr>
              <w:rFonts w:ascii="Arial" w:hAnsi="Arial" w:cs="Arial"/>
              <w:sz w:val="22"/>
              <w:szCs w:val="22"/>
            </w:rPr>
          </w:pPr>
        </w:p>
        <w:p w14:paraId="38020D3E" w14:textId="208B7062" w:rsidR="00E1707E" w:rsidRDefault="00F51105" w:rsidP="004F4723">
          <w:pPr>
            <w:pStyle w:val="TOC3"/>
          </w:pPr>
        </w:p>
      </w:sdtContent>
    </w:sdt>
    <w:p w14:paraId="4D74236D" w14:textId="5772E2F3" w:rsidR="004F4723" w:rsidRDefault="004F4723" w:rsidP="00E1707E">
      <w:pPr>
        <w:jc w:val="center"/>
        <w:rPr>
          <w:rFonts w:ascii="Arial" w:hAnsi="Arial" w:cs="Arial"/>
          <w:sz w:val="22"/>
          <w:szCs w:val="22"/>
        </w:rPr>
      </w:pPr>
    </w:p>
    <w:p w14:paraId="7E512F2A" w14:textId="77777777" w:rsidR="004F4723" w:rsidRPr="004F4723" w:rsidRDefault="004F4723" w:rsidP="004F4723">
      <w:pPr>
        <w:rPr>
          <w:rFonts w:ascii="Arial" w:hAnsi="Arial" w:cs="Arial"/>
          <w:sz w:val="22"/>
          <w:szCs w:val="22"/>
        </w:rPr>
      </w:pPr>
    </w:p>
    <w:p w14:paraId="79862B23" w14:textId="77777777" w:rsidR="004F4723" w:rsidRPr="004F4723" w:rsidRDefault="004F4723" w:rsidP="004F4723">
      <w:pPr>
        <w:rPr>
          <w:rFonts w:ascii="Arial" w:hAnsi="Arial" w:cs="Arial"/>
          <w:sz w:val="22"/>
          <w:szCs w:val="22"/>
        </w:rPr>
      </w:pPr>
    </w:p>
    <w:p w14:paraId="2F979AAC" w14:textId="77777777" w:rsidR="004F4723" w:rsidRPr="004F4723" w:rsidRDefault="004F4723" w:rsidP="004F4723">
      <w:pPr>
        <w:rPr>
          <w:rFonts w:ascii="Arial" w:hAnsi="Arial" w:cs="Arial"/>
          <w:sz w:val="22"/>
          <w:szCs w:val="22"/>
        </w:rPr>
      </w:pPr>
    </w:p>
    <w:p w14:paraId="6475ED81" w14:textId="77777777" w:rsidR="004F4723" w:rsidRPr="004F4723" w:rsidRDefault="004F4723" w:rsidP="004F4723">
      <w:pPr>
        <w:rPr>
          <w:rFonts w:ascii="Arial" w:hAnsi="Arial" w:cs="Arial"/>
          <w:sz w:val="22"/>
          <w:szCs w:val="22"/>
        </w:rPr>
      </w:pPr>
    </w:p>
    <w:p w14:paraId="0272DC97" w14:textId="77777777" w:rsidR="004F4723" w:rsidRPr="004F4723" w:rsidRDefault="004F4723" w:rsidP="004F4723">
      <w:pPr>
        <w:rPr>
          <w:rFonts w:ascii="Arial" w:hAnsi="Arial" w:cs="Arial"/>
          <w:sz w:val="22"/>
          <w:szCs w:val="22"/>
        </w:rPr>
      </w:pPr>
    </w:p>
    <w:p w14:paraId="1101FA11" w14:textId="77777777" w:rsidR="004F4723" w:rsidRPr="004F4723" w:rsidRDefault="004F4723" w:rsidP="004F4723">
      <w:pPr>
        <w:rPr>
          <w:rFonts w:ascii="Arial" w:hAnsi="Arial" w:cs="Arial"/>
          <w:sz w:val="22"/>
          <w:szCs w:val="22"/>
        </w:rPr>
      </w:pPr>
    </w:p>
    <w:p w14:paraId="0A031F8A" w14:textId="77777777" w:rsidR="004F4723" w:rsidRPr="004F4723" w:rsidRDefault="004F4723" w:rsidP="004F4723">
      <w:pPr>
        <w:rPr>
          <w:rFonts w:ascii="Arial" w:hAnsi="Arial" w:cs="Arial"/>
          <w:sz w:val="22"/>
          <w:szCs w:val="22"/>
        </w:rPr>
      </w:pPr>
    </w:p>
    <w:p w14:paraId="38131E7C" w14:textId="77777777" w:rsidR="004F4723" w:rsidRPr="004F4723" w:rsidRDefault="004F4723" w:rsidP="004F4723">
      <w:pPr>
        <w:rPr>
          <w:rFonts w:ascii="Arial" w:hAnsi="Arial" w:cs="Arial"/>
          <w:sz w:val="22"/>
          <w:szCs w:val="22"/>
        </w:rPr>
      </w:pPr>
    </w:p>
    <w:p w14:paraId="242F2006" w14:textId="77777777" w:rsidR="004F4723" w:rsidRPr="004F4723" w:rsidRDefault="004F4723" w:rsidP="004F4723">
      <w:pPr>
        <w:rPr>
          <w:rFonts w:ascii="Arial" w:hAnsi="Arial" w:cs="Arial"/>
          <w:sz w:val="22"/>
          <w:szCs w:val="22"/>
        </w:rPr>
      </w:pPr>
    </w:p>
    <w:p w14:paraId="0807ECB9" w14:textId="77777777" w:rsidR="004F4723" w:rsidRPr="004F4723" w:rsidRDefault="004F4723" w:rsidP="004F4723">
      <w:pPr>
        <w:rPr>
          <w:rFonts w:ascii="Arial" w:hAnsi="Arial" w:cs="Arial"/>
          <w:sz w:val="22"/>
          <w:szCs w:val="22"/>
        </w:rPr>
      </w:pPr>
    </w:p>
    <w:p w14:paraId="356686D5" w14:textId="77777777" w:rsidR="004F4723" w:rsidRPr="004F4723" w:rsidRDefault="004F4723" w:rsidP="004F4723">
      <w:pPr>
        <w:rPr>
          <w:rFonts w:ascii="Arial" w:hAnsi="Arial" w:cs="Arial"/>
          <w:sz w:val="22"/>
          <w:szCs w:val="22"/>
        </w:rPr>
      </w:pPr>
    </w:p>
    <w:p w14:paraId="3626D27C" w14:textId="77777777" w:rsidR="004F4723" w:rsidRPr="004F4723" w:rsidRDefault="004F4723" w:rsidP="004F4723">
      <w:pPr>
        <w:rPr>
          <w:rFonts w:ascii="Arial" w:hAnsi="Arial" w:cs="Arial"/>
          <w:sz w:val="22"/>
          <w:szCs w:val="22"/>
        </w:rPr>
      </w:pPr>
    </w:p>
    <w:p w14:paraId="7A6A3A08" w14:textId="77777777" w:rsidR="004F4723" w:rsidRPr="004F4723" w:rsidRDefault="004F4723" w:rsidP="004F4723">
      <w:pPr>
        <w:rPr>
          <w:rFonts w:ascii="Arial" w:hAnsi="Arial" w:cs="Arial"/>
          <w:sz w:val="22"/>
          <w:szCs w:val="22"/>
        </w:rPr>
      </w:pPr>
    </w:p>
    <w:p w14:paraId="6D795B7E" w14:textId="7ED90EF1" w:rsidR="004F4723" w:rsidRDefault="004F4723" w:rsidP="004F4723">
      <w:pPr>
        <w:rPr>
          <w:rFonts w:ascii="Arial" w:hAnsi="Arial" w:cs="Arial"/>
          <w:sz w:val="22"/>
          <w:szCs w:val="22"/>
        </w:rPr>
      </w:pPr>
    </w:p>
    <w:p w14:paraId="69F4F835" w14:textId="77777777" w:rsidR="004F4723" w:rsidRPr="004F4723" w:rsidRDefault="004F4723" w:rsidP="004F4723">
      <w:pPr>
        <w:rPr>
          <w:rFonts w:ascii="Arial" w:hAnsi="Arial" w:cs="Arial"/>
          <w:sz w:val="22"/>
          <w:szCs w:val="22"/>
        </w:rPr>
      </w:pPr>
    </w:p>
    <w:p w14:paraId="681F31A7" w14:textId="6A6D82FE" w:rsidR="004F4723" w:rsidRDefault="004F4723" w:rsidP="004F4723">
      <w:pPr>
        <w:tabs>
          <w:tab w:val="left" w:pos="6812"/>
        </w:tabs>
        <w:rPr>
          <w:rFonts w:ascii="Arial" w:hAnsi="Arial" w:cs="Arial"/>
          <w:sz w:val="22"/>
          <w:szCs w:val="22"/>
        </w:rPr>
      </w:pPr>
      <w:r>
        <w:rPr>
          <w:rFonts w:ascii="Arial" w:hAnsi="Arial" w:cs="Arial"/>
          <w:sz w:val="22"/>
          <w:szCs w:val="22"/>
        </w:rPr>
        <w:tab/>
      </w:r>
    </w:p>
    <w:p w14:paraId="41F86AA1" w14:textId="58B5A0C3" w:rsidR="00E1707E" w:rsidRPr="004F4723" w:rsidRDefault="004F4723" w:rsidP="004F4723">
      <w:pPr>
        <w:tabs>
          <w:tab w:val="left" w:pos="6812"/>
        </w:tabs>
        <w:rPr>
          <w:rFonts w:ascii="Arial" w:hAnsi="Arial" w:cs="Arial"/>
          <w:sz w:val="22"/>
          <w:szCs w:val="22"/>
        </w:rPr>
        <w:sectPr w:rsidR="00E1707E" w:rsidRPr="004F4723" w:rsidSect="004F4723">
          <w:footerReference w:type="default" r:id="rId8"/>
          <w:pgSz w:w="12240" w:h="15840"/>
          <w:pgMar w:top="1440" w:right="1440" w:bottom="1440" w:left="1440" w:header="720" w:footer="720" w:gutter="0"/>
          <w:cols w:space="720"/>
          <w:docGrid w:linePitch="360"/>
        </w:sectPr>
      </w:pPr>
      <w:r>
        <w:rPr>
          <w:rFonts w:ascii="Arial" w:hAnsi="Arial" w:cs="Arial"/>
          <w:sz w:val="22"/>
          <w:szCs w:val="22"/>
        </w:rPr>
        <w:tab/>
      </w:r>
      <w:bookmarkStart w:id="0" w:name="_GoBack"/>
      <w:bookmarkEnd w:id="0"/>
    </w:p>
    <w:p w14:paraId="11B18805" w14:textId="2E912EB8" w:rsidR="00E17157" w:rsidRPr="00E17157" w:rsidRDefault="00E17157" w:rsidP="00E1707E">
      <w:pPr>
        <w:ind w:left="-90"/>
        <w:rPr>
          <w:rFonts w:ascii="Arial" w:hAnsi="Arial" w:cs="Arial"/>
          <w:b/>
          <w:sz w:val="22"/>
          <w:szCs w:val="22"/>
        </w:rPr>
        <w:sectPr w:rsidR="00E17157" w:rsidRPr="00E17157" w:rsidSect="00E1707E">
          <w:pgSz w:w="15840" w:h="12240" w:orient="landscape"/>
          <w:pgMar w:top="720" w:right="1296" w:bottom="720" w:left="1296" w:header="720" w:footer="720" w:gutter="0"/>
          <w:cols w:space="720"/>
          <w:docGrid w:linePitch="360"/>
        </w:sectPr>
      </w:pPr>
      <w:r>
        <w:rPr>
          <w:rFonts w:ascii="Arial" w:hAnsi="Arial" w:cs="Arial"/>
          <w:b/>
          <w:noProof/>
          <w:sz w:val="22"/>
          <w:szCs w:val="22"/>
        </w:rPr>
        <w:lastRenderedPageBreak/>
        <w:drawing>
          <wp:inline distT="0" distB="0" distL="0" distR="0" wp14:anchorId="379B10CC" wp14:editId="06FA47F4">
            <wp:extent cx="8752585" cy="633718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Copy of Combined Fatalities Figure S1  cropped.jpg"/>
                    <pic:cNvPicPr/>
                  </pic:nvPicPr>
                  <pic:blipFill>
                    <a:blip r:embed="rId9">
                      <a:extLst>
                        <a:ext uri="{28A0092B-C50C-407E-A947-70E740481C1C}">
                          <a14:useLocalDpi xmlns:a14="http://schemas.microsoft.com/office/drawing/2010/main" val="0"/>
                        </a:ext>
                      </a:extLst>
                    </a:blip>
                    <a:stretch>
                      <a:fillRect/>
                    </a:stretch>
                  </pic:blipFill>
                  <pic:spPr>
                    <a:xfrm>
                      <a:off x="0" y="0"/>
                      <a:ext cx="8777308" cy="6355089"/>
                    </a:xfrm>
                    <a:prstGeom prst="rect">
                      <a:avLst/>
                    </a:prstGeom>
                  </pic:spPr>
                </pic:pic>
              </a:graphicData>
            </a:graphic>
          </wp:inline>
        </w:drawing>
      </w:r>
    </w:p>
    <w:p w14:paraId="7719692E" w14:textId="55DA29C3" w:rsidR="0021039C" w:rsidRPr="0048405C" w:rsidRDefault="0048405C" w:rsidP="0048405C">
      <w:pPr>
        <w:rPr>
          <w:rFonts w:ascii="Arial" w:eastAsiaTheme="minorHAnsi" w:hAnsi="Arial" w:cs="Arial"/>
          <w:b/>
          <w:sz w:val="22"/>
          <w:szCs w:val="22"/>
        </w:rPr>
      </w:pPr>
      <w:r>
        <w:rPr>
          <w:rFonts w:ascii="Arial" w:eastAsiaTheme="minorHAnsi" w:hAnsi="Arial" w:cs="Arial"/>
          <w:b/>
          <w:sz w:val="22"/>
          <w:szCs w:val="22"/>
        </w:rPr>
        <w:lastRenderedPageBreak/>
        <w:t>Figure S2</w:t>
      </w:r>
      <w:r w:rsidR="0021039C" w:rsidRPr="00075806">
        <w:rPr>
          <w:rFonts w:ascii="Arial" w:eastAsiaTheme="minorHAnsi" w:hAnsi="Arial" w:cs="Arial"/>
          <w:b/>
          <w:sz w:val="22"/>
          <w:szCs w:val="22"/>
        </w:rPr>
        <w:t xml:space="preserve">. </w:t>
      </w:r>
      <w:r w:rsidR="0021039C" w:rsidRPr="00075806">
        <w:rPr>
          <w:rFonts w:ascii="Arial" w:hAnsi="Arial" w:cs="Arial"/>
          <w:b/>
          <w:sz w:val="22"/>
          <w:szCs w:val="22"/>
        </w:rPr>
        <w:t>Mortality Rates (Deaths per 100,000 Children/Adolescents)</w:t>
      </w:r>
      <w:r w:rsidR="0021039C" w:rsidRPr="00075806">
        <w:rPr>
          <w:rFonts w:ascii="Arial" w:eastAsiaTheme="minorHAnsi" w:hAnsi="Arial" w:cs="Arial"/>
          <w:b/>
          <w:sz w:val="22"/>
          <w:szCs w:val="22"/>
          <w:vertAlign w:val="superscript"/>
        </w:rPr>
        <w:t xml:space="preserve"> a</w:t>
      </w:r>
      <w:r w:rsidR="0021039C" w:rsidRPr="00075806">
        <w:rPr>
          <w:rFonts w:ascii="Arial" w:eastAsiaTheme="minorHAnsi" w:hAnsi="Arial" w:cs="Arial"/>
          <w:b/>
          <w:sz w:val="22"/>
          <w:szCs w:val="22"/>
        </w:rPr>
        <w:t xml:space="preserve"> for the leading causes of childhood and adolescent death by rurality.</w:t>
      </w:r>
    </w:p>
    <w:p w14:paraId="24E4F83C" w14:textId="77777777" w:rsidR="0021039C" w:rsidRPr="008241FF" w:rsidRDefault="0021039C" w:rsidP="0021039C">
      <w:pPr>
        <w:jc w:val="both"/>
        <w:outlineLvl w:val="0"/>
        <w:rPr>
          <w:rFonts w:ascii="Arial" w:eastAsiaTheme="minorHAnsi" w:hAnsi="Arial" w:cs="Arial"/>
          <w:b/>
          <w:color w:val="000000" w:themeColor="text1"/>
          <w:highlight w:val="green"/>
        </w:rPr>
      </w:pPr>
      <w:r>
        <w:rPr>
          <w:rFonts w:ascii="Arial" w:eastAsiaTheme="minorHAnsi" w:hAnsi="Arial" w:cs="Arial"/>
          <w:b/>
          <w:noProof/>
          <w:color w:val="000000" w:themeColor="text1"/>
          <w:highlight w:val="green"/>
        </w:rPr>
        <w:drawing>
          <wp:inline distT="0" distB="0" distL="0" distR="0" wp14:anchorId="3819F1B4" wp14:editId="565A49C0">
            <wp:extent cx="8230870" cy="52035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8064" cy="5220695"/>
                    </a:xfrm>
                    <a:prstGeom prst="rect">
                      <a:avLst/>
                    </a:prstGeom>
                    <a:noFill/>
                  </pic:spPr>
                </pic:pic>
              </a:graphicData>
            </a:graphic>
          </wp:inline>
        </w:drawing>
      </w:r>
    </w:p>
    <w:p w14:paraId="7F13DD33" w14:textId="6440CDF9" w:rsidR="0021039C" w:rsidRPr="00E63429" w:rsidRDefault="0021039C" w:rsidP="0021039C">
      <w:pPr>
        <w:jc w:val="both"/>
        <w:outlineLvl w:val="0"/>
        <w:rPr>
          <w:rFonts w:ascii="Arial" w:hAnsi="Arial" w:cs="Arial"/>
          <w:sz w:val="16"/>
          <w:szCs w:val="16"/>
        </w:rPr>
        <w:sectPr w:rsidR="0021039C" w:rsidRPr="00E63429" w:rsidSect="00E1707E">
          <w:pgSz w:w="15840" w:h="12240" w:orient="landscape"/>
          <w:pgMar w:top="1440" w:right="1440" w:bottom="1440" w:left="1440" w:header="720" w:footer="720" w:gutter="0"/>
          <w:cols w:space="720"/>
          <w:docGrid w:linePitch="360"/>
        </w:sectPr>
      </w:pPr>
      <w:proofErr w:type="gramStart"/>
      <w:r w:rsidRPr="00075806">
        <w:rPr>
          <w:rFonts w:ascii="Arial" w:hAnsi="Arial" w:cs="Arial"/>
          <w:sz w:val="16"/>
          <w:szCs w:val="16"/>
          <w:vertAlign w:val="superscript"/>
        </w:rPr>
        <w:t>a</w:t>
      </w:r>
      <w:proofErr w:type="gramEnd"/>
      <w:r w:rsidRPr="00075806">
        <w:rPr>
          <w:rFonts w:ascii="Arial" w:hAnsi="Arial" w:cs="Arial"/>
          <w:sz w:val="16"/>
          <w:szCs w:val="16"/>
          <w:vertAlign w:val="superscript"/>
        </w:rPr>
        <w:t xml:space="preserve"> </w:t>
      </w:r>
      <w:r w:rsidRPr="00075806">
        <w:rPr>
          <w:rFonts w:ascii="Arial" w:hAnsi="Arial" w:cs="Arial"/>
          <w:sz w:val="16"/>
          <w:szCs w:val="16"/>
        </w:rPr>
        <w:t>Data obtained from Centers for Disease Control (CDC) Wide-ranging On-line Data for Epidemiological Research (WONDER)</w:t>
      </w:r>
      <w:r w:rsidR="004322FA" w:rsidRPr="004322FA">
        <w:rPr>
          <w:rFonts w:ascii="Arial" w:hAnsi="Arial" w:cs="Arial"/>
          <w:sz w:val="16"/>
          <w:szCs w:val="16"/>
          <w:vertAlign w:val="superscript"/>
        </w:rPr>
        <w:t>1</w:t>
      </w:r>
      <w:r w:rsidRPr="00075806">
        <w:rPr>
          <w:rFonts w:ascii="Arial" w:hAnsi="Arial" w:cs="Arial"/>
          <w:sz w:val="16"/>
          <w:szCs w:val="16"/>
        </w:rPr>
        <w:t xml:space="preserve"> database using ICD-10</w:t>
      </w:r>
      <w:r w:rsidR="004322FA" w:rsidRPr="004322FA">
        <w:rPr>
          <w:rFonts w:ascii="Arial" w:hAnsi="Arial" w:cs="Arial"/>
          <w:sz w:val="16"/>
          <w:szCs w:val="16"/>
          <w:vertAlign w:val="superscript"/>
        </w:rPr>
        <w:t>2</w:t>
      </w:r>
      <w:r w:rsidRPr="00075806">
        <w:rPr>
          <w:rFonts w:ascii="Arial" w:hAnsi="Arial" w:cs="Arial"/>
          <w:sz w:val="16"/>
          <w:szCs w:val="16"/>
        </w:rPr>
        <w:t xml:space="preserve"> codes for the leading causes of death among children and adolescents.  The 2013 NCHS </w:t>
      </w:r>
      <w:r w:rsidRPr="00F85461">
        <w:rPr>
          <w:rFonts w:ascii="Arial" w:hAnsi="Arial" w:cs="Arial"/>
          <w:sz w:val="16"/>
          <w:szCs w:val="16"/>
        </w:rPr>
        <w:t>Urban-Rural Classification Scheme for Counties</w:t>
      </w:r>
      <w:r w:rsidR="004322FA">
        <w:rPr>
          <w:rFonts w:ascii="Arial" w:hAnsi="Arial" w:cs="Arial"/>
          <w:sz w:val="16"/>
          <w:szCs w:val="16"/>
        </w:rPr>
        <w:t xml:space="preserve"> </w:t>
      </w:r>
      <w:r w:rsidRPr="00F85461">
        <w:rPr>
          <w:rFonts w:ascii="Arial" w:hAnsi="Arial" w:cs="Arial"/>
          <w:color w:val="000000"/>
          <w:sz w:val="16"/>
          <w:szCs w:val="16"/>
        </w:rPr>
        <w:t xml:space="preserve">was used </w:t>
      </w:r>
      <w:proofErr w:type="gramStart"/>
      <w:r w:rsidRPr="00F85461">
        <w:rPr>
          <w:rFonts w:ascii="Arial" w:hAnsi="Arial" w:cs="Arial"/>
          <w:color w:val="000000"/>
          <w:sz w:val="16"/>
          <w:szCs w:val="16"/>
        </w:rPr>
        <w:t>to  assign</w:t>
      </w:r>
      <w:proofErr w:type="gramEnd"/>
      <w:r w:rsidRPr="00F85461">
        <w:rPr>
          <w:rFonts w:ascii="Arial" w:hAnsi="Arial" w:cs="Arial"/>
          <w:color w:val="000000"/>
          <w:sz w:val="16"/>
          <w:szCs w:val="16"/>
        </w:rPr>
        <w:t xml:space="preserve"> one of six urbanicity categories to each county in the US. Counties were classified as Urban (Large Central Metro or Large Fringe Metro), Suburban (Medium Metro or Small Metro), and Rural (</w:t>
      </w:r>
      <w:proofErr w:type="spellStart"/>
      <w:r w:rsidRPr="00F85461">
        <w:rPr>
          <w:rFonts w:ascii="Arial" w:hAnsi="Arial" w:cs="Arial"/>
          <w:color w:val="000000"/>
          <w:sz w:val="16"/>
          <w:szCs w:val="16"/>
        </w:rPr>
        <w:t>Micropolitan</w:t>
      </w:r>
      <w:proofErr w:type="spellEnd"/>
      <w:r w:rsidRPr="00F85461">
        <w:rPr>
          <w:rFonts w:ascii="Arial" w:hAnsi="Arial" w:cs="Arial"/>
          <w:color w:val="000000"/>
          <w:sz w:val="16"/>
          <w:szCs w:val="16"/>
        </w:rPr>
        <w:t xml:space="preserve"> or </w:t>
      </w:r>
      <w:proofErr w:type="spellStart"/>
      <w:r w:rsidRPr="00F85461">
        <w:rPr>
          <w:rFonts w:ascii="Arial" w:hAnsi="Arial" w:cs="Arial"/>
          <w:color w:val="000000"/>
          <w:sz w:val="16"/>
          <w:szCs w:val="16"/>
        </w:rPr>
        <w:t>NonCore</w:t>
      </w:r>
      <w:proofErr w:type="spellEnd"/>
      <w:r w:rsidR="00E1707E">
        <w:rPr>
          <w:rFonts w:ascii="Arial" w:hAnsi="Arial" w:cs="Arial"/>
          <w:color w:val="000000"/>
          <w:sz w:val="16"/>
          <w:szCs w:val="16"/>
        </w:rPr>
        <w:t>).</w:t>
      </w:r>
    </w:p>
    <w:p w14:paraId="78BB1085" w14:textId="77777777" w:rsidR="00614E28" w:rsidRDefault="00614E28" w:rsidP="001474FE">
      <w:pPr>
        <w:rPr>
          <w:rFonts w:ascii="Arial" w:hAnsi="Arial" w:cs="Arial"/>
          <w:b/>
          <w:color w:val="000000"/>
          <w:sz w:val="22"/>
          <w:szCs w:val="22"/>
        </w:rPr>
      </w:pPr>
    </w:p>
    <w:p w14:paraId="69934E3F" w14:textId="373EF152" w:rsidR="00614E28" w:rsidRDefault="00614E28" w:rsidP="001474FE">
      <w:pPr>
        <w:rPr>
          <w:rFonts w:ascii="Arial" w:hAnsi="Arial" w:cs="Arial"/>
          <w:b/>
          <w:color w:val="000000"/>
          <w:sz w:val="22"/>
          <w:szCs w:val="22"/>
        </w:rPr>
      </w:pPr>
      <w:r>
        <w:rPr>
          <w:rFonts w:ascii="Arial" w:hAnsi="Arial" w:cs="Arial"/>
          <w:b/>
          <w:color w:val="000000"/>
          <w:sz w:val="22"/>
          <w:szCs w:val="22"/>
        </w:rPr>
        <w:t xml:space="preserve">Figure S3. </w:t>
      </w:r>
      <w:r>
        <w:rPr>
          <w:rFonts w:ascii="Arial" w:hAnsi="Arial" w:cs="Arial"/>
          <w:b/>
          <w:color w:val="000000"/>
          <w:sz w:val="22"/>
          <w:szCs w:val="22"/>
        </w:rPr>
        <w:t>ICD Definitions of Injury</w:t>
      </w:r>
    </w:p>
    <w:p w14:paraId="27A63670" w14:textId="091A066F" w:rsidR="00CE130D" w:rsidRDefault="00614E28" w:rsidP="001474FE">
      <w:pPr>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59264" behindDoc="0" locked="0" layoutInCell="1" allowOverlap="1" wp14:anchorId="3799779C" wp14:editId="35AB8A8F">
                <wp:simplePos x="0" y="0"/>
                <wp:positionH relativeFrom="column">
                  <wp:posOffset>-63795</wp:posOffset>
                </wp:positionH>
                <wp:positionV relativeFrom="paragraph">
                  <wp:posOffset>137057</wp:posOffset>
                </wp:positionV>
                <wp:extent cx="6188148" cy="6007395"/>
                <wp:effectExtent l="0" t="0" r="22225" b="12700"/>
                <wp:wrapNone/>
                <wp:docPr id="1" name="Rectangle 1"/>
                <wp:cNvGraphicFramePr/>
                <a:graphic xmlns:a="http://schemas.openxmlformats.org/drawingml/2006/main">
                  <a:graphicData uri="http://schemas.microsoft.com/office/word/2010/wordprocessingShape">
                    <wps:wsp>
                      <wps:cNvSpPr/>
                      <wps:spPr>
                        <a:xfrm>
                          <a:off x="0" y="0"/>
                          <a:ext cx="6188148" cy="6007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4DA01" id="Rectangle 1" o:spid="_x0000_s1026" style="position:absolute;margin-left:-5pt;margin-top:10.8pt;width:487.25pt;height:4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" filled="f" strokecolor="black [3213]" strokeweight="1pt"/>
            </w:pict>
          </mc:Fallback>
        </mc:AlternateContent>
      </w:r>
      <w:r w:rsidRPr="00614E28">
        <w:rPr>
          <w:rFonts w:ascii="Arial" w:hAnsi="Arial" w:cs="Arial"/>
          <w:b/>
          <w:color w:val="000000"/>
          <w:sz w:val="22"/>
          <w:szCs w:val="22"/>
        </w:rPr>
        <w:t xml:space="preserve"> </w:t>
      </w:r>
    </w:p>
    <w:p w14:paraId="3DB409E9" w14:textId="386D0587" w:rsidR="001474FE" w:rsidRPr="004A57CE" w:rsidRDefault="001474FE" w:rsidP="001474FE">
      <w:pPr>
        <w:rPr>
          <w:rFonts w:ascii="Arial" w:hAnsi="Arial" w:cs="Arial"/>
          <w:b/>
          <w:sz w:val="22"/>
          <w:szCs w:val="22"/>
        </w:rPr>
      </w:pPr>
      <w:r w:rsidRPr="004A57CE">
        <w:rPr>
          <w:rFonts w:ascii="Arial" w:hAnsi="Arial" w:cs="Arial"/>
          <w:b/>
          <w:color w:val="000000"/>
          <w:sz w:val="22"/>
          <w:szCs w:val="22"/>
        </w:rPr>
        <w:t>ICD-10</w:t>
      </w:r>
      <w:r w:rsidR="00E1707E">
        <w:rPr>
          <w:rFonts w:ascii="Arial" w:hAnsi="Arial" w:cs="Arial"/>
          <w:b/>
          <w:color w:val="000000"/>
          <w:sz w:val="22"/>
          <w:szCs w:val="22"/>
          <w:vertAlign w:val="superscript"/>
        </w:rPr>
        <w:t>2</w:t>
      </w:r>
      <w:r w:rsidRPr="004A57CE">
        <w:rPr>
          <w:rStyle w:val="apple-converted-space"/>
          <w:rFonts w:ascii="Arial" w:hAnsi="Arial" w:cs="Arial"/>
          <w:b/>
          <w:color w:val="000000"/>
          <w:sz w:val="22"/>
          <w:szCs w:val="22"/>
        </w:rPr>
        <w:t> </w:t>
      </w:r>
      <w:r w:rsidRPr="004A57CE">
        <w:rPr>
          <w:rFonts w:ascii="Arial" w:hAnsi="Arial" w:cs="Arial"/>
          <w:b/>
          <w:color w:val="000000"/>
          <w:sz w:val="22"/>
          <w:szCs w:val="22"/>
        </w:rPr>
        <w:t xml:space="preserve">Codes </w:t>
      </w:r>
      <w:proofErr w:type="gramStart"/>
      <w:r w:rsidRPr="004A57CE">
        <w:rPr>
          <w:rFonts w:ascii="Arial" w:hAnsi="Arial" w:cs="Arial"/>
          <w:b/>
          <w:color w:val="000000"/>
          <w:sz w:val="22"/>
          <w:szCs w:val="22"/>
        </w:rPr>
        <w:t>For The Leading Causes Of</w:t>
      </w:r>
      <w:proofErr w:type="gramEnd"/>
      <w:r w:rsidRPr="004A57CE">
        <w:rPr>
          <w:rFonts w:ascii="Arial" w:hAnsi="Arial" w:cs="Arial"/>
          <w:b/>
          <w:color w:val="000000"/>
          <w:sz w:val="22"/>
          <w:szCs w:val="22"/>
        </w:rPr>
        <w:t xml:space="preserve"> Death (as defined By WISQUARS For Injury Death And WONDER For Other Causes Of Death) Among Children And Adolescents.</w:t>
      </w:r>
    </w:p>
    <w:p w14:paraId="3EED0F54" w14:textId="77777777" w:rsidR="001474FE" w:rsidRPr="004A57CE" w:rsidRDefault="001474FE" w:rsidP="001474FE">
      <w:pPr>
        <w:ind w:left="-270" w:right="-270"/>
        <w:jc w:val="both"/>
        <w:rPr>
          <w:rFonts w:ascii="Arial" w:hAnsi="Arial" w:cs="Arial"/>
          <w:b/>
          <w:sz w:val="22"/>
          <w:szCs w:val="22"/>
        </w:rPr>
      </w:pPr>
    </w:p>
    <w:p w14:paraId="2771E1A2" w14:textId="77777777" w:rsidR="001474FE" w:rsidRPr="004A57CE" w:rsidRDefault="001474FE" w:rsidP="001474FE">
      <w:pPr>
        <w:ind w:left="540" w:right="-270" w:hanging="540"/>
        <w:rPr>
          <w:rFonts w:ascii="Arial" w:hAnsi="Arial" w:cs="Arial"/>
          <w:color w:val="000000" w:themeColor="text1"/>
          <w:sz w:val="22"/>
          <w:szCs w:val="22"/>
        </w:rPr>
      </w:pPr>
      <w:r w:rsidRPr="004A57CE">
        <w:rPr>
          <w:rFonts w:ascii="Arial" w:hAnsi="Arial" w:cs="Arial"/>
          <w:color w:val="000000" w:themeColor="text1"/>
          <w:sz w:val="22"/>
          <w:szCs w:val="22"/>
          <w:u w:val="single"/>
        </w:rPr>
        <w:t>Deaths due to MVC</w:t>
      </w:r>
      <w:r w:rsidRPr="004A57CE">
        <w:rPr>
          <w:rFonts w:ascii="Arial" w:hAnsi="Arial" w:cs="Arial"/>
          <w:color w:val="000000" w:themeColor="text1"/>
          <w:sz w:val="22"/>
          <w:szCs w:val="22"/>
        </w:rPr>
        <w:t xml:space="preserve"> (V02-V04; V09.0; V09.2; V12-V14; V19.0-V19.2; V19.4-V19.6; V20-V79; V80.3-V80.5; V81.0-V81.1; V82.0-V82.1; V83-V86; V87.0-V87.8; V88.0-V88.8; V89.0; V89.2; X82; Y03; Y32) includes any motor vehicle crash fatality involving one or more drivers/occupants of a car, bus, light or heavy truck, moped/motorcycle or other transport vehicle (e.g., buggy, 4-wheeler). This includes any crash involving a car and a pedestrian and/or pedal cyclist, and excludes any pedestrian or pedal cyclist fatality that did not include a vehicle. </w:t>
      </w:r>
    </w:p>
    <w:p w14:paraId="56E9CEB4" w14:textId="77777777" w:rsidR="001474FE" w:rsidRPr="004A57CE" w:rsidRDefault="001474FE" w:rsidP="001474FE">
      <w:pPr>
        <w:ind w:left="540" w:right="-270" w:hanging="540"/>
        <w:rPr>
          <w:rFonts w:ascii="Arial" w:hAnsi="Arial" w:cs="Arial"/>
          <w:color w:val="000000" w:themeColor="text1"/>
          <w:sz w:val="22"/>
          <w:szCs w:val="22"/>
        </w:rPr>
      </w:pPr>
      <w:r w:rsidRPr="004A57CE">
        <w:rPr>
          <w:rFonts w:ascii="Arial" w:hAnsi="Arial" w:cs="Arial"/>
          <w:sz w:val="22"/>
          <w:szCs w:val="22"/>
          <w:u w:val="single"/>
        </w:rPr>
        <w:t>Firearm injuries</w:t>
      </w:r>
      <w:r w:rsidRPr="004A57CE">
        <w:rPr>
          <w:rFonts w:ascii="Arial" w:hAnsi="Arial" w:cs="Arial"/>
          <w:sz w:val="22"/>
          <w:szCs w:val="22"/>
        </w:rPr>
        <w:t xml:space="preserve"> (ICD 10 W32-W34; X72-74; X93-X95; Y22-Y24; Y35.0; U01.4) include any firearm fatalities due to discharge of a handgun or long-gun, including a rifle, shotgun, or larger firearm. </w:t>
      </w:r>
    </w:p>
    <w:p w14:paraId="62ABBAD6"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Malignant neoplasm</w:t>
      </w:r>
      <w:r w:rsidRPr="004A57CE">
        <w:rPr>
          <w:rFonts w:ascii="Arial" w:hAnsi="Arial" w:cs="Arial"/>
          <w:sz w:val="22"/>
          <w:szCs w:val="22"/>
        </w:rPr>
        <w:t xml:space="preserve"> (ICD 10 C00-C97) includes a malignant cancer arising from any primary site, and the category includes malignant neoplasms originating from lymphoid, hematopoietic, or related tissue types (e.g., leukemia, multiple myeloma). </w:t>
      </w:r>
    </w:p>
    <w:p w14:paraId="712B8FB6"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Suffocation</w:t>
      </w:r>
      <w:r w:rsidRPr="004A57CE">
        <w:rPr>
          <w:rFonts w:ascii="Arial" w:hAnsi="Arial" w:cs="Arial"/>
          <w:sz w:val="22"/>
          <w:szCs w:val="22"/>
        </w:rPr>
        <w:t xml:space="preserve"> (W75-W84; X70; X91; Y20) includes such incidents as suffocation or strangulation due to bed linen, mother’s body, pillows, plastic bags. It also includes aspiration or obstruction of the airway by food bolus, foreign body, and/or vomitus. The category also includes intentional self-harm by hanging and/or intentional violence by strangulation or suffocation. </w:t>
      </w:r>
    </w:p>
    <w:p w14:paraId="2F352F81"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Drowning</w:t>
      </w:r>
      <w:r w:rsidRPr="004A57CE">
        <w:rPr>
          <w:rFonts w:ascii="Arial" w:hAnsi="Arial" w:cs="Arial"/>
          <w:sz w:val="22"/>
          <w:szCs w:val="22"/>
        </w:rPr>
        <w:t xml:space="preserve"> (ICD 10 W65-W74; X71; X92; Y21) includes any event where the individual drowned or was submersed in water, resulting in a fatality. This includes bathtubs, swimming pools, and natural bodies of water, etc. </w:t>
      </w:r>
    </w:p>
    <w:p w14:paraId="266C4168"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Drug Overdose/Poisoning</w:t>
      </w:r>
      <w:r w:rsidRPr="004A57CE">
        <w:rPr>
          <w:rFonts w:ascii="Arial" w:hAnsi="Arial" w:cs="Arial"/>
          <w:sz w:val="22"/>
          <w:szCs w:val="22"/>
        </w:rPr>
        <w:t xml:space="preserve"> (X40-44; X60-64; X85; Y10-Y14) includes any overdose or ingestion of a drug and/or it’s derivative that results in fatality. Examples include Tylenol, Psychotropic Medications, Opioids, and Illicit drugs (i.e., cannabis, cocaine). </w:t>
      </w:r>
    </w:p>
    <w:p w14:paraId="2215E895"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Congenital Abnormalities</w:t>
      </w:r>
      <w:r w:rsidRPr="004A57CE">
        <w:rPr>
          <w:rFonts w:ascii="Arial" w:hAnsi="Arial" w:cs="Arial"/>
          <w:sz w:val="22"/>
          <w:szCs w:val="22"/>
        </w:rPr>
        <w:t xml:space="preserve"> (Q00-Q99) includes malformation, deformations and chromosomal abnormalities such as Spina Bifida, Tetralogy of Fallow, and Down’s syndrome. </w:t>
      </w:r>
    </w:p>
    <w:p w14:paraId="3D885FA4"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Heart Disease</w:t>
      </w:r>
      <w:r w:rsidRPr="004A57CE">
        <w:rPr>
          <w:rFonts w:ascii="Arial" w:hAnsi="Arial" w:cs="Arial"/>
          <w:sz w:val="22"/>
          <w:szCs w:val="22"/>
        </w:rPr>
        <w:t xml:space="preserve"> (I00-I09; I11; I20-I51) includes any non-congenital disease affecting the heart and would include such diseases as Rheumatic Heart Disease, Pulmonary Embolism, Pericarditis, Valvular Diseases, and Ischemic and Non-ischemic Cardiomyopathy. </w:t>
      </w:r>
    </w:p>
    <w:p w14:paraId="33C9E34E"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Fire/Burn</w:t>
      </w:r>
      <w:r w:rsidRPr="004A57CE">
        <w:rPr>
          <w:rFonts w:ascii="Arial" w:hAnsi="Arial" w:cs="Arial"/>
          <w:sz w:val="22"/>
          <w:szCs w:val="22"/>
        </w:rPr>
        <w:t xml:space="preserve"> (X00-X19; X76-77; X97-98; Y26-Y27; Y36.3; U01.3) category includes fatalities due to a fire event (e.g., exposure to flames; smoke inhalation) and burns resulting from exposure to hot surfaces (e.g., stove, iron). </w:t>
      </w:r>
    </w:p>
    <w:p w14:paraId="6322012C" w14:textId="77777777" w:rsidR="001474FE" w:rsidRPr="004A57CE" w:rsidRDefault="001474FE" w:rsidP="001474FE">
      <w:pPr>
        <w:ind w:left="540" w:right="-270" w:hanging="540"/>
        <w:rPr>
          <w:rFonts w:ascii="Arial" w:hAnsi="Arial" w:cs="Arial"/>
          <w:sz w:val="22"/>
          <w:szCs w:val="22"/>
        </w:rPr>
      </w:pPr>
      <w:r w:rsidRPr="004A57CE">
        <w:rPr>
          <w:rFonts w:ascii="Arial" w:hAnsi="Arial" w:cs="Arial"/>
          <w:sz w:val="22"/>
          <w:szCs w:val="22"/>
          <w:u w:val="single"/>
        </w:rPr>
        <w:t>Chronic Lower Respiratory Diseases</w:t>
      </w:r>
      <w:r w:rsidRPr="004A57CE">
        <w:rPr>
          <w:rFonts w:ascii="Arial" w:hAnsi="Arial" w:cs="Arial"/>
          <w:sz w:val="22"/>
          <w:szCs w:val="22"/>
        </w:rPr>
        <w:t xml:space="preserve"> (J40-J47) includes respiratory illnesses of a chronic nature, and includes such diseases as asthma, chronic bronchitis, obstructive pulmonary disease, and bronchiectasis. </w:t>
      </w:r>
    </w:p>
    <w:p w14:paraId="2A93ED05" w14:textId="5044BCF2" w:rsidR="001474FE" w:rsidRDefault="001474FE" w:rsidP="001474FE"/>
    <w:p w14:paraId="78116F25" w14:textId="4FE1D979" w:rsidR="00E22CB9" w:rsidRDefault="00E22CB9">
      <w:r>
        <w:br w:type="page"/>
      </w:r>
    </w:p>
    <w:p w14:paraId="6CB262B5" w14:textId="77777777" w:rsidR="00E22CB9" w:rsidRPr="004A57CE" w:rsidRDefault="00E22CB9" w:rsidP="004322FA">
      <w:pPr>
        <w:spacing w:after="160" w:line="259" w:lineRule="auto"/>
        <w:ind w:left="-270"/>
        <w:rPr>
          <w:rFonts w:ascii="Arial" w:hAnsi="Arial" w:cs="Arial"/>
          <w:b/>
          <w:color w:val="000000" w:themeColor="text1"/>
        </w:rPr>
      </w:pPr>
      <w:r w:rsidRPr="00093799">
        <w:rPr>
          <w:rFonts w:ascii="Arial" w:hAnsi="Arial" w:cs="Arial"/>
          <w:b/>
          <w:color w:val="000000" w:themeColor="text1"/>
        </w:rPr>
        <w:lastRenderedPageBreak/>
        <w:t xml:space="preserve">Table </w:t>
      </w:r>
      <w:r>
        <w:rPr>
          <w:rFonts w:ascii="Arial" w:hAnsi="Arial" w:cs="Arial"/>
          <w:b/>
          <w:color w:val="000000" w:themeColor="text1"/>
        </w:rPr>
        <w:t>S</w:t>
      </w:r>
      <w:r w:rsidRPr="00093799">
        <w:rPr>
          <w:rFonts w:ascii="Arial" w:hAnsi="Arial" w:cs="Arial"/>
          <w:b/>
          <w:color w:val="000000" w:themeColor="text1"/>
        </w:rPr>
        <w:t>1</w:t>
      </w:r>
      <w:r>
        <w:rPr>
          <w:rFonts w:ascii="Arial" w:hAnsi="Arial" w:cs="Arial"/>
          <w:b/>
          <w:color w:val="000000" w:themeColor="text1"/>
        </w:rPr>
        <w:t>.</w:t>
      </w:r>
      <w:r w:rsidRPr="00093799">
        <w:rPr>
          <w:rFonts w:ascii="Arial" w:hAnsi="Arial" w:cs="Arial"/>
          <w:b/>
          <w:color w:val="000000" w:themeColor="text1"/>
        </w:rPr>
        <w:t xml:space="preserve"> </w:t>
      </w:r>
      <w:r w:rsidRPr="005F013B">
        <w:rPr>
          <w:rFonts w:ascii="Arial" w:hAnsi="Arial" w:cs="Arial"/>
          <w:b/>
          <w:color w:val="000000" w:themeColor="text1"/>
        </w:rPr>
        <w:t>Ten Leading Causes of Child and Adolescent Mortality (ages 1-19</w:t>
      </w:r>
      <w:proofErr w:type="gramStart"/>
      <w:r w:rsidRPr="005F013B">
        <w:rPr>
          <w:rFonts w:ascii="Arial" w:hAnsi="Arial" w:cs="Arial"/>
          <w:b/>
          <w:color w:val="000000" w:themeColor="text1"/>
        </w:rPr>
        <w:t>)</w:t>
      </w:r>
      <w:r w:rsidRPr="009A1500">
        <w:rPr>
          <w:rFonts w:ascii="Arial" w:hAnsi="Arial" w:cs="Arial"/>
          <w:color w:val="000000" w:themeColor="text1"/>
          <w:vertAlign w:val="superscript"/>
        </w:rPr>
        <w:t>a</w:t>
      </w:r>
      <w:proofErr w:type="gramEnd"/>
    </w:p>
    <w:tbl>
      <w:tblPr>
        <w:tblStyle w:val="TableGrid"/>
        <w:tblW w:w="9868" w:type="dxa"/>
        <w:tblInd w:w="-275" w:type="dxa"/>
        <w:tblLook w:val="04A0" w:firstRow="1" w:lastRow="0" w:firstColumn="1" w:lastColumn="0" w:noHBand="0" w:noVBand="1"/>
      </w:tblPr>
      <w:tblGrid>
        <w:gridCol w:w="4503"/>
        <w:gridCol w:w="1437"/>
        <w:gridCol w:w="2683"/>
        <w:gridCol w:w="1245"/>
      </w:tblGrid>
      <w:tr w:rsidR="00E22CB9" w:rsidRPr="004A57CE" w14:paraId="18E890D6" w14:textId="77777777" w:rsidTr="0048405C">
        <w:trPr>
          <w:trHeight w:val="252"/>
        </w:trP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1B29E"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CAUSES OF DEATH</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E0A6D"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Total # deaths</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2C5D2"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Rate/100,000 (95% CI)</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BFB67"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 deaths</w:t>
            </w:r>
          </w:p>
        </w:tc>
      </w:tr>
      <w:tr w:rsidR="00E22CB9" w:rsidRPr="004A57CE" w14:paraId="6D6652C9" w14:textId="77777777" w:rsidTr="0048405C">
        <w:trPr>
          <w:trHeight w:val="252"/>
        </w:trPr>
        <w:tc>
          <w:tcPr>
            <w:tcW w:w="4503" w:type="dxa"/>
            <w:tcBorders>
              <w:top w:val="single" w:sz="4" w:space="0" w:color="auto"/>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2D09234E"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All Death</w:t>
            </w:r>
          </w:p>
        </w:tc>
        <w:tc>
          <w:tcPr>
            <w:tcW w:w="1437"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29C3EB4"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20,360</w:t>
            </w:r>
          </w:p>
        </w:tc>
        <w:tc>
          <w:tcPr>
            <w:tcW w:w="2683"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F1E5149"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26.06 (25.70-26.42)</w:t>
            </w:r>
          </w:p>
        </w:tc>
        <w:tc>
          <w:tcPr>
            <w:tcW w:w="1245" w:type="dxa"/>
            <w:tcBorders>
              <w:top w:val="single" w:sz="4" w:space="0" w:color="auto"/>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59214BD0"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37977A8B"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982DC43"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All Injury</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C48B7E6"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12,336</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CC3F04A"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15.79 (15.51-16.07)</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53E5F291"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60.6</w:t>
            </w:r>
          </w:p>
        </w:tc>
      </w:tr>
      <w:tr w:rsidR="00E22CB9" w:rsidRPr="004A57CE" w14:paraId="1A140B0A"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4945067B"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#1 MVC</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8166A4E"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4,074</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EF9396F"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5.21 (5.06-5.38)</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0A1D1DFC"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20.0</w:t>
            </w:r>
          </w:p>
        </w:tc>
      </w:tr>
      <w:tr w:rsidR="00E22CB9" w:rsidRPr="004A57CE" w14:paraId="4EB0CDCE"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DF844D8" w14:textId="77777777" w:rsidR="00E22CB9" w:rsidRPr="004A57CE" w:rsidRDefault="00E22CB9" w:rsidP="007526F0">
            <w:pPr>
              <w:spacing w:before="1" w:after="1"/>
              <w:ind w:left="705"/>
              <w:rPr>
                <w:rFonts w:ascii="Arial" w:hAnsi="Arial" w:cs="Arial"/>
                <w:color w:val="000000" w:themeColor="text1"/>
              </w:rPr>
            </w:pPr>
            <w:r w:rsidRPr="004A57CE">
              <w:rPr>
                <w:rFonts w:ascii="Arial" w:hAnsi="Arial" w:cs="Arial"/>
                <w:color w:val="000000" w:themeColor="text1"/>
              </w:rPr>
              <w:t>MVC Homicide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875CD84"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2</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A59F987"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w:t>
            </w:r>
            <w:r>
              <w:rPr>
                <w:rFonts w:ascii="Arial" w:hAnsi="Arial" w:cs="Arial"/>
                <w:color w:val="000000" w:themeColor="text1"/>
              </w:rPr>
              <w:t>0</w:t>
            </w:r>
            <w:r w:rsidRPr="004A57CE">
              <w:rPr>
                <w:rFonts w:ascii="Arial" w:hAnsi="Arial" w:cs="Arial"/>
                <w:color w:val="000000" w:themeColor="text1"/>
                <w:vertAlign w:val="superscript"/>
              </w:rPr>
              <w:t xml:space="preserve">#  </w:t>
            </w:r>
            <w:r w:rsidRPr="004A57CE">
              <w:rPr>
                <w:rFonts w:ascii="Arial" w:hAnsi="Arial" w:cs="Arial"/>
                <w:color w:val="000000" w:themeColor="text1"/>
              </w:rPr>
              <w:t>(0.00-0.01)</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58C668D6"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492F853E"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6FD43F89" w14:textId="77777777" w:rsidR="00E22CB9" w:rsidRPr="004A57CE" w:rsidRDefault="00E22CB9" w:rsidP="007526F0">
            <w:pPr>
              <w:spacing w:before="1" w:after="1"/>
              <w:ind w:left="705"/>
              <w:rPr>
                <w:rFonts w:ascii="Arial" w:hAnsi="Arial" w:cs="Arial"/>
                <w:color w:val="000000" w:themeColor="text1"/>
              </w:rPr>
            </w:pPr>
            <w:r w:rsidRPr="004A57CE">
              <w:rPr>
                <w:rFonts w:ascii="Arial" w:hAnsi="Arial" w:cs="Arial"/>
                <w:color w:val="000000" w:themeColor="text1"/>
              </w:rPr>
              <w:t>MVC Suicide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C965398"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15</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E11CC8D"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0.02</w:t>
            </w:r>
            <w:r w:rsidRPr="004A57CE">
              <w:rPr>
                <w:rFonts w:ascii="Arial" w:hAnsi="Arial" w:cs="Arial"/>
                <w:color w:val="000000" w:themeColor="text1"/>
                <w:vertAlign w:val="superscript"/>
              </w:rPr>
              <w:t>#</w:t>
            </w:r>
            <w:r w:rsidRPr="004A57CE">
              <w:rPr>
                <w:rFonts w:ascii="Arial" w:hAnsi="Arial" w:cs="Arial"/>
                <w:color w:val="000000" w:themeColor="text1"/>
              </w:rPr>
              <w:t xml:space="preserve"> (0.01-0.03)</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3BE1315D"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751B44D5"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3F1767CD" w14:textId="77777777" w:rsidR="00E22CB9" w:rsidRPr="004A57CE" w:rsidRDefault="00E22CB9" w:rsidP="007526F0">
            <w:pPr>
              <w:spacing w:before="1" w:after="1"/>
              <w:ind w:left="705"/>
              <w:rPr>
                <w:rFonts w:ascii="Arial" w:hAnsi="Arial" w:cs="Arial"/>
                <w:color w:val="000000" w:themeColor="text1"/>
              </w:rPr>
            </w:pPr>
            <w:r w:rsidRPr="004A57CE">
              <w:rPr>
                <w:rFonts w:ascii="Arial" w:hAnsi="Arial" w:cs="Arial"/>
                <w:color w:val="000000" w:themeColor="text1"/>
              </w:rPr>
              <w:t>MVC Unintentional</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FF5F9DD"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4056</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A7F7DB0"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5.19 (5.03-5.35)</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280579B8"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58E5993D"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322C9A0A" w14:textId="77777777" w:rsidR="00E22CB9" w:rsidRPr="004A57CE" w:rsidRDefault="00E22CB9" w:rsidP="007526F0">
            <w:pPr>
              <w:spacing w:before="1" w:after="1"/>
              <w:ind w:left="705"/>
              <w:rPr>
                <w:rFonts w:ascii="Arial" w:hAnsi="Arial" w:cs="Arial"/>
                <w:color w:val="000000" w:themeColor="text1"/>
              </w:rPr>
            </w:pPr>
            <w:r w:rsidRPr="004A57CE">
              <w:rPr>
                <w:rFonts w:ascii="Arial" w:hAnsi="Arial" w:cs="Arial"/>
                <w:color w:val="000000" w:themeColor="text1"/>
              </w:rPr>
              <w:t>MVC Undetermined</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41E3271"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5821DD3"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0.00</w:t>
            </w:r>
            <w:r w:rsidRPr="004A57CE">
              <w:rPr>
                <w:rFonts w:ascii="Arial" w:hAnsi="Arial" w:cs="Arial"/>
                <w:color w:val="000000" w:themeColor="text1"/>
                <w:vertAlign w:val="superscript"/>
              </w:rPr>
              <w:t>#</w:t>
            </w:r>
            <w:r w:rsidRPr="004A57CE">
              <w:rPr>
                <w:rFonts w:ascii="Arial" w:hAnsi="Arial" w:cs="Arial"/>
                <w:color w:val="000000" w:themeColor="text1"/>
              </w:rPr>
              <w:t xml:space="preserve"> (0.00-0.01)</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2BBEFC66"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1FA3830D"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B349E3C"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#2 FIREARM</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2CA76546"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3,143</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2CE5037A"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4.02 (3.88-4.16)</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68C31903"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15.4</w:t>
            </w:r>
          </w:p>
        </w:tc>
      </w:tr>
      <w:tr w:rsidR="00E22CB9" w:rsidRPr="004A57CE" w14:paraId="21DBEAFD"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5EE73FF8"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Firearm Homicide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88DFA69"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1865</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9CC8EDF"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2.39 (2.28-2.50)</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2791DD1A"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62930C2B"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CD2BCC3"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Firearm Suicide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BA037F2"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1102</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C8EEDBF"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1.41(1.33-1.50)</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32438005"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56AB0A60"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3E46AAFB"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Firearm Unintentional</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81A4576"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126</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2E79762"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0.16 (0.13-0.19)</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69A76A6F"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2FF8B3A3"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7AB9EDD9"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Firearm Undetermined</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9E68A07"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50</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C4A1379"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0.06 (0.05-0.09)</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30D9D622"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0AEF7DF5"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3105385"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#3 MALIGNANT NEOPLASMS</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54611751"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1,853</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2BC85DF6"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2.37 (2.27-2.48)</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40C9708C"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9.1</w:t>
            </w:r>
          </w:p>
        </w:tc>
      </w:tr>
      <w:tr w:rsidR="00E22CB9" w:rsidRPr="004A57CE" w14:paraId="13497CE2"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20BFE457"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#4 SUFFOCATION </w:t>
            </w:r>
            <w:r w:rsidRPr="004A57CE">
              <w:rPr>
                <w:rFonts w:ascii="Arial" w:hAnsi="Arial" w:cs="Arial"/>
                <w:b/>
                <w:color w:val="000000" w:themeColor="text1"/>
                <w:vertAlign w:val="superscript"/>
              </w:rPr>
              <w:t>b</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CA7AA41"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1,430</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473B78D9"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1.83 (1.74-1.93)</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4F97F2C6" w14:textId="77777777" w:rsidR="00E22CB9" w:rsidRPr="004A57CE" w:rsidRDefault="00E22CB9" w:rsidP="007526F0">
            <w:pPr>
              <w:spacing w:before="1" w:after="1"/>
              <w:jc w:val="center"/>
              <w:rPr>
                <w:rFonts w:ascii="Arial" w:hAnsi="Arial" w:cs="Arial"/>
                <w:b/>
                <w:color w:val="000000" w:themeColor="text1"/>
                <w:highlight w:val="cyan"/>
              </w:rPr>
            </w:pPr>
            <w:r w:rsidRPr="004A57CE">
              <w:rPr>
                <w:rFonts w:ascii="Arial" w:hAnsi="Arial" w:cs="Arial"/>
                <w:b/>
                <w:color w:val="000000" w:themeColor="text1"/>
              </w:rPr>
              <w:t>7.0</w:t>
            </w:r>
          </w:p>
        </w:tc>
      </w:tr>
      <w:tr w:rsidR="00E22CB9" w:rsidRPr="004A57CE" w14:paraId="213AD703"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548B39C"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Suffocation Homicide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11F226A"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54</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27825EF"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0.07 (0.05-0.09)</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46540B1B" w14:textId="77777777" w:rsidR="00E22CB9" w:rsidRPr="004A57CE" w:rsidRDefault="00E22CB9" w:rsidP="007526F0">
            <w:pPr>
              <w:spacing w:before="1" w:after="1"/>
              <w:jc w:val="center"/>
              <w:rPr>
                <w:rFonts w:ascii="Arial" w:hAnsi="Arial" w:cs="Arial"/>
                <w:color w:val="000000" w:themeColor="text1"/>
                <w:highlight w:val="cyan"/>
              </w:rPr>
            </w:pPr>
          </w:p>
        </w:tc>
      </w:tr>
      <w:tr w:rsidR="00E22CB9" w:rsidRPr="004A57CE" w14:paraId="76EBF9B6"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69575D83"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Suffocation Suicide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7AB591C"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1110</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3865DF0"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1.42 (1.34-1.51)</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34CEA711" w14:textId="77777777" w:rsidR="00E22CB9" w:rsidRPr="004A57CE" w:rsidRDefault="00E22CB9" w:rsidP="007526F0">
            <w:pPr>
              <w:spacing w:before="1" w:after="1"/>
              <w:jc w:val="center"/>
              <w:rPr>
                <w:rFonts w:ascii="Arial" w:hAnsi="Arial" w:cs="Arial"/>
                <w:color w:val="000000" w:themeColor="text1"/>
                <w:highlight w:val="cyan"/>
              </w:rPr>
            </w:pPr>
          </w:p>
        </w:tc>
      </w:tr>
      <w:tr w:rsidR="00E22CB9" w:rsidRPr="004A57CE" w14:paraId="762FAE01"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55D7A058"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Suffocation Unintentional</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C2F3918"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235</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AAE217D"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0.30 (0.26-0.34)</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15479519" w14:textId="77777777" w:rsidR="00E22CB9" w:rsidRPr="004A57CE" w:rsidRDefault="00E22CB9" w:rsidP="007526F0">
            <w:pPr>
              <w:spacing w:before="1" w:after="1"/>
              <w:jc w:val="center"/>
              <w:rPr>
                <w:rFonts w:ascii="Arial" w:hAnsi="Arial" w:cs="Arial"/>
                <w:color w:val="000000" w:themeColor="text1"/>
                <w:highlight w:val="cyan"/>
              </w:rPr>
            </w:pPr>
          </w:p>
        </w:tc>
      </w:tr>
      <w:tr w:rsidR="00E22CB9" w:rsidRPr="004A57CE" w14:paraId="2A452692"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1E3358F9" w14:textId="77777777" w:rsidR="00E22CB9" w:rsidRPr="004A57CE" w:rsidRDefault="00E22CB9" w:rsidP="007526F0">
            <w:pPr>
              <w:spacing w:before="1" w:after="1"/>
              <w:ind w:left="705" w:hanging="705"/>
              <w:rPr>
                <w:rFonts w:ascii="Arial" w:hAnsi="Arial" w:cs="Arial"/>
                <w:color w:val="000000" w:themeColor="text1"/>
              </w:rPr>
            </w:pPr>
            <w:r w:rsidRPr="004A57CE">
              <w:rPr>
                <w:rFonts w:ascii="Arial" w:hAnsi="Arial" w:cs="Arial"/>
                <w:color w:val="000000" w:themeColor="text1"/>
              </w:rPr>
              <w:tab/>
              <w:t>Suffocation Undetermined</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2E8FEA2"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31</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F7D4CD7"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0.04 (0.03-0.06)</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74F9B296" w14:textId="77777777" w:rsidR="00E22CB9" w:rsidRPr="004A57CE" w:rsidRDefault="00E22CB9" w:rsidP="007526F0">
            <w:pPr>
              <w:spacing w:before="1" w:after="1"/>
              <w:jc w:val="center"/>
              <w:rPr>
                <w:rFonts w:ascii="Arial" w:hAnsi="Arial" w:cs="Arial"/>
                <w:color w:val="000000" w:themeColor="text1"/>
                <w:highlight w:val="cyan"/>
              </w:rPr>
            </w:pPr>
          </w:p>
        </w:tc>
      </w:tr>
      <w:tr w:rsidR="00E22CB9" w:rsidRPr="004A57CE" w14:paraId="7B4A2E74"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39E56F1A"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#5 DROWNING</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31E41DE6"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995</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175BD826"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1.27 (1.20-1.36)</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397FEA3E"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4.9</w:t>
            </w:r>
          </w:p>
        </w:tc>
      </w:tr>
      <w:tr w:rsidR="00E22CB9" w:rsidRPr="004A57CE" w14:paraId="37209F67"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67E5017D"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Drowning Homicide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777013C"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18</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B77390F"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0.02</w:t>
            </w:r>
            <w:r w:rsidRPr="004A57CE">
              <w:rPr>
                <w:rFonts w:ascii="Arial" w:hAnsi="Arial" w:cs="Arial"/>
                <w:color w:val="000000" w:themeColor="text1"/>
                <w:vertAlign w:val="superscript"/>
              </w:rPr>
              <w:t>#</w:t>
            </w:r>
            <w:r w:rsidRPr="004A57CE">
              <w:rPr>
                <w:rFonts w:ascii="Arial" w:hAnsi="Arial" w:cs="Arial"/>
                <w:color w:val="000000" w:themeColor="text1"/>
              </w:rPr>
              <w:t xml:space="preserve"> (0.01-0.04)</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77D4BB41"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299F7A06"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799016BE"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Drowning Suicide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7C57F8B"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22</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EBACF89"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0.03 (0.02-0.04)</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3FB8A505"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2D64AD4F"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6618FD69"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Drowning Unintentional</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7BE9F0D"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928</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6E8A3DF"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1.19 (1.11-1.27)</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75E355EF"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4CE97261"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A59705E"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Drowning Undetermined</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4387043"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27</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43770F7"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0.03 (0.02-0.05)</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7DF5772A"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2612E4B1"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32D5D146"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#6 DRUG OVERDOSE / POISONING </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4FCA42B2"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982</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1D6D7F75"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1.26 (1.18-1.34)</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0CBF6859"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4.8</w:t>
            </w:r>
          </w:p>
        </w:tc>
      </w:tr>
      <w:tr w:rsidR="00E22CB9" w:rsidRPr="004A57CE" w14:paraId="5D381210"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3DDC2348"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Overdose Homicide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14257D9"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19</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930FFBE"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0.02</w:t>
            </w:r>
            <w:r w:rsidRPr="004A57CE">
              <w:rPr>
                <w:rFonts w:ascii="Arial" w:hAnsi="Arial" w:cs="Arial"/>
                <w:color w:val="000000" w:themeColor="text1"/>
                <w:vertAlign w:val="superscript"/>
              </w:rPr>
              <w:t>#</w:t>
            </w:r>
            <w:r w:rsidRPr="004A57CE">
              <w:rPr>
                <w:rFonts w:ascii="Arial" w:hAnsi="Arial" w:cs="Arial"/>
                <w:color w:val="000000" w:themeColor="text1"/>
              </w:rPr>
              <w:t xml:space="preserve"> (0.01-0.04)</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57CFE2AE"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79F67349"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4B19DC62"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Overdose Suicide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A287D02"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123</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E5094A9"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0.16 (0.13-0.19)</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3463F68E"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32CCEBD5"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7EB19F37"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Overdose Unintentional</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F36102A"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761</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8171FF4"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0.97 (0.91-1.05)</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0A31C7DC"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69101FA0"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7A802AF5"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Overdose Undetermined</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1FCFE61"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79</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1B78F02"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0.10 (0.08-0.13)</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79F5E2F1"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52C44CF5"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2A9A396F"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#7 CONGENITAL ANOMALIES </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99A17E9"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979</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27943584"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1.25 (1.18-1.33)</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7BD5C3C5"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4.8</w:t>
            </w:r>
          </w:p>
        </w:tc>
      </w:tr>
      <w:tr w:rsidR="00E22CB9" w:rsidRPr="004A57CE" w14:paraId="17E63DFF"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4FC93E86"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#8 HEART DISEASE </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6708D9E"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599</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56F5D8AA"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0.77 (0.71-0.83)</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3085CBBF"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2.9</w:t>
            </w:r>
          </w:p>
        </w:tc>
      </w:tr>
      <w:tr w:rsidR="00E22CB9" w:rsidRPr="004A57CE" w14:paraId="23838E47"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76E530C8"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#9 FIRE / BURNS </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518D5DFE"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340</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375BC47F"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0.44 (0.39-0.48)</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F2F2F2" w:themeFill="background1" w:themeFillShade="F2"/>
            <w:vAlign w:val="center"/>
          </w:tcPr>
          <w:p w14:paraId="568E1334"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1.7</w:t>
            </w:r>
          </w:p>
        </w:tc>
      </w:tr>
      <w:tr w:rsidR="00E22CB9" w:rsidRPr="004A57CE" w14:paraId="6A7087F1"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8F61236"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Fire/ Burns Homicide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32561FB"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38</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C2CB526"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0.05 (0.03-0.07)</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4A2E39E9"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00A0C188"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7A1C22C1"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Fire/ Burns Suicide</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46E5022"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6</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704F24F"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0.01</w:t>
            </w:r>
            <w:r w:rsidRPr="004A57CE">
              <w:rPr>
                <w:rFonts w:ascii="Arial" w:hAnsi="Arial" w:cs="Arial"/>
                <w:color w:val="000000" w:themeColor="text1"/>
                <w:vertAlign w:val="superscript"/>
              </w:rPr>
              <w:t>#</w:t>
            </w:r>
            <w:r w:rsidRPr="004A57CE">
              <w:rPr>
                <w:rFonts w:ascii="Arial" w:hAnsi="Arial" w:cs="Arial"/>
                <w:color w:val="000000" w:themeColor="text1"/>
              </w:rPr>
              <w:t xml:space="preserve"> (0.00-0.02)</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53D07EE4"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50C3C50E"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322D2392"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Fire/ Burns Unintentional</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8BA757B"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272</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4399BB3"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0.35 (0.31-0.39)</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61172A6F"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533F2177" w14:textId="77777777" w:rsidTr="0048405C">
        <w:trPr>
          <w:trHeight w:val="252"/>
        </w:trPr>
        <w:tc>
          <w:tcPr>
            <w:tcW w:w="4503"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shd w:val="clear" w:color="auto" w:fill="auto"/>
            <w:vAlign w:val="center"/>
          </w:tcPr>
          <w:p w14:paraId="016B9709"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ab/>
              <w:t>Fire/ Burns Undetermined</w:t>
            </w:r>
          </w:p>
        </w:tc>
        <w:tc>
          <w:tcPr>
            <w:tcW w:w="143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78DEBCB" w14:textId="77777777" w:rsidR="00E22CB9" w:rsidRPr="004A57CE" w:rsidRDefault="00E22CB9" w:rsidP="007526F0">
            <w:pPr>
              <w:spacing w:before="1" w:after="1"/>
              <w:jc w:val="center"/>
              <w:rPr>
                <w:rFonts w:ascii="Arial" w:hAnsi="Arial" w:cs="Arial"/>
                <w:color w:val="000000" w:themeColor="text1"/>
              </w:rPr>
            </w:pPr>
            <w:r w:rsidRPr="004A57CE">
              <w:rPr>
                <w:rFonts w:ascii="Arial" w:hAnsi="Arial" w:cs="Arial"/>
                <w:color w:val="000000" w:themeColor="text1"/>
              </w:rPr>
              <w:t>24</w:t>
            </w:r>
          </w:p>
        </w:tc>
        <w:tc>
          <w:tcPr>
            <w:tcW w:w="2683"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A9B9514" w14:textId="77777777" w:rsidR="00E22CB9" w:rsidRPr="004A57CE" w:rsidRDefault="00E22CB9" w:rsidP="007526F0">
            <w:pPr>
              <w:spacing w:before="1" w:after="1"/>
              <w:rPr>
                <w:rFonts w:ascii="Arial" w:hAnsi="Arial" w:cs="Arial"/>
                <w:color w:val="000000" w:themeColor="text1"/>
              </w:rPr>
            </w:pPr>
            <w:r w:rsidRPr="004A57CE">
              <w:rPr>
                <w:rFonts w:ascii="Arial" w:hAnsi="Arial" w:cs="Arial"/>
                <w:color w:val="000000" w:themeColor="text1"/>
              </w:rPr>
              <w:t>0.03 (0.02-0.05)</w:t>
            </w:r>
          </w:p>
        </w:tc>
        <w:tc>
          <w:tcPr>
            <w:tcW w:w="124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shd w:val="clear" w:color="auto" w:fill="auto"/>
            <w:vAlign w:val="center"/>
          </w:tcPr>
          <w:p w14:paraId="7DB2E66F" w14:textId="77777777" w:rsidR="00E22CB9" w:rsidRPr="004A57CE" w:rsidRDefault="00E22CB9" w:rsidP="007526F0">
            <w:pPr>
              <w:spacing w:before="1" w:after="1"/>
              <w:jc w:val="center"/>
              <w:rPr>
                <w:rFonts w:ascii="Arial" w:hAnsi="Arial" w:cs="Arial"/>
                <w:color w:val="000000" w:themeColor="text1"/>
              </w:rPr>
            </w:pPr>
          </w:p>
        </w:tc>
      </w:tr>
      <w:tr w:rsidR="00E22CB9" w:rsidRPr="004A57CE" w14:paraId="5C111C32" w14:textId="77777777" w:rsidTr="0048405C">
        <w:trPr>
          <w:trHeight w:val="252"/>
        </w:trPr>
        <w:tc>
          <w:tcPr>
            <w:tcW w:w="4503" w:type="dxa"/>
            <w:tcBorders>
              <w:top w:val="single" w:sz="4" w:space="0" w:color="BFBFBF" w:themeColor="background1" w:themeShade="BF"/>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37F3B6DC"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#10 CHRONIC LOW RESPIRATORY </w:t>
            </w:r>
          </w:p>
          <w:p w14:paraId="1BBAED97"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 xml:space="preserve">DISEASE </w:t>
            </w:r>
          </w:p>
        </w:tc>
        <w:tc>
          <w:tcPr>
            <w:tcW w:w="1437"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6D398142"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274</w:t>
            </w:r>
          </w:p>
        </w:tc>
        <w:tc>
          <w:tcPr>
            <w:tcW w:w="2683"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5220C526" w14:textId="77777777" w:rsidR="00E22CB9" w:rsidRPr="004A57CE" w:rsidRDefault="00E22CB9" w:rsidP="007526F0">
            <w:pPr>
              <w:spacing w:before="1" w:after="1"/>
              <w:rPr>
                <w:rFonts w:ascii="Arial" w:hAnsi="Arial" w:cs="Arial"/>
                <w:b/>
                <w:color w:val="000000" w:themeColor="text1"/>
              </w:rPr>
            </w:pPr>
            <w:r w:rsidRPr="004A57CE">
              <w:rPr>
                <w:rFonts w:ascii="Arial" w:hAnsi="Arial" w:cs="Arial"/>
                <w:b/>
                <w:color w:val="000000" w:themeColor="text1"/>
              </w:rPr>
              <w:t>0.35 (0.31-0.40)</w:t>
            </w:r>
          </w:p>
        </w:tc>
        <w:tc>
          <w:tcPr>
            <w:tcW w:w="1245" w:type="dxa"/>
            <w:tcBorders>
              <w:top w:val="single" w:sz="4" w:space="0" w:color="BFBFBF" w:themeColor="background1" w:themeShade="BF"/>
              <w:left w:val="single" w:sz="4" w:space="0" w:color="D9D9D9" w:themeColor="background1" w:themeShade="D9"/>
              <w:bottom w:val="single" w:sz="4" w:space="0" w:color="auto"/>
              <w:right w:val="single" w:sz="4" w:space="0" w:color="auto"/>
            </w:tcBorders>
            <w:shd w:val="clear" w:color="auto" w:fill="F2F2F2" w:themeFill="background1" w:themeFillShade="F2"/>
            <w:vAlign w:val="center"/>
          </w:tcPr>
          <w:p w14:paraId="4E382C87" w14:textId="77777777" w:rsidR="00E22CB9" w:rsidRPr="004A57CE" w:rsidRDefault="00E22CB9" w:rsidP="007526F0">
            <w:pPr>
              <w:spacing w:before="1" w:after="1"/>
              <w:jc w:val="center"/>
              <w:rPr>
                <w:rFonts w:ascii="Arial" w:hAnsi="Arial" w:cs="Arial"/>
                <w:b/>
                <w:color w:val="000000" w:themeColor="text1"/>
              </w:rPr>
            </w:pPr>
            <w:r w:rsidRPr="004A57CE">
              <w:rPr>
                <w:rFonts w:ascii="Arial" w:hAnsi="Arial" w:cs="Arial"/>
                <w:b/>
                <w:color w:val="000000" w:themeColor="text1"/>
              </w:rPr>
              <w:t>1.3</w:t>
            </w:r>
          </w:p>
        </w:tc>
      </w:tr>
    </w:tbl>
    <w:p w14:paraId="17738C3F" w14:textId="6E03A19E" w:rsidR="00E22CB9" w:rsidRPr="0008471A" w:rsidRDefault="00E22CB9" w:rsidP="0048405C">
      <w:pPr>
        <w:ind w:left="-188" w:right="-270" w:hanging="86"/>
        <w:jc w:val="both"/>
        <w:rPr>
          <w:rFonts w:ascii="Arial" w:hAnsi="Arial" w:cs="Arial"/>
          <w:sz w:val="15"/>
          <w:szCs w:val="15"/>
        </w:rPr>
      </w:pPr>
      <w:proofErr w:type="spellStart"/>
      <w:r w:rsidRPr="0008471A">
        <w:rPr>
          <w:rFonts w:ascii="Arial" w:hAnsi="Arial" w:cs="Arial"/>
          <w:sz w:val="15"/>
          <w:szCs w:val="15"/>
          <w:vertAlign w:val="superscript"/>
        </w:rPr>
        <w:t>a</w:t>
      </w:r>
      <w:r w:rsidRPr="0008471A">
        <w:rPr>
          <w:rFonts w:ascii="Arial" w:hAnsi="Arial" w:cs="Arial"/>
          <w:sz w:val="15"/>
          <w:szCs w:val="15"/>
        </w:rPr>
        <w:t>Table</w:t>
      </w:r>
      <w:proofErr w:type="spellEnd"/>
      <w:r w:rsidRPr="0008471A">
        <w:rPr>
          <w:rFonts w:ascii="Arial" w:hAnsi="Arial" w:cs="Arial"/>
          <w:sz w:val="15"/>
          <w:szCs w:val="15"/>
        </w:rPr>
        <w:t xml:space="preserve"> 1 data were obtained from the Centers for Disease Control (CDC) Wide-ranging On-line Data for Epidemiological Research (WONDER)</w:t>
      </w:r>
      <w:r w:rsidRPr="0008471A">
        <w:rPr>
          <w:rFonts w:ascii="Arial" w:hAnsi="Arial" w:cs="Arial"/>
          <w:sz w:val="15"/>
          <w:szCs w:val="15"/>
        </w:rPr>
        <w:fldChar w:fldCharType="begin"/>
      </w:r>
      <w:r w:rsidRPr="0008471A">
        <w:rPr>
          <w:rFonts w:ascii="Arial" w:hAnsi="Arial" w:cs="Arial"/>
          <w:sz w:val="15"/>
          <w:szCs w:val="15"/>
        </w:rPr>
        <w:instrText xml:space="preserve"> ADDIN EN.CITE &lt;EndNote&gt;&lt;Cite&gt;&lt;Author&gt;Centers for Disease Control and Prevention&lt;/Author&gt;&lt;Year&gt;2017&lt;/Year&gt;&lt;RecNum&gt;4837&lt;/RecNum&gt;&lt;DisplayText&gt;&lt;style face="superscript"&gt;2&lt;/style&gt;&lt;/DisplayText&gt;&lt;record&gt;&lt;rec-number&gt;4837&lt;/rec-number&gt;&lt;foreign-keys&gt;&lt;key app="EN" db-id="ereav9tej2ap2vep0wfxxx0frfdxa2xt5drs" timestamp="1526301947"&gt;4837&lt;/key&gt;&lt;/foreign-keys&gt;&lt;ref-type name="Web Page"&gt;12&lt;/ref-type&gt;&lt;contributors&gt;&lt;authors&gt;&lt;author&gt;Centers for Disease Control and Prevention,&lt;/author&gt;&lt;author&gt;National Center for Health Statistics,&lt;/author&gt;&lt;/authors&gt;&lt;/contributors&gt;&lt;titles&gt;&lt;title&gt;Compressed Mortality File 1999-2016 on CDC WONDER Online Database&lt;/title&gt;&lt;/titles&gt;&lt;volume&gt;2018&lt;/volume&gt;&lt;number&gt;May 6&lt;/number&gt;&lt;dates&gt;&lt;year&gt;2017&lt;/year&gt;&lt;/dates&gt;&lt;urls&gt;&lt;related-urls&gt;&lt;url&gt;https://wonder.cdc.gov/cmf-icd10.html&lt;/url&gt;&lt;/related-urls&gt;&lt;/urls&gt;&lt;/record&gt;&lt;/Cite&gt;&lt;/EndNote&gt;</w:instrText>
      </w:r>
      <w:r w:rsidRPr="0008471A">
        <w:rPr>
          <w:rFonts w:ascii="Arial" w:hAnsi="Arial" w:cs="Arial"/>
          <w:sz w:val="15"/>
          <w:szCs w:val="15"/>
        </w:rPr>
        <w:fldChar w:fldCharType="separate"/>
      </w:r>
      <w:r w:rsidRPr="0008471A">
        <w:rPr>
          <w:rFonts w:ascii="Arial" w:hAnsi="Arial" w:cs="Arial"/>
          <w:noProof/>
          <w:sz w:val="15"/>
          <w:szCs w:val="15"/>
          <w:vertAlign w:val="superscript"/>
        </w:rPr>
        <w:t>2</w:t>
      </w:r>
      <w:r w:rsidRPr="0008471A">
        <w:rPr>
          <w:rFonts w:ascii="Arial" w:hAnsi="Arial" w:cs="Arial"/>
          <w:sz w:val="15"/>
          <w:szCs w:val="15"/>
        </w:rPr>
        <w:fldChar w:fldCharType="end"/>
      </w:r>
      <w:r w:rsidRPr="0008471A">
        <w:rPr>
          <w:rFonts w:ascii="Arial" w:hAnsi="Arial" w:cs="Arial"/>
          <w:sz w:val="15"/>
          <w:szCs w:val="15"/>
        </w:rPr>
        <w:t xml:space="preserve"> database using ICD-10</w:t>
      </w:r>
      <w:r w:rsidR="00E1707E" w:rsidRPr="00E1707E">
        <w:rPr>
          <w:rFonts w:ascii="Arial" w:hAnsi="Arial" w:cs="Arial"/>
          <w:sz w:val="15"/>
          <w:szCs w:val="15"/>
          <w:vertAlign w:val="superscript"/>
        </w:rPr>
        <w:t>2</w:t>
      </w:r>
      <w:r w:rsidRPr="0008471A">
        <w:rPr>
          <w:rFonts w:ascii="Arial" w:hAnsi="Arial" w:cs="Arial"/>
          <w:sz w:val="15"/>
          <w:szCs w:val="15"/>
        </w:rPr>
        <w:t xml:space="preserve"> codes for the leading causes of death among children and adolescents. Age was restricted to children and adolescents 1-19 years of age. Crude rates (Deaths per 100,000) were calculated using a population denominator of 78,134,923, with 95% confidence intervals (CI) presented where applicable. All data are calculated for 2016, the most recent year of available data. </w:t>
      </w:r>
      <w:proofErr w:type="spellStart"/>
      <w:proofErr w:type="gramStart"/>
      <w:r w:rsidRPr="0008471A">
        <w:rPr>
          <w:rFonts w:ascii="Arial" w:hAnsi="Arial" w:cs="Arial"/>
          <w:sz w:val="15"/>
          <w:szCs w:val="15"/>
          <w:vertAlign w:val="superscript"/>
        </w:rPr>
        <w:t>b</w:t>
      </w:r>
      <w:r w:rsidRPr="0008471A">
        <w:rPr>
          <w:rFonts w:ascii="Arial" w:hAnsi="Arial" w:cs="Arial"/>
          <w:sz w:val="15"/>
          <w:szCs w:val="15"/>
        </w:rPr>
        <w:t>Suffocation</w:t>
      </w:r>
      <w:proofErr w:type="spellEnd"/>
      <w:proofErr w:type="gramEnd"/>
      <w:r w:rsidRPr="0008471A">
        <w:rPr>
          <w:rFonts w:ascii="Arial" w:hAnsi="Arial" w:cs="Arial"/>
          <w:sz w:val="15"/>
          <w:szCs w:val="15"/>
        </w:rPr>
        <w:t xml:space="preserve"> (W75-W84; X70; X91; Y20) includes such incidents as suffocation/strangulation due to bed linen, mother’s body, pillows, plastic bags. It also includes aspiration or obstruction of the airway by food bolus, foreign body, and/or vomitus. The category also includes intentional self-harm by hanging and/or intentional violence by strangulation or suffocation. For complete list of ICD codes and definitions </w:t>
      </w:r>
      <w:r w:rsidRPr="0008471A">
        <w:rPr>
          <w:rFonts w:ascii="Arial" w:hAnsi="Arial" w:cs="Arial"/>
          <w:sz w:val="15"/>
          <w:szCs w:val="15"/>
          <w:u w:val="single"/>
        </w:rPr>
        <w:t>see online appendix</w:t>
      </w:r>
    </w:p>
    <w:p w14:paraId="046C25DF" w14:textId="0F2DCF48" w:rsidR="001474FE" w:rsidRDefault="00E22CB9" w:rsidP="002248C0">
      <w:pPr>
        <w:snapToGrid w:val="0"/>
        <w:ind w:left="-180" w:right="-270" w:hanging="90"/>
        <w:jc w:val="both"/>
        <w:rPr>
          <w:rFonts w:ascii="Arial" w:hAnsi="Arial" w:cs="Arial"/>
          <w:sz w:val="15"/>
          <w:szCs w:val="15"/>
        </w:rPr>
      </w:pPr>
      <w:r w:rsidRPr="0008471A">
        <w:rPr>
          <w:rFonts w:ascii="Arial" w:hAnsi="Arial" w:cs="Arial"/>
          <w:sz w:val="15"/>
          <w:szCs w:val="15"/>
        </w:rPr>
        <w:t>#Confidence Intervals calculated with crude rates for causes of death with a value of less than 20 deaths are unstable.</w:t>
      </w:r>
      <w:r w:rsidR="004322FA">
        <w:rPr>
          <w:rFonts w:ascii="Arial" w:hAnsi="Arial" w:cs="Arial"/>
          <w:sz w:val="15"/>
          <w:szCs w:val="15"/>
        </w:rPr>
        <w:t xml:space="preserve"> </w:t>
      </w:r>
    </w:p>
    <w:p w14:paraId="6B75BF9E" w14:textId="0787847C" w:rsidR="004322FA" w:rsidRPr="00CE130D" w:rsidRDefault="004322FA" w:rsidP="004322FA">
      <w:pPr>
        <w:snapToGrid w:val="0"/>
        <w:ind w:left="-180" w:right="-270" w:hanging="90"/>
        <w:jc w:val="center"/>
        <w:rPr>
          <w:rFonts w:ascii="Arial" w:hAnsi="Arial" w:cs="Arial"/>
          <w:b/>
          <w:sz w:val="22"/>
          <w:szCs w:val="22"/>
        </w:rPr>
      </w:pPr>
      <w:r w:rsidRPr="00CE130D">
        <w:rPr>
          <w:rFonts w:ascii="Arial" w:hAnsi="Arial" w:cs="Arial"/>
          <w:b/>
          <w:sz w:val="22"/>
          <w:szCs w:val="22"/>
        </w:rPr>
        <w:lastRenderedPageBreak/>
        <w:t>REFERENCES</w:t>
      </w:r>
    </w:p>
    <w:p w14:paraId="74F23B9F" w14:textId="77777777" w:rsidR="00CE130D" w:rsidRDefault="00CE130D" w:rsidP="004322FA">
      <w:pPr>
        <w:snapToGrid w:val="0"/>
        <w:ind w:left="-180" w:right="-270" w:hanging="90"/>
        <w:jc w:val="center"/>
        <w:rPr>
          <w:rFonts w:ascii="Arial" w:hAnsi="Arial" w:cs="Arial"/>
          <w:sz w:val="22"/>
          <w:szCs w:val="22"/>
        </w:rPr>
      </w:pPr>
    </w:p>
    <w:p w14:paraId="46C97542" w14:textId="6A35BE77" w:rsidR="00E1707E" w:rsidRDefault="00E1707E" w:rsidP="00E1707E">
      <w:pPr>
        <w:pStyle w:val="EndNoteBibliography"/>
        <w:numPr>
          <w:ilvl w:val="0"/>
          <w:numId w:val="1"/>
        </w:numPr>
        <w:spacing w:after="0"/>
        <w:rPr>
          <w:rFonts w:ascii="Arial" w:hAnsi="Arial" w:cs="Arial"/>
          <w:szCs w:val="22"/>
        </w:rPr>
      </w:pPr>
      <w:r w:rsidRPr="00084640">
        <w:rPr>
          <w:rFonts w:ascii="Arial" w:hAnsi="Arial" w:cs="Arial"/>
          <w:szCs w:val="22"/>
        </w:rPr>
        <w:t xml:space="preserve">Centers for Disease Control and Prevention, National Center for Health Statistics. Compressed Mortality File 1999-2016 on CDC WONDER Online Database. 2017; </w:t>
      </w:r>
      <w:hyperlink r:id="rId11" w:history="1">
        <w:r w:rsidRPr="00084640">
          <w:rPr>
            <w:rStyle w:val="Hyperlink"/>
            <w:rFonts w:ascii="Arial" w:hAnsi="Arial" w:cs="Arial"/>
            <w:szCs w:val="22"/>
          </w:rPr>
          <w:t>https://wonder.cdc.gov/cmf-icd10.html</w:t>
        </w:r>
      </w:hyperlink>
      <w:r w:rsidRPr="00084640">
        <w:rPr>
          <w:rFonts w:ascii="Arial" w:hAnsi="Arial" w:cs="Arial"/>
          <w:szCs w:val="22"/>
        </w:rPr>
        <w:t>. Accessed May 6, 2018.</w:t>
      </w:r>
    </w:p>
    <w:p w14:paraId="5BC32A5E" w14:textId="77777777" w:rsidR="00E1707E" w:rsidRPr="00084640" w:rsidRDefault="00E1707E" w:rsidP="00E1707E">
      <w:pPr>
        <w:pStyle w:val="EndNoteBibliography"/>
        <w:numPr>
          <w:ilvl w:val="0"/>
          <w:numId w:val="1"/>
        </w:numPr>
        <w:rPr>
          <w:rFonts w:ascii="Arial" w:hAnsi="Arial" w:cs="Arial"/>
          <w:szCs w:val="22"/>
        </w:rPr>
      </w:pPr>
      <w:r w:rsidRPr="00084640">
        <w:rPr>
          <w:rFonts w:ascii="Arial" w:hAnsi="Arial" w:cs="Arial"/>
          <w:szCs w:val="22"/>
        </w:rPr>
        <w:t xml:space="preserve">ICD10Data.com.  </w:t>
      </w:r>
      <w:hyperlink r:id="rId12" w:history="1">
        <w:r w:rsidRPr="00084640">
          <w:rPr>
            <w:rStyle w:val="Hyperlink"/>
            <w:rFonts w:ascii="Arial" w:hAnsi="Arial" w:cs="Arial"/>
            <w:szCs w:val="22"/>
          </w:rPr>
          <w:t>http://www.icd10data.com/</w:t>
        </w:r>
      </w:hyperlink>
      <w:r w:rsidRPr="00084640">
        <w:rPr>
          <w:rFonts w:ascii="Arial" w:hAnsi="Arial" w:cs="Arial"/>
          <w:szCs w:val="22"/>
        </w:rPr>
        <w:t>. Accessed May 6, 2018.</w:t>
      </w:r>
    </w:p>
    <w:p w14:paraId="2AD8D72A" w14:textId="77777777" w:rsidR="00E1707E" w:rsidRPr="00084640" w:rsidRDefault="00E1707E" w:rsidP="00E1707E">
      <w:pPr>
        <w:pStyle w:val="EndNoteBibliography"/>
        <w:spacing w:after="0"/>
        <w:ind w:left="360"/>
        <w:rPr>
          <w:rFonts w:ascii="Arial" w:hAnsi="Arial" w:cs="Arial"/>
          <w:szCs w:val="22"/>
        </w:rPr>
      </w:pPr>
    </w:p>
    <w:p w14:paraId="385CE51A" w14:textId="77777777" w:rsidR="004322FA" w:rsidRPr="004322FA" w:rsidRDefault="004322FA" w:rsidP="004322FA">
      <w:pPr>
        <w:snapToGrid w:val="0"/>
        <w:ind w:left="-180" w:right="-270" w:hanging="90"/>
        <w:rPr>
          <w:rFonts w:ascii="Arial" w:hAnsi="Arial" w:cs="Arial"/>
          <w:sz w:val="22"/>
          <w:szCs w:val="22"/>
        </w:rPr>
      </w:pPr>
    </w:p>
    <w:sectPr w:rsidR="004322FA" w:rsidRPr="004322FA" w:rsidSect="00E17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52EC" w14:textId="77777777" w:rsidR="00F51105" w:rsidRDefault="00F51105" w:rsidP="00E1707E">
      <w:r>
        <w:separator/>
      </w:r>
    </w:p>
  </w:endnote>
  <w:endnote w:type="continuationSeparator" w:id="0">
    <w:p w14:paraId="7F5682CD" w14:textId="77777777" w:rsidR="00F51105" w:rsidRDefault="00F51105" w:rsidP="00E1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643778"/>
      <w:docPartObj>
        <w:docPartGallery w:val="Page Numbers (Bottom of Page)"/>
        <w:docPartUnique/>
      </w:docPartObj>
    </w:sdtPr>
    <w:sdtEndPr>
      <w:rPr>
        <w:noProof/>
      </w:rPr>
    </w:sdtEndPr>
    <w:sdtContent>
      <w:p w14:paraId="00B281FE" w14:textId="738F6024" w:rsidR="00E1707E" w:rsidRDefault="00E1707E">
        <w:pPr>
          <w:pStyle w:val="Footer"/>
          <w:jc w:val="right"/>
        </w:pPr>
        <w:r>
          <w:fldChar w:fldCharType="begin"/>
        </w:r>
        <w:r>
          <w:instrText xml:space="preserve"> PAGE   \* MERGEFORMAT </w:instrText>
        </w:r>
        <w:r>
          <w:fldChar w:fldCharType="separate"/>
        </w:r>
        <w:r w:rsidR="00F90862">
          <w:rPr>
            <w:noProof/>
          </w:rPr>
          <w:t>2</w:t>
        </w:r>
        <w:r>
          <w:rPr>
            <w:noProof/>
          </w:rPr>
          <w:fldChar w:fldCharType="end"/>
        </w:r>
      </w:p>
    </w:sdtContent>
  </w:sdt>
  <w:p w14:paraId="3ACBD41E" w14:textId="77777777" w:rsidR="00E1707E" w:rsidRDefault="00E1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01E1" w14:textId="77777777" w:rsidR="00F51105" w:rsidRDefault="00F51105" w:rsidP="00E1707E">
      <w:r>
        <w:separator/>
      </w:r>
    </w:p>
  </w:footnote>
  <w:footnote w:type="continuationSeparator" w:id="0">
    <w:p w14:paraId="3192A814" w14:textId="77777777" w:rsidR="00F51105" w:rsidRDefault="00F51105" w:rsidP="00E1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C5C39"/>
    <w:multiLevelType w:val="hybridMultilevel"/>
    <w:tmpl w:val="CE64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E6"/>
    <w:rsid w:val="00072512"/>
    <w:rsid w:val="0008471A"/>
    <w:rsid w:val="001474FE"/>
    <w:rsid w:val="0021039C"/>
    <w:rsid w:val="002248C0"/>
    <w:rsid w:val="004322FA"/>
    <w:rsid w:val="004518B1"/>
    <w:rsid w:val="0048405C"/>
    <w:rsid w:val="004A29E6"/>
    <w:rsid w:val="004F4723"/>
    <w:rsid w:val="00614E28"/>
    <w:rsid w:val="00770D82"/>
    <w:rsid w:val="0080283C"/>
    <w:rsid w:val="009D0E6B"/>
    <w:rsid w:val="00C4004D"/>
    <w:rsid w:val="00C84154"/>
    <w:rsid w:val="00CE130D"/>
    <w:rsid w:val="00D12876"/>
    <w:rsid w:val="00E1707E"/>
    <w:rsid w:val="00E17157"/>
    <w:rsid w:val="00E22CB9"/>
    <w:rsid w:val="00F0290C"/>
    <w:rsid w:val="00F51105"/>
    <w:rsid w:val="00F90862"/>
    <w:rsid w:val="00FD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5EC2"/>
  <w15:chartTrackingRefBased/>
  <w15:docId w15:val="{EB8D590E-77DF-2444-A868-FE6D846C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9E6"/>
    <w:rPr>
      <w:rFonts w:ascii="Times New Roman" w:eastAsia="Times New Roman" w:hAnsi="Times New Roman" w:cs="Times New Roman"/>
    </w:rPr>
  </w:style>
  <w:style w:type="paragraph" w:styleId="Heading1">
    <w:name w:val="heading 1"/>
    <w:basedOn w:val="Normal"/>
    <w:next w:val="Normal"/>
    <w:link w:val="Heading1Char"/>
    <w:uiPriority w:val="9"/>
    <w:qFormat/>
    <w:rsid w:val="00E170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83C"/>
    <w:rPr>
      <w:sz w:val="16"/>
      <w:szCs w:val="16"/>
    </w:rPr>
  </w:style>
  <w:style w:type="paragraph" w:styleId="CommentText">
    <w:name w:val="annotation text"/>
    <w:basedOn w:val="Normal"/>
    <w:link w:val="CommentTextChar"/>
    <w:uiPriority w:val="99"/>
    <w:unhideWhenUsed/>
    <w:rsid w:val="0080283C"/>
    <w:rPr>
      <w:sz w:val="20"/>
      <w:szCs w:val="20"/>
    </w:rPr>
  </w:style>
  <w:style w:type="character" w:customStyle="1" w:styleId="CommentTextChar">
    <w:name w:val="Comment Text Char"/>
    <w:basedOn w:val="DefaultParagraphFont"/>
    <w:link w:val="CommentText"/>
    <w:uiPriority w:val="99"/>
    <w:rsid w:val="008028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283C"/>
    <w:rPr>
      <w:sz w:val="18"/>
      <w:szCs w:val="18"/>
    </w:rPr>
  </w:style>
  <w:style w:type="character" w:customStyle="1" w:styleId="BalloonTextChar">
    <w:name w:val="Balloon Text Char"/>
    <w:basedOn w:val="DefaultParagraphFont"/>
    <w:link w:val="BalloonText"/>
    <w:uiPriority w:val="99"/>
    <w:semiHidden/>
    <w:rsid w:val="0080283C"/>
    <w:rPr>
      <w:rFonts w:ascii="Times New Roman" w:eastAsia="Times New Roman" w:hAnsi="Times New Roman" w:cs="Times New Roman"/>
      <w:sz w:val="18"/>
      <w:szCs w:val="18"/>
    </w:rPr>
  </w:style>
  <w:style w:type="table" w:styleId="TableGrid">
    <w:name w:val="Table Grid"/>
    <w:basedOn w:val="TableNormal"/>
    <w:uiPriority w:val="39"/>
    <w:rsid w:val="0008471A"/>
    <w:pPr>
      <w:spacing w:after="160" w:line="259"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474FE"/>
  </w:style>
  <w:style w:type="character" w:styleId="Hyperlink">
    <w:name w:val="Hyperlink"/>
    <w:basedOn w:val="DefaultParagraphFont"/>
    <w:uiPriority w:val="99"/>
    <w:unhideWhenUsed/>
    <w:rsid w:val="00E1707E"/>
    <w:rPr>
      <w:color w:val="0000FF"/>
      <w:u w:val="single"/>
    </w:rPr>
  </w:style>
  <w:style w:type="paragraph" w:customStyle="1" w:styleId="EndNoteBibliography">
    <w:name w:val="EndNote Bibliography"/>
    <w:basedOn w:val="Normal"/>
    <w:link w:val="EndNoteBibliographyChar"/>
    <w:rsid w:val="00E1707E"/>
    <w:pPr>
      <w:spacing w:after="200"/>
    </w:pPr>
    <w:rPr>
      <w:rFonts w:ascii="Calibri" w:eastAsiaTheme="minorHAnsi" w:hAnsi="Calibri" w:cs="Calibri"/>
      <w:noProof/>
      <w:sz w:val="22"/>
    </w:rPr>
  </w:style>
  <w:style w:type="character" w:customStyle="1" w:styleId="EndNoteBibliographyChar">
    <w:name w:val="EndNote Bibliography Char"/>
    <w:basedOn w:val="DefaultParagraphFont"/>
    <w:link w:val="EndNoteBibliography"/>
    <w:rsid w:val="00E1707E"/>
    <w:rPr>
      <w:rFonts w:ascii="Calibri" w:hAnsi="Calibri" w:cs="Calibri"/>
      <w:noProof/>
      <w:sz w:val="22"/>
    </w:rPr>
  </w:style>
  <w:style w:type="paragraph" w:styleId="Header">
    <w:name w:val="header"/>
    <w:basedOn w:val="Normal"/>
    <w:link w:val="HeaderChar"/>
    <w:uiPriority w:val="99"/>
    <w:unhideWhenUsed/>
    <w:rsid w:val="00E1707E"/>
    <w:pPr>
      <w:tabs>
        <w:tab w:val="center" w:pos="4680"/>
        <w:tab w:val="right" w:pos="9360"/>
      </w:tabs>
    </w:pPr>
  </w:style>
  <w:style w:type="character" w:customStyle="1" w:styleId="HeaderChar">
    <w:name w:val="Header Char"/>
    <w:basedOn w:val="DefaultParagraphFont"/>
    <w:link w:val="Header"/>
    <w:uiPriority w:val="99"/>
    <w:rsid w:val="00E1707E"/>
    <w:rPr>
      <w:rFonts w:ascii="Times New Roman" w:eastAsia="Times New Roman" w:hAnsi="Times New Roman" w:cs="Times New Roman"/>
    </w:rPr>
  </w:style>
  <w:style w:type="paragraph" w:styleId="Footer">
    <w:name w:val="footer"/>
    <w:basedOn w:val="Normal"/>
    <w:link w:val="FooterChar"/>
    <w:uiPriority w:val="99"/>
    <w:unhideWhenUsed/>
    <w:rsid w:val="00E1707E"/>
    <w:pPr>
      <w:tabs>
        <w:tab w:val="center" w:pos="4680"/>
        <w:tab w:val="right" w:pos="9360"/>
      </w:tabs>
    </w:pPr>
  </w:style>
  <w:style w:type="character" w:customStyle="1" w:styleId="FooterChar">
    <w:name w:val="Footer Char"/>
    <w:basedOn w:val="DefaultParagraphFont"/>
    <w:link w:val="Footer"/>
    <w:uiPriority w:val="99"/>
    <w:rsid w:val="00E1707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1707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707E"/>
    <w:pPr>
      <w:spacing w:line="259" w:lineRule="auto"/>
      <w:outlineLvl w:val="9"/>
    </w:pPr>
  </w:style>
  <w:style w:type="paragraph" w:styleId="TOC2">
    <w:name w:val="toc 2"/>
    <w:basedOn w:val="Normal"/>
    <w:next w:val="Normal"/>
    <w:autoRedefine/>
    <w:uiPriority w:val="39"/>
    <w:unhideWhenUsed/>
    <w:rsid w:val="00E1707E"/>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1707E"/>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E1707E"/>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d10d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nder.cdc.gov/cmf-icd10.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0AB3-A86A-4430-BD00-A3F100A0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Mohl, Wendi</cp:lastModifiedBy>
  <cp:revision>7</cp:revision>
  <dcterms:created xsi:type="dcterms:W3CDTF">2018-09-07T12:49:00Z</dcterms:created>
  <dcterms:modified xsi:type="dcterms:W3CDTF">2018-09-07T14:56:00Z</dcterms:modified>
</cp:coreProperties>
</file>