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7260" w14:textId="2954D923"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b/>
          <w:bCs/>
          <w:sz w:val="20"/>
          <w:szCs w:val="20"/>
        </w:rPr>
        <w:t>SUPPLEMENTARY TABLE.</w:t>
      </w:r>
      <w:r w:rsidRPr="00B85C17">
        <w:rPr>
          <w:rFonts w:eastAsia="Times New Roman" w:cstheme="minorHAnsi"/>
          <w:sz w:val="20"/>
          <w:szCs w:val="20"/>
        </w:rPr>
        <w:t xml:space="preserve"> I</w:t>
      </w:r>
      <w:r w:rsidRPr="00B85C17">
        <w:rPr>
          <w:rFonts w:eastAsia="Times New Roman" w:cstheme="minorHAnsi"/>
          <w:b/>
          <w:bCs/>
          <w:sz w:val="20"/>
          <w:szCs w:val="20"/>
        </w:rPr>
        <w:t>ncidence rate ratios* and hazard rate ratios</w:t>
      </w:r>
      <w:r w:rsidRPr="00B85C17">
        <w:rPr>
          <w:rFonts w:eastAsia="Times New Roman" w:cstheme="minorHAnsi"/>
          <w:b/>
          <w:bCs/>
          <w:sz w:val="20"/>
          <w:szCs w:val="20"/>
          <w:vertAlign w:val="superscript"/>
        </w:rPr>
        <w:t>†</w:t>
      </w:r>
      <w:r w:rsidRPr="00B85C17">
        <w:rPr>
          <w:rFonts w:eastAsia="Times New Roman" w:cstheme="minorHAnsi"/>
          <w:b/>
          <w:bCs/>
          <w:sz w:val="20"/>
          <w:szCs w:val="20"/>
        </w:rPr>
        <w:t xml:space="preserve"> comparing </w:t>
      </w:r>
      <w:proofErr w:type="spellStart"/>
      <w:r w:rsidR="00F25FC7">
        <w:rPr>
          <w:rFonts w:eastAsia="Times New Roman" w:cstheme="minorHAnsi"/>
          <w:b/>
          <w:bCs/>
          <w:sz w:val="20"/>
          <w:szCs w:val="20"/>
        </w:rPr>
        <w:t>m</w:t>
      </w:r>
      <w:r w:rsidR="00F25FC7" w:rsidRPr="00B85C17">
        <w:rPr>
          <w:rFonts w:eastAsia="Times New Roman" w:cstheme="minorHAnsi"/>
          <w:b/>
          <w:bCs/>
          <w:sz w:val="20"/>
          <w:szCs w:val="20"/>
        </w:rPr>
        <w:t>pox</w:t>
      </w:r>
      <w:proofErr w:type="spellEnd"/>
      <w:r w:rsidRPr="00B85C17">
        <w:rPr>
          <w:rFonts w:eastAsia="Times New Roman" w:cstheme="minorHAnsi"/>
          <w:b/>
          <w:bCs/>
          <w:sz w:val="20"/>
          <w:szCs w:val="20"/>
          <w:vertAlign w:val="superscript"/>
        </w:rPr>
        <w:t>§</w:t>
      </w:r>
      <w:r w:rsidRPr="00B85C17">
        <w:rPr>
          <w:rFonts w:eastAsia="Times New Roman" w:cstheme="minorHAnsi"/>
          <w:b/>
          <w:bCs/>
          <w:sz w:val="20"/>
          <w:szCs w:val="20"/>
        </w:rPr>
        <w:t xml:space="preserve"> rates by vaccination status</w:t>
      </w:r>
      <w:r w:rsidRPr="00B85C17">
        <w:rPr>
          <w:rFonts w:eastAsia="Times New Roman" w:cstheme="minorHAnsi"/>
          <w:b/>
          <w:bCs/>
          <w:sz w:val="20"/>
          <w:szCs w:val="20"/>
          <w:vertAlign w:val="superscript"/>
        </w:rPr>
        <w:t>¶</w:t>
      </w:r>
      <w:r w:rsidRPr="00B85C17">
        <w:rPr>
          <w:rFonts w:eastAsia="Times New Roman" w:cstheme="minorHAnsi"/>
          <w:b/>
          <w:bCs/>
          <w:sz w:val="20"/>
          <w:szCs w:val="20"/>
        </w:rPr>
        <w:t xml:space="preserve"> among </w:t>
      </w:r>
      <w:r w:rsidR="00A57673">
        <w:rPr>
          <w:rFonts w:eastAsia="Times New Roman" w:cstheme="minorHAnsi"/>
          <w:b/>
          <w:bCs/>
          <w:sz w:val="20"/>
          <w:szCs w:val="20"/>
        </w:rPr>
        <w:t>JYNNEOS vaccine-eligible</w:t>
      </w:r>
      <w:r w:rsidR="00A57673" w:rsidRPr="00B85C17">
        <w:rPr>
          <w:rFonts w:eastAsia="Times New Roman" w:cstheme="minorHAnsi"/>
          <w:b/>
          <w:bCs/>
          <w:sz w:val="20"/>
          <w:szCs w:val="20"/>
        </w:rPr>
        <w:t>**</w:t>
      </w:r>
      <w:r w:rsidR="00A57673">
        <w:rPr>
          <w:rFonts w:eastAsia="Times New Roman" w:cstheme="minorHAnsi"/>
          <w:b/>
          <w:bCs/>
          <w:sz w:val="20"/>
          <w:szCs w:val="20"/>
        </w:rPr>
        <w:t xml:space="preserve"> </w:t>
      </w:r>
      <w:r w:rsidRPr="00B85C17">
        <w:rPr>
          <w:rFonts w:eastAsia="Times New Roman" w:cstheme="minorHAnsi"/>
          <w:b/>
          <w:bCs/>
          <w:sz w:val="20"/>
          <w:szCs w:val="20"/>
        </w:rPr>
        <w:t>m</w:t>
      </w:r>
      <w:r w:rsidR="0081425C">
        <w:rPr>
          <w:rFonts w:eastAsia="Times New Roman" w:cstheme="minorHAnsi"/>
          <w:b/>
          <w:bCs/>
          <w:sz w:val="20"/>
          <w:szCs w:val="20"/>
        </w:rPr>
        <w:t>en</w:t>
      </w:r>
      <w:r w:rsidR="00A57673" w:rsidRPr="00B85C17">
        <w:rPr>
          <w:rFonts w:eastAsia="Times New Roman" w:cstheme="minorHAnsi"/>
          <w:b/>
          <w:bCs/>
          <w:sz w:val="20"/>
          <w:szCs w:val="20"/>
          <w:vertAlign w:val="superscript"/>
        </w:rPr>
        <w:t>††</w:t>
      </w:r>
      <w:r w:rsidRPr="00B85C17">
        <w:rPr>
          <w:rFonts w:eastAsia="Times New Roman" w:cstheme="minorHAnsi"/>
          <w:b/>
          <w:bCs/>
          <w:sz w:val="20"/>
          <w:szCs w:val="20"/>
        </w:rPr>
        <w:t xml:space="preserve"> aged 18</w:t>
      </w:r>
      <w:r w:rsidR="00A57673">
        <w:rPr>
          <w:rFonts w:eastAsia="Times New Roman" w:cstheme="minorHAnsi"/>
          <w:b/>
          <w:bCs/>
          <w:sz w:val="20"/>
          <w:szCs w:val="20"/>
        </w:rPr>
        <w:t>–</w:t>
      </w:r>
      <w:r w:rsidRPr="00B85C17">
        <w:rPr>
          <w:rFonts w:eastAsia="Times New Roman" w:cstheme="minorHAnsi"/>
          <w:b/>
          <w:bCs/>
          <w:sz w:val="20"/>
          <w:szCs w:val="20"/>
        </w:rPr>
        <w:t xml:space="preserve">49 years — 43 U.S. </w:t>
      </w:r>
      <w:proofErr w:type="gramStart"/>
      <w:r w:rsidRPr="00B85C17">
        <w:rPr>
          <w:rFonts w:eastAsia="Times New Roman" w:cstheme="minorHAnsi"/>
          <w:b/>
          <w:bCs/>
          <w:sz w:val="20"/>
          <w:szCs w:val="20"/>
        </w:rPr>
        <w:t>jurisdictions,</w:t>
      </w:r>
      <w:r w:rsidRPr="00B85C17">
        <w:rPr>
          <w:rFonts w:eastAsia="Times New Roman" w:cstheme="minorHAnsi"/>
          <w:b/>
          <w:bCs/>
          <w:sz w:val="20"/>
          <w:szCs w:val="20"/>
          <w:vertAlign w:val="superscript"/>
        </w:rPr>
        <w:t>§</w:t>
      </w:r>
      <w:proofErr w:type="gramEnd"/>
      <w:r w:rsidRPr="00B85C17">
        <w:rPr>
          <w:rFonts w:eastAsia="Times New Roman" w:cstheme="minorHAnsi"/>
          <w:b/>
          <w:bCs/>
          <w:sz w:val="20"/>
          <w:szCs w:val="20"/>
          <w:vertAlign w:val="superscript"/>
        </w:rPr>
        <w:t>§ ,¶¶</w:t>
      </w:r>
      <w:r w:rsidRPr="00B85C17">
        <w:rPr>
          <w:rFonts w:eastAsia="Times New Roman" w:cstheme="minorHAnsi"/>
          <w:b/>
          <w:bCs/>
          <w:sz w:val="20"/>
          <w:szCs w:val="20"/>
        </w:rPr>
        <w:t xml:space="preserve"> July 31–October 1, 2022</w:t>
      </w:r>
      <w:r w:rsidRPr="00B85C17">
        <w:rPr>
          <w:rFonts w:eastAsia="Times New Roman" w:cstheme="minorHAns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2250"/>
        <w:gridCol w:w="2250"/>
      </w:tblGrid>
      <w:tr w:rsidR="00B85C17" w:rsidRPr="00B85C17" w14:paraId="4DEDB1E9" w14:textId="77777777" w:rsidTr="00A57673">
        <w:trPr>
          <w:trHeight w:val="345"/>
        </w:trPr>
        <w:tc>
          <w:tcPr>
            <w:tcW w:w="4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FF9F99" w14:textId="77777777"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b/>
                <w:bCs/>
                <w:sz w:val="20"/>
                <w:szCs w:val="20"/>
              </w:rPr>
              <w:t>Vaccination Status</w:t>
            </w:r>
            <w:r w:rsidRPr="00B85C17">
              <w:rPr>
                <w:rFonts w:eastAsia="Times New Roman" w:cstheme="minorHAnsi"/>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9A7870" w14:textId="77777777" w:rsidR="00B85C17" w:rsidRPr="00B85C17" w:rsidRDefault="00B85C17" w:rsidP="00B85C17">
            <w:pPr>
              <w:spacing w:after="0" w:line="240" w:lineRule="auto"/>
              <w:jc w:val="center"/>
              <w:textAlignment w:val="baseline"/>
              <w:rPr>
                <w:rFonts w:eastAsia="Times New Roman" w:cstheme="minorHAnsi"/>
                <w:sz w:val="20"/>
                <w:szCs w:val="20"/>
              </w:rPr>
            </w:pPr>
            <w:r w:rsidRPr="00B85C17">
              <w:rPr>
                <w:rFonts w:eastAsia="Times New Roman" w:cstheme="minorHAnsi"/>
                <w:b/>
                <w:bCs/>
                <w:sz w:val="20"/>
                <w:szCs w:val="20"/>
              </w:rPr>
              <w:t>IRR</w:t>
            </w:r>
            <w:r w:rsidRPr="00B85C17">
              <w:rPr>
                <w:rFonts w:eastAsia="Times New Roman" w:cstheme="minorHAnsi"/>
                <w:color w:val="000000"/>
                <w:sz w:val="20"/>
                <w:szCs w:val="20"/>
                <w:vertAlign w:val="superscript"/>
              </w:rPr>
              <w:t xml:space="preserve"> </w:t>
            </w:r>
            <w:r w:rsidRPr="00B85C17">
              <w:rPr>
                <w:rFonts w:eastAsia="Times New Roman" w:cstheme="minorHAnsi"/>
                <w:b/>
                <w:bCs/>
                <w:sz w:val="20"/>
                <w:szCs w:val="20"/>
              </w:rPr>
              <w:t>(95% CI)</w:t>
            </w:r>
            <w:r w:rsidRPr="00B85C17">
              <w:rPr>
                <w:rFonts w:eastAsia="Times New Roman" w:cstheme="minorHAnsi"/>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0B41F1" w14:textId="77777777" w:rsidR="00B85C17" w:rsidRPr="00B85C17" w:rsidRDefault="00B85C17" w:rsidP="00B85C17">
            <w:pPr>
              <w:spacing w:after="0" w:line="240" w:lineRule="auto"/>
              <w:jc w:val="center"/>
              <w:textAlignment w:val="baseline"/>
              <w:rPr>
                <w:rFonts w:eastAsia="Times New Roman" w:cstheme="minorHAnsi"/>
                <w:sz w:val="20"/>
                <w:szCs w:val="20"/>
              </w:rPr>
            </w:pPr>
            <w:r w:rsidRPr="00B85C17">
              <w:rPr>
                <w:rFonts w:eastAsia="Times New Roman" w:cstheme="minorHAnsi"/>
                <w:b/>
                <w:bCs/>
                <w:sz w:val="20"/>
                <w:szCs w:val="20"/>
              </w:rPr>
              <w:t>HRR</w:t>
            </w:r>
            <w:r w:rsidRPr="00B85C17">
              <w:rPr>
                <w:rFonts w:eastAsia="Times New Roman" w:cstheme="minorHAnsi"/>
                <w:color w:val="000000"/>
                <w:sz w:val="20"/>
                <w:szCs w:val="20"/>
                <w:vertAlign w:val="superscript"/>
              </w:rPr>
              <w:t xml:space="preserve"> </w:t>
            </w:r>
            <w:r w:rsidRPr="00B85C17">
              <w:rPr>
                <w:rFonts w:eastAsia="Times New Roman" w:cstheme="minorHAnsi"/>
                <w:b/>
                <w:bCs/>
                <w:sz w:val="20"/>
                <w:szCs w:val="20"/>
              </w:rPr>
              <w:t>(95% CI)</w:t>
            </w:r>
            <w:r w:rsidRPr="00B85C17">
              <w:rPr>
                <w:rFonts w:eastAsia="Times New Roman" w:cstheme="minorHAnsi"/>
                <w:sz w:val="20"/>
                <w:szCs w:val="20"/>
              </w:rPr>
              <w:t> </w:t>
            </w:r>
          </w:p>
        </w:tc>
      </w:tr>
      <w:tr w:rsidR="00B85C17" w:rsidRPr="00B85C17" w14:paraId="280A27B9" w14:textId="77777777" w:rsidTr="00B85C17">
        <w:trPr>
          <w:trHeight w:val="345"/>
        </w:trPr>
        <w:tc>
          <w:tcPr>
            <w:tcW w:w="4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CF1F0C" w14:textId="38ECD2C4"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color w:val="000000"/>
                <w:sz w:val="20"/>
                <w:szCs w:val="20"/>
              </w:rPr>
              <w:t xml:space="preserve">Dose 1 </w:t>
            </w:r>
            <w:r w:rsidR="00DB730B">
              <w:rPr>
                <w:rFonts w:eastAsia="Times New Roman" w:cstheme="minorHAnsi"/>
                <w:color w:val="000000"/>
                <w:sz w:val="20"/>
                <w:szCs w:val="20"/>
              </w:rPr>
              <w:t>o</w:t>
            </w:r>
            <w:r w:rsidRPr="00B85C17">
              <w:rPr>
                <w:rFonts w:eastAsia="Times New Roman" w:cstheme="minorHAnsi"/>
                <w:color w:val="000000"/>
                <w:sz w:val="20"/>
                <w:szCs w:val="20"/>
              </w:rPr>
              <w:t>nly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E6DC4F" w14:textId="77777777" w:rsidR="00B85C17" w:rsidRPr="00B85C17" w:rsidRDefault="00B85C17" w:rsidP="00B85C17">
            <w:pPr>
              <w:spacing w:after="0" w:line="240" w:lineRule="auto"/>
              <w:jc w:val="center"/>
              <w:textAlignment w:val="baseline"/>
              <w:rPr>
                <w:rFonts w:eastAsia="Times New Roman" w:cstheme="minorHAnsi"/>
                <w:sz w:val="20"/>
                <w:szCs w:val="20"/>
              </w:rPr>
            </w:pPr>
            <w:r w:rsidRPr="00B85C17">
              <w:rPr>
                <w:rFonts w:eastAsia="Times New Roman" w:cstheme="minorHAnsi"/>
                <w:sz w:val="20"/>
                <w:szCs w:val="20"/>
              </w:rPr>
              <w:t>7.4 (6.0–9.1)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99EB172" w14:textId="77777777" w:rsidR="00B85C17" w:rsidRPr="00B85C17" w:rsidRDefault="00B85C17" w:rsidP="00B85C17">
            <w:pPr>
              <w:spacing w:after="0" w:line="240" w:lineRule="auto"/>
              <w:jc w:val="center"/>
              <w:textAlignment w:val="baseline"/>
              <w:rPr>
                <w:rFonts w:eastAsia="Times New Roman" w:cstheme="minorHAnsi"/>
                <w:sz w:val="20"/>
                <w:szCs w:val="20"/>
              </w:rPr>
            </w:pPr>
            <w:r w:rsidRPr="00B85C17">
              <w:rPr>
                <w:rFonts w:eastAsia="Times New Roman" w:cstheme="minorHAnsi"/>
                <w:sz w:val="20"/>
                <w:szCs w:val="20"/>
              </w:rPr>
              <w:t>4.3 (3.9-4.8) </w:t>
            </w:r>
          </w:p>
        </w:tc>
      </w:tr>
      <w:tr w:rsidR="00B85C17" w:rsidRPr="00B85C17" w14:paraId="176723AA" w14:textId="77777777" w:rsidTr="00B85C17">
        <w:trPr>
          <w:trHeight w:val="345"/>
        </w:trPr>
        <w:tc>
          <w:tcPr>
            <w:tcW w:w="41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2BEB9" w14:textId="705E7CBF"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color w:val="000000"/>
                <w:sz w:val="20"/>
                <w:szCs w:val="20"/>
              </w:rPr>
              <w:t xml:space="preserve">Dose 1 and </w:t>
            </w:r>
            <w:r w:rsidR="00DB730B">
              <w:rPr>
                <w:rFonts w:eastAsia="Times New Roman" w:cstheme="minorHAnsi"/>
                <w:color w:val="000000"/>
                <w:sz w:val="20"/>
                <w:szCs w:val="20"/>
              </w:rPr>
              <w:t>d</w:t>
            </w:r>
            <w:r w:rsidRPr="00B85C17">
              <w:rPr>
                <w:rFonts w:eastAsia="Times New Roman" w:cstheme="minorHAnsi"/>
                <w:color w:val="000000"/>
                <w:sz w:val="20"/>
                <w:szCs w:val="20"/>
              </w:rPr>
              <w:t>ose 2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7B82DF" w14:textId="77777777" w:rsidR="00B85C17" w:rsidRPr="00B85C17" w:rsidRDefault="00B85C17" w:rsidP="00B85C17">
            <w:pPr>
              <w:spacing w:after="0" w:line="240" w:lineRule="auto"/>
              <w:jc w:val="center"/>
              <w:textAlignment w:val="baseline"/>
              <w:rPr>
                <w:rFonts w:eastAsia="Times New Roman" w:cstheme="minorHAnsi"/>
                <w:sz w:val="20"/>
                <w:szCs w:val="20"/>
              </w:rPr>
            </w:pPr>
            <w:r w:rsidRPr="00B85C17">
              <w:rPr>
                <w:rFonts w:eastAsia="Times New Roman" w:cstheme="minorHAnsi"/>
                <w:sz w:val="20"/>
                <w:szCs w:val="20"/>
              </w:rPr>
              <w:t>9.6 (6.9–13.2)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B585950" w14:textId="77777777" w:rsidR="00B85C17" w:rsidRPr="00B85C17" w:rsidRDefault="00B85C17" w:rsidP="00B85C17">
            <w:pPr>
              <w:spacing w:after="0" w:line="240" w:lineRule="auto"/>
              <w:jc w:val="center"/>
              <w:textAlignment w:val="baseline"/>
              <w:rPr>
                <w:rFonts w:eastAsia="Times New Roman" w:cstheme="minorHAnsi"/>
                <w:sz w:val="20"/>
                <w:szCs w:val="20"/>
              </w:rPr>
            </w:pPr>
            <w:r w:rsidRPr="00B85C17">
              <w:rPr>
                <w:rFonts w:eastAsia="Times New Roman" w:cstheme="minorHAnsi"/>
                <w:sz w:val="20"/>
                <w:szCs w:val="20"/>
              </w:rPr>
              <w:t>7.6 (5.7-10.2) </w:t>
            </w:r>
          </w:p>
        </w:tc>
      </w:tr>
    </w:tbl>
    <w:p w14:paraId="6ACFDCD0" w14:textId="4ACF017B"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b/>
          <w:bCs/>
          <w:sz w:val="20"/>
          <w:szCs w:val="20"/>
        </w:rPr>
        <w:t>Abbreviation</w:t>
      </w:r>
      <w:r w:rsidRPr="00B85C17">
        <w:rPr>
          <w:rFonts w:eastAsia="Times New Roman" w:cstheme="minorHAnsi"/>
          <w:sz w:val="20"/>
          <w:szCs w:val="20"/>
        </w:rPr>
        <w:t>: IRR = incidence rate ratio. HRR = hazard rate ratio</w:t>
      </w:r>
      <w:r w:rsidR="00E51D17">
        <w:rPr>
          <w:rFonts w:eastAsia="Times New Roman" w:cstheme="minorHAnsi"/>
          <w:sz w:val="20"/>
          <w:szCs w:val="20"/>
        </w:rPr>
        <w:t xml:space="preserve">; </w:t>
      </w:r>
      <w:proofErr w:type="spellStart"/>
      <w:r w:rsidR="00F25FC7">
        <w:rPr>
          <w:rFonts w:eastAsia="Times New Roman" w:cstheme="minorHAnsi"/>
          <w:sz w:val="20"/>
          <w:szCs w:val="20"/>
        </w:rPr>
        <w:t>Mpox</w:t>
      </w:r>
      <w:proofErr w:type="spellEnd"/>
      <w:r w:rsidR="00F25FC7">
        <w:rPr>
          <w:rFonts w:eastAsia="Times New Roman" w:cstheme="minorHAnsi"/>
          <w:sz w:val="20"/>
          <w:szCs w:val="20"/>
        </w:rPr>
        <w:t xml:space="preserve"> = monkeypox; </w:t>
      </w:r>
      <w:r w:rsidR="00E51D17">
        <w:rPr>
          <w:rFonts w:eastAsia="Times New Roman" w:cstheme="minorHAnsi"/>
          <w:sz w:val="20"/>
          <w:szCs w:val="20"/>
        </w:rPr>
        <w:t xml:space="preserve">MSM = men who have sex with men; </w:t>
      </w:r>
      <w:proofErr w:type="spellStart"/>
      <w:r w:rsidR="00E51D17">
        <w:rPr>
          <w:rFonts w:eastAsia="Times New Roman" w:cstheme="minorHAnsi"/>
          <w:sz w:val="20"/>
          <w:szCs w:val="20"/>
        </w:rPr>
        <w:t>PrEP</w:t>
      </w:r>
      <w:proofErr w:type="spellEnd"/>
      <w:r w:rsidR="00E51D17">
        <w:rPr>
          <w:rFonts w:eastAsia="Times New Roman" w:cstheme="minorHAnsi"/>
          <w:sz w:val="20"/>
          <w:szCs w:val="20"/>
        </w:rPr>
        <w:t xml:space="preserve"> = preexposure prophylaxis</w:t>
      </w:r>
      <w:r w:rsidRPr="00B85C17">
        <w:rPr>
          <w:rFonts w:eastAsia="Times New Roman" w:cstheme="minorHAnsi"/>
          <w:sz w:val="20"/>
          <w:szCs w:val="20"/>
        </w:rPr>
        <w:t>. </w:t>
      </w:r>
    </w:p>
    <w:p w14:paraId="43571046" w14:textId="77777777"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sz w:val="20"/>
          <w:szCs w:val="20"/>
        </w:rPr>
        <w:t>*</w:t>
      </w:r>
      <w:r w:rsidRPr="00B85C17">
        <w:rPr>
          <w:rFonts w:eastAsia="Times New Roman" w:cstheme="minorHAnsi"/>
          <w:color w:val="000000"/>
          <w:sz w:val="20"/>
          <w:szCs w:val="20"/>
        </w:rPr>
        <w:t>Comparison of incidence rates among unvaccinated to incidence among vaccinated using negative binomial regression model. </w:t>
      </w:r>
    </w:p>
    <w:p w14:paraId="7E1818E1" w14:textId="77777777"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color w:val="000000"/>
          <w:sz w:val="20"/>
          <w:szCs w:val="20"/>
          <w:vertAlign w:val="superscript"/>
        </w:rPr>
        <w:t xml:space="preserve">† </w:t>
      </w:r>
      <w:r w:rsidRPr="00B85C17">
        <w:rPr>
          <w:rFonts w:eastAsia="Times New Roman" w:cstheme="minorHAnsi"/>
          <w:color w:val="000000"/>
          <w:sz w:val="20"/>
          <w:szCs w:val="20"/>
        </w:rPr>
        <w:t>Comparison of hazard rates among unvaccinated to hazard rates among vaccinated using Cox proportional hazards regression model. </w:t>
      </w:r>
    </w:p>
    <w:p w14:paraId="7D7F6C91" w14:textId="6BF6542D" w:rsidR="00B85C17" w:rsidRPr="00B85C17" w:rsidRDefault="00B85C17" w:rsidP="4A47E562">
      <w:pPr>
        <w:spacing w:after="0" w:line="240" w:lineRule="auto"/>
        <w:textAlignment w:val="baseline"/>
        <w:rPr>
          <w:rFonts w:eastAsia="Times New Roman"/>
          <w:sz w:val="20"/>
          <w:szCs w:val="20"/>
        </w:rPr>
      </w:pPr>
      <w:r w:rsidRPr="480B7BEA">
        <w:rPr>
          <w:rFonts w:eastAsia="Times New Roman"/>
          <w:sz w:val="20"/>
          <w:szCs w:val="20"/>
          <w:vertAlign w:val="superscript"/>
        </w:rPr>
        <w:t>§</w:t>
      </w:r>
      <w:r w:rsidRPr="480B7BEA">
        <w:rPr>
          <w:rFonts w:eastAsia="Times New Roman"/>
          <w:sz w:val="20"/>
          <w:szCs w:val="20"/>
        </w:rPr>
        <w:t xml:space="preserve"> </w:t>
      </w:r>
      <w:r w:rsidRPr="480B7BEA">
        <w:rPr>
          <w:rFonts w:eastAsia="Times New Roman"/>
          <w:color w:val="000000" w:themeColor="text1"/>
          <w:sz w:val="20"/>
          <w:szCs w:val="20"/>
        </w:rPr>
        <w:t>Confirmed (presence of </w:t>
      </w:r>
      <w:proofErr w:type="spellStart"/>
      <w:r w:rsidR="00F25FC7">
        <w:rPr>
          <w:rFonts w:eastAsia="Times New Roman"/>
          <w:color w:val="000000" w:themeColor="text1"/>
          <w:sz w:val="20"/>
          <w:szCs w:val="20"/>
        </w:rPr>
        <w:t>m</w:t>
      </w:r>
      <w:r w:rsidR="00F25FC7" w:rsidRPr="00203450">
        <w:rPr>
          <w:rFonts w:eastAsia="Times New Roman"/>
          <w:color w:val="000000" w:themeColor="text1"/>
          <w:sz w:val="20"/>
          <w:szCs w:val="20"/>
        </w:rPr>
        <w:t>pox</w:t>
      </w:r>
      <w:proofErr w:type="spellEnd"/>
      <w:r w:rsidR="00F25FC7" w:rsidRPr="00203450">
        <w:rPr>
          <w:rFonts w:eastAsia="Times New Roman"/>
          <w:color w:val="000000" w:themeColor="text1"/>
          <w:sz w:val="20"/>
          <w:szCs w:val="20"/>
        </w:rPr>
        <w:t xml:space="preserve"> </w:t>
      </w:r>
      <w:r w:rsidRPr="00203450">
        <w:rPr>
          <w:rFonts w:eastAsia="Times New Roman"/>
          <w:color w:val="000000" w:themeColor="text1"/>
          <w:sz w:val="20"/>
          <w:szCs w:val="20"/>
        </w:rPr>
        <w:t>virus</w:t>
      </w:r>
      <w:r w:rsidRPr="480B7BEA">
        <w:rPr>
          <w:rFonts w:eastAsia="Times New Roman"/>
          <w:color w:val="000000" w:themeColor="text1"/>
          <w:sz w:val="20"/>
          <w:szCs w:val="20"/>
        </w:rPr>
        <w:t xml:space="preserve"> DNA by polymerase chain reaction [PCR] testing or </w:t>
      </w:r>
      <w:r w:rsidR="4C1EFAF5" w:rsidRPr="480B7BEA">
        <w:rPr>
          <w:rFonts w:eastAsia="Times New Roman"/>
          <w:color w:val="000000" w:themeColor="text1"/>
          <w:sz w:val="20"/>
          <w:szCs w:val="20"/>
        </w:rPr>
        <w:t>n</w:t>
      </w:r>
      <w:r w:rsidRPr="480B7BEA">
        <w:rPr>
          <w:rFonts w:eastAsia="Times New Roman"/>
          <w:color w:val="000000" w:themeColor="text1"/>
          <w:sz w:val="20"/>
          <w:szCs w:val="20"/>
        </w:rPr>
        <w:t>ext-</w:t>
      </w:r>
      <w:r w:rsidR="64599A61" w:rsidRPr="480B7BEA">
        <w:rPr>
          <w:rFonts w:eastAsia="Times New Roman"/>
          <w:color w:val="000000" w:themeColor="text1"/>
          <w:sz w:val="20"/>
          <w:szCs w:val="20"/>
        </w:rPr>
        <w:t>g</w:t>
      </w:r>
      <w:r w:rsidRPr="480B7BEA">
        <w:rPr>
          <w:rFonts w:eastAsia="Times New Roman"/>
          <w:color w:val="000000" w:themeColor="text1"/>
          <w:sz w:val="20"/>
          <w:szCs w:val="20"/>
        </w:rPr>
        <w:t>eneration sequencing of a clinical specimen OR isolation of </w:t>
      </w:r>
      <w:proofErr w:type="spellStart"/>
      <w:r w:rsidR="00F25FC7">
        <w:rPr>
          <w:rFonts w:eastAsia="Times New Roman"/>
          <w:color w:val="000000" w:themeColor="text1"/>
          <w:sz w:val="20"/>
          <w:szCs w:val="20"/>
        </w:rPr>
        <w:t>m</w:t>
      </w:r>
      <w:r w:rsidR="00F25FC7" w:rsidRPr="00203450">
        <w:rPr>
          <w:rFonts w:eastAsia="Times New Roman"/>
          <w:color w:val="000000" w:themeColor="text1"/>
          <w:sz w:val="20"/>
          <w:szCs w:val="20"/>
        </w:rPr>
        <w:t>pox</w:t>
      </w:r>
      <w:proofErr w:type="spellEnd"/>
      <w:r w:rsidR="00F25FC7" w:rsidRPr="00203450">
        <w:rPr>
          <w:rFonts w:eastAsia="Times New Roman"/>
          <w:color w:val="000000" w:themeColor="text1"/>
          <w:sz w:val="20"/>
          <w:szCs w:val="20"/>
        </w:rPr>
        <w:t xml:space="preserve"> </w:t>
      </w:r>
      <w:r w:rsidRPr="00203450">
        <w:rPr>
          <w:rFonts w:eastAsia="Times New Roman"/>
          <w:color w:val="000000" w:themeColor="text1"/>
          <w:sz w:val="20"/>
          <w:szCs w:val="20"/>
        </w:rPr>
        <w:t>virus</w:t>
      </w:r>
      <w:r w:rsidRPr="480B7BEA">
        <w:rPr>
          <w:rFonts w:eastAsia="Times New Roman"/>
          <w:color w:val="000000" w:themeColor="text1"/>
          <w:sz w:val="20"/>
          <w:szCs w:val="20"/>
        </w:rPr>
        <w:t> in culture from a clinical specimen) and probable (presence of </w:t>
      </w:r>
      <w:r w:rsidR="00224385">
        <w:rPr>
          <w:rFonts w:eastAsia="Times New Roman"/>
          <w:color w:val="000000" w:themeColor="text1"/>
          <w:sz w:val="20"/>
          <w:szCs w:val="20"/>
        </w:rPr>
        <w:t>o</w:t>
      </w:r>
      <w:r w:rsidR="00224385" w:rsidRPr="00203450">
        <w:rPr>
          <w:rFonts w:eastAsia="Times New Roman"/>
          <w:color w:val="000000" w:themeColor="text1"/>
          <w:sz w:val="20"/>
          <w:szCs w:val="20"/>
        </w:rPr>
        <w:t>rthopoxvirus</w:t>
      </w:r>
      <w:r w:rsidRPr="480B7BEA">
        <w:rPr>
          <w:rFonts w:eastAsia="Times New Roman"/>
          <w:color w:val="000000" w:themeColor="text1"/>
          <w:sz w:val="20"/>
          <w:szCs w:val="20"/>
        </w:rPr>
        <w:t> DNA by PCR, or </w:t>
      </w:r>
      <w:r w:rsidR="00224385">
        <w:rPr>
          <w:rFonts w:eastAsia="Times New Roman"/>
          <w:color w:val="000000" w:themeColor="text1"/>
          <w:sz w:val="20"/>
          <w:szCs w:val="20"/>
        </w:rPr>
        <w:t>o</w:t>
      </w:r>
      <w:r w:rsidR="00224385" w:rsidRPr="00203450">
        <w:rPr>
          <w:rFonts w:eastAsia="Times New Roman"/>
          <w:color w:val="000000" w:themeColor="text1"/>
          <w:sz w:val="20"/>
          <w:szCs w:val="20"/>
        </w:rPr>
        <w:t>rthopoxvirus</w:t>
      </w:r>
      <w:r w:rsidRPr="480B7BEA">
        <w:rPr>
          <w:rFonts w:eastAsia="Times New Roman"/>
          <w:color w:val="000000" w:themeColor="text1"/>
          <w:sz w:val="20"/>
          <w:szCs w:val="20"/>
        </w:rPr>
        <w:t> using immunohistochemical or electron microscopy or detectable levels of anti-</w:t>
      </w:r>
      <w:r w:rsidR="00224385">
        <w:rPr>
          <w:rFonts w:eastAsia="Times New Roman"/>
          <w:color w:val="000000" w:themeColor="text1"/>
          <w:sz w:val="20"/>
          <w:szCs w:val="20"/>
        </w:rPr>
        <w:t>o</w:t>
      </w:r>
      <w:r w:rsidR="00224385" w:rsidRPr="00203450">
        <w:rPr>
          <w:rFonts w:eastAsia="Times New Roman"/>
          <w:color w:val="000000" w:themeColor="text1"/>
          <w:sz w:val="20"/>
          <w:szCs w:val="20"/>
        </w:rPr>
        <w:t>rthopoxvirus</w:t>
      </w:r>
      <w:r w:rsidRPr="480B7BEA">
        <w:rPr>
          <w:rFonts w:eastAsia="Times New Roman"/>
          <w:color w:val="000000" w:themeColor="text1"/>
          <w:sz w:val="20"/>
          <w:szCs w:val="20"/>
        </w:rPr>
        <w:t xml:space="preserve"> immunoglobulin M antibody) </w:t>
      </w:r>
      <w:proofErr w:type="spellStart"/>
      <w:r w:rsidR="00F25FC7">
        <w:rPr>
          <w:rFonts w:eastAsia="Times New Roman"/>
          <w:color w:val="000000" w:themeColor="text1"/>
          <w:sz w:val="20"/>
          <w:szCs w:val="20"/>
        </w:rPr>
        <w:t>m</w:t>
      </w:r>
      <w:r w:rsidR="00F25FC7" w:rsidRPr="480B7BEA">
        <w:rPr>
          <w:rFonts w:eastAsia="Times New Roman"/>
          <w:color w:val="000000" w:themeColor="text1"/>
          <w:sz w:val="20"/>
          <w:szCs w:val="20"/>
        </w:rPr>
        <w:t>pox</w:t>
      </w:r>
      <w:proofErr w:type="spellEnd"/>
      <w:r w:rsidR="00F25FC7" w:rsidRPr="480B7BEA">
        <w:rPr>
          <w:rFonts w:eastAsia="Times New Roman"/>
          <w:color w:val="000000" w:themeColor="text1"/>
          <w:sz w:val="20"/>
          <w:szCs w:val="20"/>
        </w:rPr>
        <w:t xml:space="preserve"> </w:t>
      </w:r>
      <w:r w:rsidRPr="480B7BEA">
        <w:rPr>
          <w:rFonts w:eastAsia="Times New Roman"/>
          <w:color w:val="000000" w:themeColor="text1"/>
          <w:sz w:val="20"/>
          <w:szCs w:val="20"/>
        </w:rPr>
        <w:t>cases.</w:t>
      </w:r>
      <w:r w:rsidR="00E51D17" w:rsidRPr="480B7BEA">
        <w:rPr>
          <w:rFonts w:eastAsia="Times New Roman"/>
          <w:color w:val="000000" w:themeColor="text1"/>
          <w:sz w:val="20"/>
          <w:szCs w:val="20"/>
        </w:rPr>
        <w:t xml:space="preserve"> </w:t>
      </w:r>
      <w:r w:rsidRPr="480B7BEA">
        <w:rPr>
          <w:rFonts w:eastAsia="Times New Roman"/>
          <w:color w:val="000000" w:themeColor="text1"/>
          <w:sz w:val="20"/>
          <w:szCs w:val="20"/>
        </w:rPr>
        <w:t>Illness onset date refers to the earliest date available for each case. Dates available for selection varied by how the case was reported to the system and include illness onset, specimen collection, lab test completion, admission, diagnosis, discharge, case investigation start date, or date first electronically submitted or reported to the county, state, or public health department.</w:t>
      </w:r>
      <w:r w:rsidR="00E51D17" w:rsidRPr="480B7BEA">
        <w:rPr>
          <w:rFonts w:eastAsia="Times New Roman"/>
          <w:sz w:val="20"/>
          <w:szCs w:val="20"/>
        </w:rPr>
        <w:t xml:space="preserve"> </w:t>
      </w:r>
    </w:p>
    <w:p w14:paraId="1C74E832" w14:textId="73E49987"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sz w:val="20"/>
          <w:szCs w:val="20"/>
          <w:vertAlign w:val="superscript"/>
        </w:rPr>
        <w:t>¶</w:t>
      </w:r>
      <w:r w:rsidRPr="00B85C17">
        <w:rPr>
          <w:rFonts w:eastAsia="Times New Roman" w:cstheme="minorHAnsi"/>
          <w:sz w:val="20"/>
          <w:szCs w:val="20"/>
        </w:rPr>
        <w:t xml:space="preserve"> </w:t>
      </w:r>
      <w:r w:rsidR="00E51601">
        <w:rPr>
          <w:rFonts w:eastAsia="Times New Roman" w:cstheme="minorHAnsi"/>
          <w:sz w:val="20"/>
          <w:szCs w:val="20"/>
        </w:rPr>
        <w:t>Persons</w:t>
      </w:r>
      <w:r w:rsidR="00422B1B">
        <w:rPr>
          <w:rFonts w:eastAsia="Times New Roman" w:cstheme="minorHAnsi"/>
          <w:sz w:val="20"/>
          <w:szCs w:val="20"/>
        </w:rPr>
        <w:t xml:space="preserve"> were </w:t>
      </w:r>
      <w:r w:rsidR="003F4AB6">
        <w:rPr>
          <w:rFonts w:eastAsia="Times New Roman" w:cstheme="minorHAnsi"/>
          <w:sz w:val="20"/>
          <w:szCs w:val="20"/>
        </w:rPr>
        <w:t>grouped</w:t>
      </w:r>
      <w:r w:rsidR="00792407">
        <w:rPr>
          <w:rFonts w:eastAsia="Times New Roman" w:cstheme="minorHAnsi"/>
          <w:sz w:val="20"/>
          <w:szCs w:val="20"/>
        </w:rPr>
        <w:t xml:space="preserve"> into mutually-exclusive </w:t>
      </w:r>
      <w:r w:rsidR="003F4AB6">
        <w:rPr>
          <w:rFonts w:eastAsia="Times New Roman" w:cstheme="minorHAnsi"/>
          <w:sz w:val="20"/>
          <w:szCs w:val="20"/>
        </w:rPr>
        <w:t>categories</w:t>
      </w:r>
      <w:r w:rsidR="00792407">
        <w:rPr>
          <w:rFonts w:eastAsia="Times New Roman" w:cstheme="minorHAnsi"/>
          <w:sz w:val="20"/>
          <w:szCs w:val="20"/>
        </w:rPr>
        <w:t>:  unvaccinated</w:t>
      </w:r>
      <w:r w:rsidR="007F2799">
        <w:rPr>
          <w:rFonts w:eastAsia="Times New Roman" w:cstheme="minorHAnsi"/>
          <w:sz w:val="20"/>
          <w:szCs w:val="20"/>
        </w:rPr>
        <w:t xml:space="preserve"> (no documentation of vaccination)</w:t>
      </w:r>
      <w:r w:rsidR="00792407">
        <w:rPr>
          <w:rFonts w:eastAsia="Times New Roman" w:cstheme="minorHAnsi"/>
          <w:sz w:val="20"/>
          <w:szCs w:val="20"/>
        </w:rPr>
        <w:t xml:space="preserve">, </w:t>
      </w:r>
      <w:r w:rsidR="003F4AB6">
        <w:rPr>
          <w:rFonts w:eastAsia="Times New Roman" w:cstheme="minorHAnsi"/>
          <w:sz w:val="20"/>
          <w:szCs w:val="20"/>
        </w:rPr>
        <w:t>partially vaccinated</w:t>
      </w:r>
      <w:r w:rsidR="007F2799">
        <w:rPr>
          <w:rFonts w:eastAsia="Times New Roman" w:cstheme="minorHAnsi"/>
          <w:sz w:val="20"/>
          <w:szCs w:val="20"/>
        </w:rPr>
        <w:t xml:space="preserve"> (</w:t>
      </w:r>
      <w:r w:rsidR="00CE3B13">
        <w:rPr>
          <w:rFonts w:eastAsia="Times New Roman" w:cstheme="minorHAnsi"/>
          <w:sz w:val="20"/>
          <w:szCs w:val="20"/>
        </w:rPr>
        <w:t>0</w:t>
      </w:r>
      <w:r w:rsidR="0081425C">
        <w:rPr>
          <w:rFonts w:eastAsia="Times New Roman" w:cstheme="minorHAnsi"/>
          <w:sz w:val="20"/>
          <w:szCs w:val="20"/>
        </w:rPr>
        <w:t>–</w:t>
      </w:r>
      <w:r w:rsidR="00CE3B13">
        <w:rPr>
          <w:rFonts w:eastAsia="Times New Roman" w:cstheme="minorHAnsi"/>
          <w:sz w:val="20"/>
          <w:szCs w:val="20"/>
        </w:rPr>
        <w:t xml:space="preserve">13 days between receipt of dose 1 </w:t>
      </w:r>
      <w:r w:rsidR="00546911">
        <w:rPr>
          <w:rFonts w:eastAsia="Times New Roman" w:cstheme="minorHAnsi"/>
          <w:sz w:val="20"/>
          <w:szCs w:val="20"/>
        </w:rPr>
        <w:t>and illness onset or end of the study period</w:t>
      </w:r>
      <w:r w:rsidR="000D2ED0">
        <w:rPr>
          <w:rFonts w:eastAsia="Times New Roman" w:cstheme="minorHAnsi"/>
          <w:sz w:val="20"/>
          <w:szCs w:val="20"/>
        </w:rPr>
        <w:t xml:space="preserve"> [whichever is earliest]</w:t>
      </w:r>
      <w:r w:rsidR="00546911">
        <w:rPr>
          <w:rFonts w:eastAsia="Times New Roman" w:cstheme="minorHAnsi"/>
          <w:sz w:val="20"/>
          <w:szCs w:val="20"/>
        </w:rPr>
        <w:t>)</w:t>
      </w:r>
      <w:r w:rsidR="003F4AB6">
        <w:rPr>
          <w:rFonts w:eastAsia="Times New Roman" w:cstheme="minorHAnsi"/>
          <w:sz w:val="20"/>
          <w:szCs w:val="20"/>
        </w:rPr>
        <w:t xml:space="preserve">, </w:t>
      </w:r>
      <w:r w:rsidR="00DE1263">
        <w:rPr>
          <w:rFonts w:eastAsia="Times New Roman" w:cstheme="minorHAnsi"/>
          <w:sz w:val="20"/>
          <w:szCs w:val="20"/>
        </w:rPr>
        <w:t>receiving first dose only</w:t>
      </w:r>
      <w:r w:rsidR="00546911">
        <w:rPr>
          <w:rFonts w:eastAsia="Times New Roman" w:cstheme="minorHAnsi"/>
          <w:sz w:val="20"/>
          <w:szCs w:val="20"/>
        </w:rPr>
        <w:t xml:space="preserve"> (≥14 days between receipt of dose 1 and illness onset or end of </w:t>
      </w:r>
      <w:r w:rsidR="004362CC">
        <w:rPr>
          <w:rFonts w:eastAsia="Times New Roman" w:cstheme="minorHAnsi"/>
          <w:sz w:val="20"/>
          <w:szCs w:val="20"/>
        </w:rPr>
        <w:t xml:space="preserve">the </w:t>
      </w:r>
      <w:r w:rsidR="00546911">
        <w:rPr>
          <w:rFonts w:eastAsia="Times New Roman" w:cstheme="minorHAnsi"/>
          <w:sz w:val="20"/>
          <w:szCs w:val="20"/>
        </w:rPr>
        <w:t>study period</w:t>
      </w:r>
      <w:r w:rsidR="0073675B">
        <w:rPr>
          <w:rFonts w:eastAsia="Times New Roman" w:cstheme="minorHAnsi"/>
          <w:sz w:val="20"/>
          <w:szCs w:val="20"/>
        </w:rPr>
        <w:t xml:space="preserve"> [whi</w:t>
      </w:r>
      <w:r w:rsidR="00741182">
        <w:rPr>
          <w:rFonts w:eastAsia="Times New Roman" w:cstheme="minorHAnsi"/>
          <w:sz w:val="20"/>
          <w:szCs w:val="20"/>
        </w:rPr>
        <w:t>chever is earliest] and not meeting criteria for receiving first and second dose]</w:t>
      </w:r>
      <w:r w:rsidR="004362CC">
        <w:rPr>
          <w:rFonts w:eastAsia="Times New Roman" w:cstheme="minorHAnsi"/>
          <w:sz w:val="20"/>
          <w:szCs w:val="20"/>
        </w:rPr>
        <w:t>)</w:t>
      </w:r>
      <w:r w:rsidR="00DE1263">
        <w:rPr>
          <w:rFonts w:eastAsia="Times New Roman" w:cstheme="minorHAnsi"/>
          <w:sz w:val="20"/>
          <w:szCs w:val="20"/>
        </w:rPr>
        <w:t>, and receiving first and second dose</w:t>
      </w:r>
      <w:r w:rsidR="004362CC">
        <w:rPr>
          <w:rFonts w:eastAsia="Times New Roman" w:cstheme="minorHAnsi"/>
          <w:sz w:val="20"/>
          <w:szCs w:val="20"/>
        </w:rPr>
        <w:t xml:space="preserve"> (≥14 days between receipt of dose 2 and illness onset or end of the study period</w:t>
      </w:r>
      <w:r w:rsidR="00741182">
        <w:rPr>
          <w:rFonts w:eastAsia="Times New Roman" w:cstheme="minorHAnsi"/>
          <w:sz w:val="20"/>
          <w:szCs w:val="20"/>
        </w:rPr>
        <w:t xml:space="preserve"> [whichever is earliest]</w:t>
      </w:r>
      <w:r w:rsidR="004362CC">
        <w:rPr>
          <w:rFonts w:eastAsia="Times New Roman" w:cstheme="minorHAnsi"/>
          <w:sz w:val="20"/>
          <w:szCs w:val="20"/>
        </w:rPr>
        <w:t>)</w:t>
      </w:r>
      <w:r w:rsidR="00DE1263">
        <w:rPr>
          <w:rFonts w:eastAsia="Times New Roman" w:cstheme="minorHAnsi"/>
          <w:sz w:val="20"/>
          <w:szCs w:val="20"/>
        </w:rPr>
        <w:t xml:space="preserve">.  </w:t>
      </w:r>
      <w:r w:rsidR="001442E5">
        <w:rPr>
          <w:rFonts w:eastAsia="Times New Roman" w:cstheme="minorHAnsi"/>
          <w:sz w:val="20"/>
          <w:szCs w:val="20"/>
        </w:rPr>
        <w:t xml:space="preserve">Follow-up time was calculated as the time between vaccination (if applicable) or </w:t>
      </w:r>
      <w:r w:rsidR="004443D1">
        <w:rPr>
          <w:rFonts w:eastAsia="Times New Roman" w:cstheme="minorHAnsi"/>
          <w:sz w:val="20"/>
          <w:szCs w:val="20"/>
        </w:rPr>
        <w:t>start of the study period (whichever is later) and date of illness onset (if applicable) or end of the study period</w:t>
      </w:r>
      <w:r w:rsidR="000606E2">
        <w:rPr>
          <w:rFonts w:eastAsia="Times New Roman" w:cstheme="minorHAnsi"/>
          <w:sz w:val="20"/>
          <w:szCs w:val="20"/>
        </w:rPr>
        <w:t xml:space="preserve"> (whichever is earliest)</w:t>
      </w:r>
      <w:r w:rsidR="004443D1">
        <w:rPr>
          <w:rFonts w:eastAsia="Times New Roman" w:cstheme="minorHAnsi"/>
          <w:sz w:val="20"/>
          <w:szCs w:val="20"/>
        </w:rPr>
        <w:t>.</w:t>
      </w:r>
    </w:p>
    <w:p w14:paraId="30E74DD6" w14:textId="66D2F07B" w:rsid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sz w:val="20"/>
          <w:szCs w:val="20"/>
        </w:rPr>
        <w:t>** The population aged 18–49 years that might benefit from expanded vaccination includes MSM with HIV infection (jurisdiction-specific estimates of 2020 HIV prevalence are from CDC’s Atlas Plus [https://www.cdc.gov/nchhstp/atlas/index.htm] describing MSM who acquired HIV through male-to-male sexual contact or male-to-male sexual contact and injection drug use) or who are eligible for HIV-</w:t>
      </w:r>
      <w:proofErr w:type="spellStart"/>
      <w:r w:rsidRPr="00B85C17">
        <w:rPr>
          <w:rFonts w:eastAsia="Times New Roman" w:cstheme="minorHAnsi"/>
          <w:sz w:val="20"/>
          <w:szCs w:val="20"/>
        </w:rPr>
        <w:t>PrEP</w:t>
      </w:r>
      <w:proofErr w:type="spellEnd"/>
      <w:r w:rsidRPr="00B85C17">
        <w:rPr>
          <w:rFonts w:eastAsia="Times New Roman" w:cstheme="minorHAnsi"/>
          <w:sz w:val="20"/>
          <w:szCs w:val="20"/>
        </w:rPr>
        <w:t xml:space="preserve"> (estimated as the ratio of the jurisdiction-specific number of MSM receiving HIV preexposure prophylaxis (HIV-</w:t>
      </w:r>
      <w:proofErr w:type="spellStart"/>
      <w:r w:rsidRPr="00B85C17">
        <w:rPr>
          <w:rFonts w:eastAsia="Times New Roman" w:cstheme="minorHAnsi"/>
          <w:sz w:val="20"/>
          <w:szCs w:val="20"/>
        </w:rPr>
        <w:t>PrEP</w:t>
      </w:r>
      <w:proofErr w:type="spellEnd"/>
      <w:r w:rsidRPr="00B85C17">
        <w:rPr>
          <w:rFonts w:eastAsia="Times New Roman" w:cstheme="minorHAnsi"/>
          <w:sz w:val="20"/>
          <w:szCs w:val="20"/>
        </w:rPr>
        <w:t>) and the jurisdiction-specific HIV-</w:t>
      </w:r>
      <w:proofErr w:type="spellStart"/>
      <w:r w:rsidRPr="00B85C17">
        <w:rPr>
          <w:rFonts w:eastAsia="Times New Roman" w:cstheme="minorHAnsi"/>
          <w:sz w:val="20"/>
          <w:szCs w:val="20"/>
        </w:rPr>
        <w:t>PrEP</w:t>
      </w:r>
      <w:proofErr w:type="spellEnd"/>
      <w:r w:rsidRPr="00B85C17">
        <w:rPr>
          <w:rFonts w:eastAsia="Times New Roman" w:cstheme="minorHAnsi"/>
          <w:sz w:val="20"/>
          <w:szCs w:val="20"/>
        </w:rPr>
        <w:t xml:space="preserve"> coverage. The number of MSM with HIV or who are eligible for HIV-</w:t>
      </w:r>
      <w:proofErr w:type="spellStart"/>
      <w:r w:rsidRPr="00B85C17">
        <w:rPr>
          <w:rFonts w:eastAsia="Times New Roman" w:cstheme="minorHAnsi"/>
          <w:sz w:val="20"/>
          <w:szCs w:val="20"/>
        </w:rPr>
        <w:t>PrEP</w:t>
      </w:r>
      <w:proofErr w:type="spellEnd"/>
      <w:r w:rsidRPr="00B85C17">
        <w:rPr>
          <w:rFonts w:eastAsia="Times New Roman" w:cstheme="minorHAnsi"/>
          <w:sz w:val="20"/>
          <w:szCs w:val="20"/>
        </w:rPr>
        <w:t xml:space="preserve"> aged 18–49 years was estimated by aggregating 2021 U.S. Census Bureau estimates for males aged 0–12, 13–17, 18–49, and ≥50 years, calculating the state proportion in each age group, and multiplying by the estimated number of MSM with HIV or who are eligible for HIV-</w:t>
      </w:r>
      <w:proofErr w:type="spellStart"/>
      <w:r w:rsidRPr="00B85C17">
        <w:rPr>
          <w:rFonts w:eastAsia="Times New Roman" w:cstheme="minorHAnsi"/>
          <w:sz w:val="20"/>
          <w:szCs w:val="20"/>
        </w:rPr>
        <w:t>PrEP</w:t>
      </w:r>
      <w:proofErr w:type="spellEnd"/>
      <w:r w:rsidRPr="00B85C17">
        <w:rPr>
          <w:rFonts w:eastAsia="Times New Roman" w:cstheme="minorHAnsi"/>
          <w:sz w:val="20"/>
          <w:szCs w:val="20"/>
        </w:rPr>
        <w:t xml:space="preserve"> in each state to obtain proportional distributions. Additional details about these methods can be obtained by contacting the corresponding author. </w:t>
      </w:r>
    </w:p>
    <w:p w14:paraId="777794E9" w14:textId="4F72D199" w:rsidR="00A57673" w:rsidRPr="00B85C17" w:rsidRDefault="00A57673" w:rsidP="00B85C17">
      <w:pPr>
        <w:spacing w:after="0" w:line="240" w:lineRule="auto"/>
        <w:textAlignment w:val="baseline"/>
        <w:rPr>
          <w:rFonts w:eastAsia="Times New Roman" w:cstheme="minorHAnsi"/>
          <w:sz w:val="20"/>
          <w:szCs w:val="20"/>
        </w:rPr>
      </w:pPr>
      <w:r w:rsidRPr="00B85C17">
        <w:rPr>
          <w:rFonts w:eastAsia="Times New Roman" w:cstheme="minorHAnsi"/>
          <w:color w:val="000000"/>
          <w:sz w:val="20"/>
          <w:szCs w:val="20"/>
          <w:vertAlign w:val="superscript"/>
        </w:rPr>
        <w:t>††</w:t>
      </w:r>
      <w:r w:rsidR="0081425C">
        <w:rPr>
          <w:rFonts w:eastAsia="Times New Roman" w:cstheme="minorHAnsi"/>
          <w:sz w:val="20"/>
          <w:szCs w:val="20"/>
        </w:rPr>
        <w:t xml:space="preserve"> S</w:t>
      </w:r>
      <w:r w:rsidRPr="00B85C17">
        <w:rPr>
          <w:rFonts w:eastAsia="Times New Roman" w:cstheme="minorHAnsi"/>
          <w:sz w:val="20"/>
          <w:szCs w:val="20"/>
        </w:rPr>
        <w:t xml:space="preserve">elf-reported </w:t>
      </w:r>
      <w:r w:rsidR="0081425C">
        <w:rPr>
          <w:rFonts w:eastAsia="Times New Roman" w:cstheme="minorHAnsi"/>
          <w:sz w:val="20"/>
          <w:szCs w:val="20"/>
        </w:rPr>
        <w:t xml:space="preserve">male </w:t>
      </w:r>
      <w:r w:rsidRPr="00B85C17">
        <w:rPr>
          <w:rFonts w:eastAsia="Times New Roman" w:cstheme="minorHAnsi"/>
          <w:sz w:val="20"/>
          <w:szCs w:val="20"/>
        </w:rPr>
        <w:t xml:space="preserve">sex assigned at birth or self-reported </w:t>
      </w:r>
      <w:r w:rsidR="0081425C">
        <w:rPr>
          <w:rFonts w:eastAsia="Times New Roman" w:cstheme="minorHAnsi"/>
          <w:sz w:val="20"/>
          <w:szCs w:val="20"/>
        </w:rPr>
        <w:t xml:space="preserve">male </w:t>
      </w:r>
      <w:r w:rsidRPr="00B85C17">
        <w:rPr>
          <w:rFonts w:eastAsia="Times New Roman" w:cstheme="minorHAnsi"/>
          <w:sz w:val="20"/>
          <w:szCs w:val="20"/>
        </w:rPr>
        <w:t>gender identity. </w:t>
      </w:r>
    </w:p>
    <w:p w14:paraId="34A1D825" w14:textId="77777777"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sz w:val="20"/>
          <w:szCs w:val="20"/>
          <w:vertAlign w:val="superscript"/>
        </w:rPr>
        <w:t xml:space="preserve">§§ </w:t>
      </w:r>
      <w:r w:rsidRPr="00B85C17">
        <w:rPr>
          <w:rFonts w:eastAsia="Times New Roman" w:cstheme="minorHAnsi"/>
          <w:sz w:val="20"/>
          <w:szCs w:val="20"/>
        </w:rPr>
        <w:t>Alabama, Alaska, California, Colorado, Connecticut, District of Columbia, Florida, Georgia, Hawaii, Idaho, Illinois, Iowa, Kansas, Kentucky, Louisiana, Maine, Maryland, Massachusetts, Michigan, Minnesota, Mississippi, Missouri, Montana, Nevada, New Hampshire, New Mexico, New York (excluding New York City), North Dakota, Ohio, Oklahoma, Oregon, Pennsylvania, Puerto Rico, Rhode Island, South Carolina, South Dakota, Tennessee, Utah, Vermont, Virginia, West Virginia, Wisconsin, and Wyoming </w:t>
      </w:r>
    </w:p>
    <w:p w14:paraId="21355D04" w14:textId="261D651E" w:rsidR="00B85C17" w:rsidRPr="00B85C17" w:rsidRDefault="00B85C17" w:rsidP="00B85C17">
      <w:pPr>
        <w:spacing w:after="0" w:line="240" w:lineRule="auto"/>
        <w:textAlignment w:val="baseline"/>
        <w:rPr>
          <w:rFonts w:eastAsia="Times New Roman" w:cstheme="minorHAnsi"/>
          <w:sz w:val="20"/>
          <w:szCs w:val="20"/>
        </w:rPr>
      </w:pPr>
      <w:r w:rsidRPr="00B85C17">
        <w:rPr>
          <w:rFonts w:eastAsia="Times New Roman" w:cstheme="minorHAnsi"/>
          <w:sz w:val="20"/>
          <w:szCs w:val="20"/>
          <w:vertAlign w:val="superscript"/>
        </w:rPr>
        <w:t>¶¶</w:t>
      </w:r>
      <w:r w:rsidRPr="00B85C17">
        <w:rPr>
          <w:rFonts w:eastAsia="Times New Roman" w:cstheme="minorHAnsi"/>
          <w:sz w:val="20"/>
          <w:szCs w:val="20"/>
        </w:rPr>
        <w:t xml:space="preserve"> Jurisdictions included if age and sex assigned at birth or gender identity was available for ≥70% of cases reported, vaccination status was available for ≥50% of cases in m</w:t>
      </w:r>
      <w:r w:rsidR="0081425C">
        <w:rPr>
          <w:rFonts w:eastAsia="Times New Roman" w:cstheme="minorHAnsi"/>
          <w:sz w:val="20"/>
          <w:szCs w:val="20"/>
        </w:rPr>
        <w:t>en</w:t>
      </w:r>
      <w:r w:rsidRPr="00B85C17">
        <w:rPr>
          <w:rFonts w:eastAsia="Times New Roman" w:cstheme="minorHAnsi"/>
          <w:sz w:val="20"/>
          <w:szCs w:val="20"/>
        </w:rPr>
        <w:t xml:space="preserve"> (</w:t>
      </w:r>
      <w:r w:rsidR="0081425C">
        <w:rPr>
          <w:rFonts w:eastAsia="Times New Roman" w:cstheme="minorHAnsi"/>
          <w:sz w:val="20"/>
          <w:szCs w:val="20"/>
        </w:rPr>
        <w:t>male</w:t>
      </w:r>
      <w:r w:rsidRPr="00B85C17">
        <w:rPr>
          <w:rFonts w:eastAsia="Times New Roman" w:cstheme="minorHAnsi"/>
          <w:sz w:val="20"/>
          <w:szCs w:val="20"/>
        </w:rPr>
        <w:t xml:space="preserve"> sex assigned at birth or </w:t>
      </w:r>
      <w:r w:rsidR="0081425C">
        <w:rPr>
          <w:rFonts w:eastAsia="Times New Roman" w:cstheme="minorHAnsi"/>
          <w:sz w:val="20"/>
          <w:szCs w:val="20"/>
        </w:rPr>
        <w:t xml:space="preserve">male </w:t>
      </w:r>
      <w:r w:rsidRPr="00B85C17">
        <w:rPr>
          <w:rFonts w:eastAsia="Times New Roman" w:cstheme="minorHAnsi"/>
          <w:sz w:val="20"/>
          <w:szCs w:val="20"/>
        </w:rPr>
        <w:t>gender identity) aged 18–49 years or the jurisdiction confirmed</w:t>
      </w:r>
      <w:r w:rsidR="0081425C">
        <w:rPr>
          <w:rFonts w:eastAsia="Times New Roman" w:cstheme="minorHAnsi"/>
          <w:sz w:val="20"/>
          <w:szCs w:val="20"/>
        </w:rPr>
        <w:t xml:space="preserve"> that</w:t>
      </w:r>
      <w:r w:rsidRPr="00B85C17">
        <w:rPr>
          <w:rFonts w:eastAsia="Times New Roman" w:cstheme="minorHAnsi"/>
          <w:sz w:val="20"/>
          <w:szCs w:val="20"/>
        </w:rPr>
        <w:t xml:space="preserve"> cases are linked to immunization registry entries, and deidentified vaccination administration data were submitted to CDC.  </w:t>
      </w:r>
    </w:p>
    <w:p w14:paraId="4B2205F5" w14:textId="77777777" w:rsidR="00B85C17" w:rsidRPr="00A57673" w:rsidRDefault="00B85C17">
      <w:pPr>
        <w:rPr>
          <w:rFonts w:cstheme="minorHAnsi"/>
          <w:sz w:val="20"/>
          <w:szCs w:val="20"/>
        </w:rPr>
      </w:pPr>
    </w:p>
    <w:sectPr w:rsidR="00B85C17" w:rsidRPr="00A57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D79E" w14:textId="77777777" w:rsidR="00E42BAF" w:rsidRDefault="00E42BAF" w:rsidP="00B85C17">
      <w:pPr>
        <w:spacing w:after="0" w:line="240" w:lineRule="auto"/>
      </w:pPr>
      <w:r>
        <w:separator/>
      </w:r>
    </w:p>
  </w:endnote>
  <w:endnote w:type="continuationSeparator" w:id="0">
    <w:p w14:paraId="462FCC9D" w14:textId="77777777" w:rsidR="00E42BAF" w:rsidRDefault="00E42BAF" w:rsidP="00B8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374A" w14:textId="77777777" w:rsidR="00E42BAF" w:rsidRDefault="00E42BAF" w:rsidP="00B85C17">
      <w:pPr>
        <w:spacing w:after="0" w:line="240" w:lineRule="auto"/>
      </w:pPr>
      <w:r>
        <w:separator/>
      </w:r>
    </w:p>
  </w:footnote>
  <w:footnote w:type="continuationSeparator" w:id="0">
    <w:p w14:paraId="68F16B51" w14:textId="77777777" w:rsidR="00E42BAF" w:rsidRDefault="00E42BAF" w:rsidP="00B85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17"/>
    <w:rsid w:val="000240A2"/>
    <w:rsid w:val="000477DE"/>
    <w:rsid w:val="000606E2"/>
    <w:rsid w:val="000D2ED0"/>
    <w:rsid w:val="000D7196"/>
    <w:rsid w:val="000F0BBF"/>
    <w:rsid w:val="000F31AA"/>
    <w:rsid w:val="001442E5"/>
    <w:rsid w:val="001A1EBB"/>
    <w:rsid w:val="001D342C"/>
    <w:rsid w:val="001E48C1"/>
    <w:rsid w:val="00203450"/>
    <w:rsid w:val="00224385"/>
    <w:rsid w:val="00243EE9"/>
    <w:rsid w:val="0031395B"/>
    <w:rsid w:val="003414ED"/>
    <w:rsid w:val="00346F1A"/>
    <w:rsid w:val="00363335"/>
    <w:rsid w:val="003F0081"/>
    <w:rsid w:val="003F4AB6"/>
    <w:rsid w:val="00422B1B"/>
    <w:rsid w:val="004362CC"/>
    <w:rsid w:val="004443D1"/>
    <w:rsid w:val="00546911"/>
    <w:rsid w:val="005A41DC"/>
    <w:rsid w:val="00653328"/>
    <w:rsid w:val="00724E7C"/>
    <w:rsid w:val="0073675B"/>
    <w:rsid w:val="00741182"/>
    <w:rsid w:val="00792407"/>
    <w:rsid w:val="007F2799"/>
    <w:rsid w:val="0081425C"/>
    <w:rsid w:val="00833F4D"/>
    <w:rsid w:val="008E4FAA"/>
    <w:rsid w:val="00901ECF"/>
    <w:rsid w:val="00931A21"/>
    <w:rsid w:val="00942F86"/>
    <w:rsid w:val="0095218F"/>
    <w:rsid w:val="00967EDB"/>
    <w:rsid w:val="00A57673"/>
    <w:rsid w:val="00A64429"/>
    <w:rsid w:val="00B82808"/>
    <w:rsid w:val="00B8427E"/>
    <w:rsid w:val="00B85C17"/>
    <w:rsid w:val="00C66D6B"/>
    <w:rsid w:val="00C7403D"/>
    <w:rsid w:val="00CE3B13"/>
    <w:rsid w:val="00CF7790"/>
    <w:rsid w:val="00D20388"/>
    <w:rsid w:val="00DB3703"/>
    <w:rsid w:val="00DB730B"/>
    <w:rsid w:val="00DE1263"/>
    <w:rsid w:val="00E42BAF"/>
    <w:rsid w:val="00E51601"/>
    <w:rsid w:val="00E51D17"/>
    <w:rsid w:val="00E6358C"/>
    <w:rsid w:val="00E769DE"/>
    <w:rsid w:val="00F25FC7"/>
    <w:rsid w:val="00F90F6A"/>
    <w:rsid w:val="00FF5869"/>
    <w:rsid w:val="126FE865"/>
    <w:rsid w:val="1ABEC249"/>
    <w:rsid w:val="480B7BEA"/>
    <w:rsid w:val="4A47E562"/>
    <w:rsid w:val="4C1EFAF5"/>
    <w:rsid w:val="64599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AAF65"/>
  <w15:chartTrackingRefBased/>
  <w15:docId w15:val="{35DC1895-E2DD-4912-B8F5-19CF661F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5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5C17"/>
  </w:style>
  <w:style w:type="character" w:customStyle="1" w:styleId="contextualspellingandgrammarerror">
    <w:name w:val="contextualspellingandgrammarerror"/>
    <w:basedOn w:val="DefaultParagraphFont"/>
    <w:rsid w:val="00B85C17"/>
  </w:style>
  <w:style w:type="character" w:customStyle="1" w:styleId="eop">
    <w:name w:val="eop"/>
    <w:basedOn w:val="DefaultParagraphFont"/>
    <w:rsid w:val="00B85C17"/>
  </w:style>
  <w:style w:type="character" w:customStyle="1" w:styleId="spellingerror">
    <w:name w:val="spellingerror"/>
    <w:basedOn w:val="DefaultParagraphFont"/>
    <w:rsid w:val="00B85C17"/>
  </w:style>
  <w:style w:type="character" w:styleId="CommentReference">
    <w:name w:val="annotation reference"/>
    <w:basedOn w:val="DefaultParagraphFont"/>
    <w:uiPriority w:val="99"/>
    <w:semiHidden/>
    <w:unhideWhenUsed/>
    <w:rsid w:val="00A57673"/>
    <w:rPr>
      <w:sz w:val="16"/>
      <w:szCs w:val="16"/>
    </w:rPr>
  </w:style>
  <w:style w:type="paragraph" w:styleId="CommentText">
    <w:name w:val="annotation text"/>
    <w:basedOn w:val="Normal"/>
    <w:link w:val="CommentTextChar"/>
    <w:uiPriority w:val="99"/>
    <w:semiHidden/>
    <w:unhideWhenUsed/>
    <w:rsid w:val="00A57673"/>
    <w:pPr>
      <w:spacing w:line="240" w:lineRule="auto"/>
    </w:pPr>
    <w:rPr>
      <w:sz w:val="20"/>
      <w:szCs w:val="20"/>
    </w:rPr>
  </w:style>
  <w:style w:type="character" w:customStyle="1" w:styleId="CommentTextChar">
    <w:name w:val="Comment Text Char"/>
    <w:basedOn w:val="DefaultParagraphFont"/>
    <w:link w:val="CommentText"/>
    <w:uiPriority w:val="99"/>
    <w:semiHidden/>
    <w:rsid w:val="00A57673"/>
    <w:rPr>
      <w:sz w:val="20"/>
      <w:szCs w:val="20"/>
    </w:rPr>
  </w:style>
  <w:style w:type="paragraph" w:styleId="CommentSubject">
    <w:name w:val="annotation subject"/>
    <w:basedOn w:val="CommentText"/>
    <w:next w:val="CommentText"/>
    <w:link w:val="CommentSubjectChar"/>
    <w:uiPriority w:val="99"/>
    <w:semiHidden/>
    <w:unhideWhenUsed/>
    <w:rsid w:val="00A57673"/>
    <w:rPr>
      <w:b/>
      <w:bCs/>
    </w:rPr>
  </w:style>
  <w:style w:type="character" w:customStyle="1" w:styleId="CommentSubjectChar">
    <w:name w:val="Comment Subject Char"/>
    <w:basedOn w:val="CommentTextChar"/>
    <w:link w:val="CommentSubject"/>
    <w:uiPriority w:val="99"/>
    <w:semiHidden/>
    <w:rsid w:val="00A576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65938">
      <w:bodyDiv w:val="1"/>
      <w:marLeft w:val="0"/>
      <w:marRight w:val="0"/>
      <w:marTop w:val="0"/>
      <w:marBottom w:val="0"/>
      <w:divBdr>
        <w:top w:val="none" w:sz="0" w:space="0" w:color="auto"/>
        <w:left w:val="none" w:sz="0" w:space="0" w:color="auto"/>
        <w:bottom w:val="none" w:sz="0" w:space="0" w:color="auto"/>
        <w:right w:val="none" w:sz="0" w:space="0" w:color="auto"/>
      </w:divBdr>
      <w:divsChild>
        <w:div w:id="1230262111">
          <w:marLeft w:val="0"/>
          <w:marRight w:val="0"/>
          <w:marTop w:val="0"/>
          <w:marBottom w:val="0"/>
          <w:divBdr>
            <w:top w:val="none" w:sz="0" w:space="0" w:color="auto"/>
            <w:left w:val="none" w:sz="0" w:space="0" w:color="auto"/>
            <w:bottom w:val="none" w:sz="0" w:space="0" w:color="auto"/>
            <w:right w:val="none" w:sz="0" w:space="0" w:color="auto"/>
          </w:divBdr>
        </w:div>
        <w:div w:id="79955386">
          <w:marLeft w:val="0"/>
          <w:marRight w:val="0"/>
          <w:marTop w:val="0"/>
          <w:marBottom w:val="0"/>
          <w:divBdr>
            <w:top w:val="none" w:sz="0" w:space="0" w:color="auto"/>
            <w:left w:val="none" w:sz="0" w:space="0" w:color="auto"/>
            <w:bottom w:val="none" w:sz="0" w:space="0" w:color="auto"/>
            <w:right w:val="none" w:sz="0" w:space="0" w:color="auto"/>
          </w:divBdr>
          <w:divsChild>
            <w:div w:id="851459547">
              <w:marLeft w:val="-75"/>
              <w:marRight w:val="0"/>
              <w:marTop w:val="30"/>
              <w:marBottom w:val="30"/>
              <w:divBdr>
                <w:top w:val="none" w:sz="0" w:space="0" w:color="auto"/>
                <w:left w:val="none" w:sz="0" w:space="0" w:color="auto"/>
                <w:bottom w:val="none" w:sz="0" w:space="0" w:color="auto"/>
                <w:right w:val="none" w:sz="0" w:space="0" w:color="auto"/>
              </w:divBdr>
              <w:divsChild>
                <w:div w:id="278755134">
                  <w:marLeft w:val="0"/>
                  <w:marRight w:val="0"/>
                  <w:marTop w:val="0"/>
                  <w:marBottom w:val="0"/>
                  <w:divBdr>
                    <w:top w:val="none" w:sz="0" w:space="0" w:color="auto"/>
                    <w:left w:val="none" w:sz="0" w:space="0" w:color="auto"/>
                    <w:bottom w:val="none" w:sz="0" w:space="0" w:color="auto"/>
                    <w:right w:val="none" w:sz="0" w:space="0" w:color="auto"/>
                  </w:divBdr>
                  <w:divsChild>
                    <w:div w:id="111553780">
                      <w:marLeft w:val="0"/>
                      <w:marRight w:val="0"/>
                      <w:marTop w:val="0"/>
                      <w:marBottom w:val="0"/>
                      <w:divBdr>
                        <w:top w:val="none" w:sz="0" w:space="0" w:color="auto"/>
                        <w:left w:val="none" w:sz="0" w:space="0" w:color="auto"/>
                        <w:bottom w:val="none" w:sz="0" w:space="0" w:color="auto"/>
                        <w:right w:val="none" w:sz="0" w:space="0" w:color="auto"/>
                      </w:divBdr>
                    </w:div>
                  </w:divsChild>
                </w:div>
                <w:div w:id="526989993">
                  <w:marLeft w:val="0"/>
                  <w:marRight w:val="0"/>
                  <w:marTop w:val="0"/>
                  <w:marBottom w:val="0"/>
                  <w:divBdr>
                    <w:top w:val="none" w:sz="0" w:space="0" w:color="auto"/>
                    <w:left w:val="none" w:sz="0" w:space="0" w:color="auto"/>
                    <w:bottom w:val="none" w:sz="0" w:space="0" w:color="auto"/>
                    <w:right w:val="none" w:sz="0" w:space="0" w:color="auto"/>
                  </w:divBdr>
                  <w:divsChild>
                    <w:div w:id="1068530607">
                      <w:marLeft w:val="0"/>
                      <w:marRight w:val="0"/>
                      <w:marTop w:val="0"/>
                      <w:marBottom w:val="0"/>
                      <w:divBdr>
                        <w:top w:val="none" w:sz="0" w:space="0" w:color="auto"/>
                        <w:left w:val="none" w:sz="0" w:space="0" w:color="auto"/>
                        <w:bottom w:val="none" w:sz="0" w:space="0" w:color="auto"/>
                        <w:right w:val="none" w:sz="0" w:space="0" w:color="auto"/>
                      </w:divBdr>
                    </w:div>
                  </w:divsChild>
                </w:div>
                <w:div w:id="567884961">
                  <w:marLeft w:val="0"/>
                  <w:marRight w:val="0"/>
                  <w:marTop w:val="0"/>
                  <w:marBottom w:val="0"/>
                  <w:divBdr>
                    <w:top w:val="none" w:sz="0" w:space="0" w:color="auto"/>
                    <w:left w:val="none" w:sz="0" w:space="0" w:color="auto"/>
                    <w:bottom w:val="none" w:sz="0" w:space="0" w:color="auto"/>
                    <w:right w:val="none" w:sz="0" w:space="0" w:color="auto"/>
                  </w:divBdr>
                  <w:divsChild>
                    <w:div w:id="183249387">
                      <w:marLeft w:val="0"/>
                      <w:marRight w:val="0"/>
                      <w:marTop w:val="0"/>
                      <w:marBottom w:val="0"/>
                      <w:divBdr>
                        <w:top w:val="none" w:sz="0" w:space="0" w:color="auto"/>
                        <w:left w:val="none" w:sz="0" w:space="0" w:color="auto"/>
                        <w:bottom w:val="none" w:sz="0" w:space="0" w:color="auto"/>
                        <w:right w:val="none" w:sz="0" w:space="0" w:color="auto"/>
                      </w:divBdr>
                    </w:div>
                  </w:divsChild>
                </w:div>
                <w:div w:id="1207180909">
                  <w:marLeft w:val="0"/>
                  <w:marRight w:val="0"/>
                  <w:marTop w:val="0"/>
                  <w:marBottom w:val="0"/>
                  <w:divBdr>
                    <w:top w:val="none" w:sz="0" w:space="0" w:color="auto"/>
                    <w:left w:val="none" w:sz="0" w:space="0" w:color="auto"/>
                    <w:bottom w:val="none" w:sz="0" w:space="0" w:color="auto"/>
                    <w:right w:val="none" w:sz="0" w:space="0" w:color="auto"/>
                  </w:divBdr>
                  <w:divsChild>
                    <w:div w:id="275600822">
                      <w:marLeft w:val="0"/>
                      <w:marRight w:val="0"/>
                      <w:marTop w:val="0"/>
                      <w:marBottom w:val="0"/>
                      <w:divBdr>
                        <w:top w:val="none" w:sz="0" w:space="0" w:color="auto"/>
                        <w:left w:val="none" w:sz="0" w:space="0" w:color="auto"/>
                        <w:bottom w:val="none" w:sz="0" w:space="0" w:color="auto"/>
                        <w:right w:val="none" w:sz="0" w:space="0" w:color="auto"/>
                      </w:divBdr>
                    </w:div>
                  </w:divsChild>
                </w:div>
                <w:div w:id="1438407863">
                  <w:marLeft w:val="0"/>
                  <w:marRight w:val="0"/>
                  <w:marTop w:val="0"/>
                  <w:marBottom w:val="0"/>
                  <w:divBdr>
                    <w:top w:val="none" w:sz="0" w:space="0" w:color="auto"/>
                    <w:left w:val="none" w:sz="0" w:space="0" w:color="auto"/>
                    <w:bottom w:val="none" w:sz="0" w:space="0" w:color="auto"/>
                    <w:right w:val="none" w:sz="0" w:space="0" w:color="auto"/>
                  </w:divBdr>
                  <w:divsChild>
                    <w:div w:id="1132670094">
                      <w:marLeft w:val="0"/>
                      <w:marRight w:val="0"/>
                      <w:marTop w:val="0"/>
                      <w:marBottom w:val="0"/>
                      <w:divBdr>
                        <w:top w:val="none" w:sz="0" w:space="0" w:color="auto"/>
                        <w:left w:val="none" w:sz="0" w:space="0" w:color="auto"/>
                        <w:bottom w:val="none" w:sz="0" w:space="0" w:color="auto"/>
                        <w:right w:val="none" w:sz="0" w:space="0" w:color="auto"/>
                      </w:divBdr>
                    </w:div>
                  </w:divsChild>
                </w:div>
                <w:div w:id="1528520675">
                  <w:marLeft w:val="0"/>
                  <w:marRight w:val="0"/>
                  <w:marTop w:val="0"/>
                  <w:marBottom w:val="0"/>
                  <w:divBdr>
                    <w:top w:val="none" w:sz="0" w:space="0" w:color="auto"/>
                    <w:left w:val="none" w:sz="0" w:space="0" w:color="auto"/>
                    <w:bottom w:val="none" w:sz="0" w:space="0" w:color="auto"/>
                    <w:right w:val="none" w:sz="0" w:space="0" w:color="auto"/>
                  </w:divBdr>
                  <w:divsChild>
                    <w:div w:id="2050951374">
                      <w:marLeft w:val="0"/>
                      <w:marRight w:val="0"/>
                      <w:marTop w:val="0"/>
                      <w:marBottom w:val="0"/>
                      <w:divBdr>
                        <w:top w:val="none" w:sz="0" w:space="0" w:color="auto"/>
                        <w:left w:val="none" w:sz="0" w:space="0" w:color="auto"/>
                        <w:bottom w:val="none" w:sz="0" w:space="0" w:color="auto"/>
                        <w:right w:val="none" w:sz="0" w:space="0" w:color="auto"/>
                      </w:divBdr>
                    </w:div>
                  </w:divsChild>
                </w:div>
                <w:div w:id="590361360">
                  <w:marLeft w:val="0"/>
                  <w:marRight w:val="0"/>
                  <w:marTop w:val="0"/>
                  <w:marBottom w:val="0"/>
                  <w:divBdr>
                    <w:top w:val="none" w:sz="0" w:space="0" w:color="auto"/>
                    <w:left w:val="none" w:sz="0" w:space="0" w:color="auto"/>
                    <w:bottom w:val="none" w:sz="0" w:space="0" w:color="auto"/>
                    <w:right w:val="none" w:sz="0" w:space="0" w:color="auto"/>
                  </w:divBdr>
                  <w:divsChild>
                    <w:div w:id="450318993">
                      <w:marLeft w:val="0"/>
                      <w:marRight w:val="0"/>
                      <w:marTop w:val="0"/>
                      <w:marBottom w:val="0"/>
                      <w:divBdr>
                        <w:top w:val="none" w:sz="0" w:space="0" w:color="auto"/>
                        <w:left w:val="none" w:sz="0" w:space="0" w:color="auto"/>
                        <w:bottom w:val="none" w:sz="0" w:space="0" w:color="auto"/>
                        <w:right w:val="none" w:sz="0" w:space="0" w:color="auto"/>
                      </w:divBdr>
                    </w:div>
                  </w:divsChild>
                </w:div>
                <w:div w:id="408038177">
                  <w:marLeft w:val="0"/>
                  <w:marRight w:val="0"/>
                  <w:marTop w:val="0"/>
                  <w:marBottom w:val="0"/>
                  <w:divBdr>
                    <w:top w:val="none" w:sz="0" w:space="0" w:color="auto"/>
                    <w:left w:val="none" w:sz="0" w:space="0" w:color="auto"/>
                    <w:bottom w:val="none" w:sz="0" w:space="0" w:color="auto"/>
                    <w:right w:val="none" w:sz="0" w:space="0" w:color="auto"/>
                  </w:divBdr>
                  <w:divsChild>
                    <w:div w:id="1951547707">
                      <w:marLeft w:val="0"/>
                      <w:marRight w:val="0"/>
                      <w:marTop w:val="0"/>
                      <w:marBottom w:val="0"/>
                      <w:divBdr>
                        <w:top w:val="none" w:sz="0" w:space="0" w:color="auto"/>
                        <w:left w:val="none" w:sz="0" w:space="0" w:color="auto"/>
                        <w:bottom w:val="none" w:sz="0" w:space="0" w:color="auto"/>
                        <w:right w:val="none" w:sz="0" w:space="0" w:color="auto"/>
                      </w:divBdr>
                    </w:div>
                  </w:divsChild>
                </w:div>
                <w:div w:id="2135058528">
                  <w:marLeft w:val="0"/>
                  <w:marRight w:val="0"/>
                  <w:marTop w:val="0"/>
                  <w:marBottom w:val="0"/>
                  <w:divBdr>
                    <w:top w:val="none" w:sz="0" w:space="0" w:color="auto"/>
                    <w:left w:val="none" w:sz="0" w:space="0" w:color="auto"/>
                    <w:bottom w:val="none" w:sz="0" w:space="0" w:color="auto"/>
                    <w:right w:val="none" w:sz="0" w:space="0" w:color="auto"/>
                  </w:divBdr>
                  <w:divsChild>
                    <w:div w:id="911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2606">
          <w:marLeft w:val="0"/>
          <w:marRight w:val="0"/>
          <w:marTop w:val="0"/>
          <w:marBottom w:val="0"/>
          <w:divBdr>
            <w:top w:val="none" w:sz="0" w:space="0" w:color="auto"/>
            <w:left w:val="none" w:sz="0" w:space="0" w:color="auto"/>
            <w:bottom w:val="none" w:sz="0" w:space="0" w:color="auto"/>
            <w:right w:val="none" w:sz="0" w:space="0" w:color="auto"/>
          </w:divBdr>
        </w:div>
        <w:div w:id="309097173">
          <w:marLeft w:val="0"/>
          <w:marRight w:val="0"/>
          <w:marTop w:val="0"/>
          <w:marBottom w:val="0"/>
          <w:divBdr>
            <w:top w:val="none" w:sz="0" w:space="0" w:color="auto"/>
            <w:left w:val="none" w:sz="0" w:space="0" w:color="auto"/>
            <w:bottom w:val="none" w:sz="0" w:space="0" w:color="auto"/>
            <w:right w:val="none" w:sz="0" w:space="0" w:color="auto"/>
          </w:divBdr>
        </w:div>
        <w:div w:id="306132207">
          <w:marLeft w:val="0"/>
          <w:marRight w:val="0"/>
          <w:marTop w:val="0"/>
          <w:marBottom w:val="0"/>
          <w:divBdr>
            <w:top w:val="none" w:sz="0" w:space="0" w:color="auto"/>
            <w:left w:val="none" w:sz="0" w:space="0" w:color="auto"/>
            <w:bottom w:val="none" w:sz="0" w:space="0" w:color="auto"/>
            <w:right w:val="none" w:sz="0" w:space="0" w:color="auto"/>
          </w:divBdr>
        </w:div>
        <w:div w:id="1277256423">
          <w:marLeft w:val="0"/>
          <w:marRight w:val="0"/>
          <w:marTop w:val="0"/>
          <w:marBottom w:val="0"/>
          <w:divBdr>
            <w:top w:val="none" w:sz="0" w:space="0" w:color="auto"/>
            <w:left w:val="none" w:sz="0" w:space="0" w:color="auto"/>
            <w:bottom w:val="none" w:sz="0" w:space="0" w:color="auto"/>
            <w:right w:val="none" w:sz="0" w:space="0" w:color="auto"/>
          </w:divBdr>
        </w:div>
        <w:div w:id="1626230376">
          <w:marLeft w:val="0"/>
          <w:marRight w:val="0"/>
          <w:marTop w:val="0"/>
          <w:marBottom w:val="0"/>
          <w:divBdr>
            <w:top w:val="none" w:sz="0" w:space="0" w:color="auto"/>
            <w:left w:val="none" w:sz="0" w:space="0" w:color="auto"/>
            <w:bottom w:val="none" w:sz="0" w:space="0" w:color="auto"/>
            <w:right w:val="none" w:sz="0" w:space="0" w:color="auto"/>
          </w:divBdr>
        </w:div>
        <w:div w:id="76482398">
          <w:marLeft w:val="0"/>
          <w:marRight w:val="0"/>
          <w:marTop w:val="0"/>
          <w:marBottom w:val="0"/>
          <w:divBdr>
            <w:top w:val="none" w:sz="0" w:space="0" w:color="auto"/>
            <w:left w:val="none" w:sz="0" w:space="0" w:color="auto"/>
            <w:bottom w:val="none" w:sz="0" w:space="0" w:color="auto"/>
            <w:right w:val="none" w:sz="0" w:space="0" w:color="auto"/>
          </w:divBdr>
        </w:div>
        <w:div w:id="559945926">
          <w:marLeft w:val="0"/>
          <w:marRight w:val="0"/>
          <w:marTop w:val="0"/>
          <w:marBottom w:val="0"/>
          <w:divBdr>
            <w:top w:val="none" w:sz="0" w:space="0" w:color="auto"/>
            <w:left w:val="none" w:sz="0" w:space="0" w:color="auto"/>
            <w:bottom w:val="none" w:sz="0" w:space="0" w:color="auto"/>
            <w:right w:val="none" w:sz="0" w:space="0" w:color="auto"/>
          </w:divBdr>
        </w:div>
        <w:div w:id="18167827">
          <w:marLeft w:val="0"/>
          <w:marRight w:val="0"/>
          <w:marTop w:val="0"/>
          <w:marBottom w:val="0"/>
          <w:divBdr>
            <w:top w:val="none" w:sz="0" w:space="0" w:color="auto"/>
            <w:left w:val="none" w:sz="0" w:space="0" w:color="auto"/>
            <w:bottom w:val="none" w:sz="0" w:space="0" w:color="auto"/>
            <w:right w:val="none" w:sz="0" w:space="0" w:color="auto"/>
          </w:divBdr>
        </w:div>
        <w:div w:id="1251624364">
          <w:marLeft w:val="0"/>
          <w:marRight w:val="0"/>
          <w:marTop w:val="0"/>
          <w:marBottom w:val="0"/>
          <w:divBdr>
            <w:top w:val="none" w:sz="0" w:space="0" w:color="auto"/>
            <w:left w:val="none" w:sz="0" w:space="0" w:color="auto"/>
            <w:bottom w:val="none" w:sz="0" w:space="0" w:color="auto"/>
            <w:right w:val="none" w:sz="0" w:space="0" w:color="auto"/>
          </w:divBdr>
        </w:div>
        <w:div w:id="387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F1E71C55F4D45A660D1BF19BECE42" ma:contentTypeVersion="10" ma:contentTypeDescription="Create a new document." ma:contentTypeScope="" ma:versionID="8d12740dda807e44dfe88ea29cabf3a1">
  <xsd:schema xmlns:xsd="http://www.w3.org/2001/XMLSchema" xmlns:xs="http://www.w3.org/2001/XMLSchema" xmlns:p="http://schemas.microsoft.com/office/2006/metadata/properties" xmlns:ns2="d01ac317-069f-42da-afbb-d1be01e59ec8" xmlns:ns3="0380d534-0013-429c-a952-9f22486f0a8a" targetNamespace="http://schemas.microsoft.com/office/2006/metadata/properties" ma:root="true" ma:fieldsID="d795ec257ef672e6b76a3b2ae0d80b8f" ns2:_="" ns3:_="">
    <xsd:import namespace="d01ac317-069f-42da-afbb-d1be01e59ec8"/>
    <xsd:import namespace="0380d534-0013-429c-a952-9f22486f0a8a"/>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ac317-069f-42da-afbb-d1be01e5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0d534-0013-429c-a952-9f22486f0a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2A0BB-85BE-4B18-A5AE-19D9D2C45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373A0-362C-418F-AC7E-DEC96540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ac317-069f-42da-afbb-d1be01e59ec8"/>
    <ds:schemaRef ds:uri="0380d534-0013-429c-a952-9f22486f0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E5CB6-9851-49FA-98DF-B166E047E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3734</Characters>
  <Application>Microsoft Office Word</Application>
  <DocSecurity>0</DocSecurity>
  <Lines>31</Lines>
  <Paragraphs>8</Paragraphs>
  <ScaleCrop>false</ScaleCrop>
  <Company>Centers for Disease Control and Prevention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Gindler, Jacqueline (CDC/DDPHSS/CSELS/OD)</dc:creator>
  <cp:keywords/>
  <dc:description/>
  <cp:lastModifiedBy>Payne, Amanda (CDC/DDNID/NCBDDD/DBD)</cp:lastModifiedBy>
  <cp:revision>3</cp:revision>
  <dcterms:created xsi:type="dcterms:W3CDTF">2022-12-05T20:15:00Z</dcterms:created>
  <dcterms:modified xsi:type="dcterms:W3CDTF">2022-12-05T20:16:00Z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2022-11-16T21:00:04Z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d4c5ef08-c63e-486c-a66b-ab231a87723d</vt:lpwstr>
  </property>
  <property fmtid="{D5CDD505-2E9C-101B-9397-08002B2CF9AE}" pid="8" name="MSIP_Label_7b94a7b8-f06c-4dfe-bdcc-9b548fd58c31_ContentBits">
    <vt:lpwstr>0</vt:lpwstr>
  </property>
  <property fmtid="{D5CDD505-2E9C-101B-9397-08002B2CF9AE}" pid="9" name="ContentTypeId">
    <vt:lpwstr>0x01010077DD206687D18A44859B53D4A6E9B0B2</vt:lpwstr>
  </property>
  <property fmtid="{D5CDD505-2E9C-101B-9397-08002B2CF9AE}" pid="10" name="MediaServiceImageTags">
    <vt:lpwstr/>
  </property>
</Properties>
</file>