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673B" w14:textId="24DF44CE" w:rsidR="00703F93" w:rsidRDefault="00703F93" w:rsidP="00703F93">
      <w:pPr>
        <w:spacing w:after="0"/>
        <w:rPr>
          <w:b/>
        </w:rPr>
      </w:pPr>
      <w:bookmarkStart w:id="0" w:name="_Hlk34729776"/>
      <w:r>
        <w:rPr>
          <w:b/>
        </w:rPr>
        <w:t>Supplementary Table S2</w:t>
      </w:r>
      <w:bookmarkEnd w:id="0"/>
      <w:r>
        <w:rPr>
          <w:b/>
        </w:rPr>
        <w:t xml:space="preserve">. </w:t>
      </w:r>
      <w:proofErr w:type="spellStart"/>
      <w:r w:rsidRPr="005924BD">
        <w:rPr>
          <w:b/>
        </w:rPr>
        <w:t>A</w:t>
      </w:r>
      <w:r>
        <w:rPr>
          <w:b/>
        </w:rPr>
        <w:t>djusted</w:t>
      </w:r>
      <w:r w:rsidRPr="00363858">
        <w:rPr>
          <w:rFonts w:eastAsia="Times New Roman" w:cstheme="minorHAnsi"/>
          <w:vertAlign w:val="superscript"/>
        </w:rPr>
        <w:t>a</w:t>
      </w:r>
      <w:proofErr w:type="spellEnd"/>
      <w:r>
        <w:rPr>
          <w:b/>
        </w:rPr>
        <w:t xml:space="preserve"> </w:t>
      </w:r>
      <w:r w:rsidRPr="000D0F13">
        <w:rPr>
          <w:b/>
        </w:rPr>
        <w:t xml:space="preserve">associations of current </w:t>
      </w:r>
      <w:r>
        <w:rPr>
          <w:b/>
        </w:rPr>
        <w:t xml:space="preserve">and former </w:t>
      </w:r>
      <w:r w:rsidR="00740C0A">
        <w:rPr>
          <w:b/>
        </w:rPr>
        <w:t xml:space="preserve">cigarette </w:t>
      </w:r>
      <w:r w:rsidRPr="000D0F13">
        <w:rPr>
          <w:b/>
        </w:rPr>
        <w:t>smoking and</w:t>
      </w:r>
      <w:r>
        <w:rPr>
          <w:b/>
        </w:rPr>
        <w:t xml:space="preserve"> </w:t>
      </w:r>
      <w:r w:rsidRPr="005924BD">
        <w:rPr>
          <w:b/>
        </w:rPr>
        <w:t>demographic factors with kidney cancer histology</w:t>
      </w:r>
      <w:r>
        <w:rPr>
          <w:b/>
        </w:rPr>
        <w:t xml:space="preserve">, using </w:t>
      </w:r>
      <w:r w:rsidRPr="00703F93">
        <w:rPr>
          <w:b/>
        </w:rPr>
        <w:t>multilevel log-binomial models to account for potential clustering of patient sociodemographic characteristics within a state</w:t>
      </w:r>
      <w:r w:rsidR="00740C0A">
        <w:rPr>
          <w:b/>
        </w:rPr>
        <w:t>. D</w:t>
      </w:r>
      <w:r>
        <w:rPr>
          <w:b/>
        </w:rPr>
        <w:t xml:space="preserve">ata only from year &amp; registry combinations with </w:t>
      </w:r>
      <w:r w:rsidR="00740C0A">
        <w:rPr>
          <w:b/>
          <w:bCs/>
        </w:rPr>
        <w:t xml:space="preserve">&gt;=75% completeness of </w:t>
      </w:r>
      <w:r w:rsidRPr="006161A0">
        <w:rPr>
          <w:b/>
        </w:rPr>
        <w:t>cigarette smoking data</w:t>
      </w:r>
      <w:r>
        <w:rPr>
          <w:b/>
        </w:rPr>
        <w:t>.</w:t>
      </w:r>
    </w:p>
    <w:p w14:paraId="71012699" w14:textId="77777777" w:rsidR="00703F93" w:rsidRPr="00703F93" w:rsidRDefault="00703F93" w:rsidP="000502EB">
      <w:pPr>
        <w:spacing w:after="0"/>
        <w:rPr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84"/>
        <w:gridCol w:w="2901"/>
        <w:gridCol w:w="2970"/>
        <w:gridCol w:w="1800"/>
      </w:tblGrid>
      <w:tr w:rsidR="006F42B5" w:rsidRPr="005B7525" w14:paraId="16256EA5" w14:textId="77777777" w:rsidTr="0062308F">
        <w:tc>
          <w:tcPr>
            <w:tcW w:w="1684" w:type="dxa"/>
          </w:tcPr>
          <w:p w14:paraId="76347C8D" w14:textId="77777777" w:rsidR="006F42B5" w:rsidRPr="005B7525" w:rsidRDefault="006F42B5" w:rsidP="006F42B5">
            <w:pPr>
              <w:spacing w:after="0"/>
            </w:pPr>
          </w:p>
        </w:tc>
        <w:tc>
          <w:tcPr>
            <w:tcW w:w="7671" w:type="dxa"/>
            <w:gridSpan w:val="3"/>
          </w:tcPr>
          <w:p w14:paraId="569B1299" w14:textId="77777777" w:rsidR="006F42B5" w:rsidRPr="005B7525" w:rsidRDefault="006F42B5" w:rsidP="006F42B5">
            <w:pPr>
              <w:spacing w:after="0"/>
            </w:pPr>
            <w:r>
              <w:rPr>
                <w:b/>
              </w:rPr>
              <w:t xml:space="preserve">Multilevel </w:t>
            </w:r>
            <w:proofErr w:type="spellStart"/>
            <w:r w:rsidRPr="000D6BE9">
              <w:rPr>
                <w:b/>
              </w:rPr>
              <w:t>Adjusted</w:t>
            </w:r>
            <w:r w:rsidRPr="00363858">
              <w:rPr>
                <w:rFonts w:eastAsia="Times New Roman" w:cstheme="minorHAnsi"/>
                <w:vertAlign w:val="superscript"/>
              </w:rPr>
              <w:t>a</w:t>
            </w:r>
            <w:proofErr w:type="spellEnd"/>
            <w:r w:rsidRPr="000D6BE9">
              <w:rPr>
                <w:b/>
              </w:rPr>
              <w:t xml:space="preserve"> </w:t>
            </w:r>
            <w:r>
              <w:rPr>
                <w:b/>
              </w:rPr>
              <w:t xml:space="preserve">Prevalence </w:t>
            </w:r>
            <w:r w:rsidRPr="000D6BE9">
              <w:rPr>
                <w:b/>
              </w:rPr>
              <w:t>Ratio</w:t>
            </w:r>
            <w:r>
              <w:rPr>
                <w:b/>
              </w:rPr>
              <w:t xml:space="preserve"> Relative to Clear </w:t>
            </w:r>
            <w:proofErr w:type="spellStart"/>
            <w:r>
              <w:rPr>
                <w:b/>
              </w:rPr>
              <w:t>Cell</w:t>
            </w:r>
            <w:r>
              <w:rPr>
                <w:rFonts w:eastAsia="Times New Roman" w:cstheme="minorHAnsi"/>
                <w:vertAlign w:val="superscript"/>
              </w:rPr>
              <w:t>b</w:t>
            </w:r>
            <w:proofErr w:type="spellEnd"/>
            <w:r w:rsidRPr="000D6BE9">
              <w:rPr>
                <w:b/>
              </w:rPr>
              <w:t xml:space="preserve"> (95% Confidence Interval) [</w:t>
            </w:r>
            <w:r w:rsidRPr="000D6BE9">
              <w:rPr>
                <w:b/>
                <w:i/>
              </w:rPr>
              <w:t>P</w:t>
            </w:r>
            <w:r w:rsidRPr="000D6BE9">
              <w:rPr>
                <w:b/>
              </w:rPr>
              <w:t>-value]</w:t>
            </w:r>
          </w:p>
        </w:tc>
      </w:tr>
      <w:tr w:rsidR="006F42B5" w:rsidRPr="005B7525" w14:paraId="54E59380" w14:textId="77777777" w:rsidTr="0062308F">
        <w:tc>
          <w:tcPr>
            <w:tcW w:w="1684" w:type="dxa"/>
          </w:tcPr>
          <w:p w14:paraId="35127B78" w14:textId="77777777" w:rsidR="006F42B5" w:rsidRPr="005B7525" w:rsidRDefault="006F42B5" w:rsidP="006F42B5">
            <w:pPr>
              <w:spacing w:after="0"/>
            </w:pPr>
            <w:r>
              <w:rPr>
                <w:b/>
                <w:bCs/>
              </w:rPr>
              <w:t>Histology</w:t>
            </w:r>
            <w:r>
              <w:rPr>
                <w:rFonts w:eastAsia="Times New Roman" w:cstheme="minorHAnsi"/>
                <w:vertAlign w:val="superscript"/>
              </w:rPr>
              <w:t xml:space="preserve"> c</w:t>
            </w:r>
          </w:p>
        </w:tc>
        <w:tc>
          <w:tcPr>
            <w:tcW w:w="2901" w:type="dxa"/>
          </w:tcPr>
          <w:p w14:paraId="21178808" w14:textId="77777777" w:rsidR="006F42B5" w:rsidRPr="005B7525" w:rsidRDefault="006F42B5" w:rsidP="006F42B5">
            <w:pPr>
              <w:spacing w:after="0"/>
            </w:pPr>
            <w:r>
              <w:rPr>
                <w:b/>
              </w:rPr>
              <w:t>Current cigarette smokers</w:t>
            </w:r>
          </w:p>
        </w:tc>
        <w:tc>
          <w:tcPr>
            <w:tcW w:w="2970" w:type="dxa"/>
          </w:tcPr>
          <w:p w14:paraId="1ECA61CA" w14:textId="77777777" w:rsidR="006F42B5" w:rsidRDefault="006F42B5" w:rsidP="006F42B5">
            <w:pPr>
              <w:spacing w:after="0"/>
            </w:pPr>
            <w:r>
              <w:rPr>
                <w:b/>
              </w:rPr>
              <w:t>Former cigarette smokers</w:t>
            </w:r>
          </w:p>
        </w:tc>
        <w:tc>
          <w:tcPr>
            <w:tcW w:w="1800" w:type="dxa"/>
          </w:tcPr>
          <w:p w14:paraId="551655C7" w14:textId="77777777" w:rsidR="006F42B5" w:rsidRPr="005B7525" w:rsidRDefault="006F42B5" w:rsidP="006F42B5">
            <w:pPr>
              <w:spacing w:after="0"/>
            </w:pPr>
            <w:r>
              <w:rPr>
                <w:b/>
              </w:rPr>
              <w:t>Never smokers</w:t>
            </w:r>
          </w:p>
        </w:tc>
      </w:tr>
      <w:tr w:rsidR="006F42B5" w14:paraId="2294CC88" w14:textId="77777777" w:rsidTr="0062308F">
        <w:tc>
          <w:tcPr>
            <w:tcW w:w="1684" w:type="dxa"/>
          </w:tcPr>
          <w:p w14:paraId="06587809" w14:textId="77777777" w:rsidR="006F42B5" w:rsidRDefault="006F42B5" w:rsidP="006F42B5">
            <w:pPr>
              <w:spacing w:after="0"/>
            </w:pPr>
            <w:r w:rsidRPr="0065455E">
              <w:rPr>
                <w:b/>
              </w:rPr>
              <w:t>Papillary</w:t>
            </w:r>
          </w:p>
        </w:tc>
        <w:tc>
          <w:tcPr>
            <w:tcW w:w="2901" w:type="dxa"/>
          </w:tcPr>
          <w:p w14:paraId="0B019F47" w14:textId="77777777" w:rsidR="006F42B5" w:rsidRDefault="006F42B5" w:rsidP="006F42B5">
            <w:pPr>
              <w:spacing w:after="0"/>
            </w:pPr>
            <w:r>
              <w:t>1.12 (1.05, 1.20) [0.001]</w:t>
            </w:r>
          </w:p>
        </w:tc>
        <w:tc>
          <w:tcPr>
            <w:tcW w:w="2970" w:type="dxa"/>
          </w:tcPr>
          <w:p w14:paraId="58482E80" w14:textId="77777777" w:rsidR="006F42B5" w:rsidRDefault="006F42B5" w:rsidP="006F42B5">
            <w:pPr>
              <w:spacing w:after="0"/>
            </w:pPr>
            <w:r>
              <w:t>0.96 (0.93, 1.00) [0.048]</w:t>
            </w:r>
          </w:p>
        </w:tc>
        <w:tc>
          <w:tcPr>
            <w:tcW w:w="1800" w:type="dxa"/>
          </w:tcPr>
          <w:p w14:paraId="642CB7D2" w14:textId="77777777" w:rsidR="006F42B5" w:rsidRDefault="006F42B5" w:rsidP="006F42B5">
            <w:pPr>
              <w:spacing w:after="0"/>
            </w:pPr>
            <w:r w:rsidRPr="005B7525">
              <w:t>Referent</w:t>
            </w:r>
          </w:p>
        </w:tc>
      </w:tr>
      <w:tr w:rsidR="006F42B5" w14:paraId="31FE014E" w14:textId="77777777" w:rsidTr="0062308F">
        <w:tc>
          <w:tcPr>
            <w:tcW w:w="1684" w:type="dxa"/>
          </w:tcPr>
          <w:p w14:paraId="41773DB2" w14:textId="77777777" w:rsidR="006F42B5" w:rsidRDefault="006F42B5" w:rsidP="006F42B5">
            <w:pPr>
              <w:spacing w:after="0"/>
            </w:pPr>
            <w:r w:rsidRPr="0065455E">
              <w:rPr>
                <w:b/>
              </w:rPr>
              <w:t>Chromophobe</w:t>
            </w:r>
          </w:p>
        </w:tc>
        <w:tc>
          <w:tcPr>
            <w:tcW w:w="2901" w:type="dxa"/>
          </w:tcPr>
          <w:p w14:paraId="1686A9A9" w14:textId="77777777" w:rsidR="006F42B5" w:rsidRDefault="006F42B5" w:rsidP="006F42B5">
            <w:pPr>
              <w:spacing w:after="0"/>
            </w:pPr>
            <w:r>
              <w:t>0.58 (0.49, 0.69) [&lt;0.001]</w:t>
            </w:r>
          </w:p>
        </w:tc>
        <w:tc>
          <w:tcPr>
            <w:tcW w:w="2970" w:type="dxa"/>
          </w:tcPr>
          <w:p w14:paraId="4727839F" w14:textId="77777777" w:rsidR="006F42B5" w:rsidRDefault="006F42B5" w:rsidP="006F42B5">
            <w:pPr>
              <w:spacing w:after="0"/>
            </w:pPr>
            <w:r>
              <w:t>0.87 (0.83, 0.91) [&lt;0.001]</w:t>
            </w:r>
          </w:p>
        </w:tc>
        <w:tc>
          <w:tcPr>
            <w:tcW w:w="1800" w:type="dxa"/>
          </w:tcPr>
          <w:p w14:paraId="51F152B0" w14:textId="77777777" w:rsidR="006F42B5" w:rsidRDefault="006F42B5" w:rsidP="006F42B5">
            <w:pPr>
              <w:spacing w:after="0"/>
            </w:pPr>
            <w:r w:rsidRPr="005B7525">
              <w:t>Referent</w:t>
            </w:r>
          </w:p>
        </w:tc>
      </w:tr>
      <w:tr w:rsidR="006F42B5" w:rsidRPr="005B7525" w14:paraId="735EF852" w14:textId="77777777" w:rsidTr="0062308F">
        <w:tc>
          <w:tcPr>
            <w:tcW w:w="1684" w:type="dxa"/>
          </w:tcPr>
          <w:p w14:paraId="7884DF3B" w14:textId="77777777" w:rsidR="006F42B5" w:rsidRPr="005B7525" w:rsidRDefault="006F42B5" w:rsidP="006F42B5">
            <w:pPr>
              <w:spacing w:after="0"/>
            </w:pPr>
            <w:r w:rsidRPr="0065455E">
              <w:rPr>
                <w:b/>
              </w:rPr>
              <w:t>Cyst-associated</w:t>
            </w:r>
          </w:p>
        </w:tc>
        <w:tc>
          <w:tcPr>
            <w:tcW w:w="2901" w:type="dxa"/>
          </w:tcPr>
          <w:p w14:paraId="1C74C8BB" w14:textId="77777777" w:rsidR="006F42B5" w:rsidRPr="005B7525" w:rsidRDefault="006F42B5" w:rsidP="006F42B5">
            <w:pPr>
              <w:spacing w:after="0"/>
            </w:pPr>
            <w:r>
              <w:t>1.15 (0.73, 1.81) [0.556]</w:t>
            </w:r>
          </w:p>
        </w:tc>
        <w:tc>
          <w:tcPr>
            <w:tcW w:w="2970" w:type="dxa"/>
          </w:tcPr>
          <w:p w14:paraId="47456FCC" w14:textId="77777777" w:rsidR="006F42B5" w:rsidRPr="005B7525" w:rsidRDefault="006F42B5" w:rsidP="006F42B5">
            <w:pPr>
              <w:spacing w:after="0"/>
            </w:pPr>
            <w:r>
              <w:t>0.98 (0.80, 1.19) [0.804]</w:t>
            </w:r>
          </w:p>
        </w:tc>
        <w:tc>
          <w:tcPr>
            <w:tcW w:w="1800" w:type="dxa"/>
          </w:tcPr>
          <w:p w14:paraId="4DDEB1FC" w14:textId="77777777" w:rsidR="006F42B5" w:rsidRPr="005B7525" w:rsidRDefault="006F42B5" w:rsidP="006F42B5">
            <w:pPr>
              <w:spacing w:after="0"/>
            </w:pPr>
            <w:r w:rsidRPr="005B7525">
              <w:t>Referent</w:t>
            </w:r>
          </w:p>
        </w:tc>
      </w:tr>
      <w:tr w:rsidR="006F42B5" w:rsidRPr="005B7525" w14:paraId="6CF80312" w14:textId="77777777" w:rsidTr="0062308F">
        <w:tc>
          <w:tcPr>
            <w:tcW w:w="1684" w:type="dxa"/>
          </w:tcPr>
          <w:p w14:paraId="1D695196" w14:textId="77777777" w:rsidR="006F42B5" w:rsidRPr="005B7525" w:rsidRDefault="006F42B5" w:rsidP="006F42B5">
            <w:pPr>
              <w:spacing w:after="0"/>
            </w:pPr>
            <w:bookmarkStart w:id="1" w:name="_Hlk34304267"/>
            <w:r w:rsidRPr="0065455E">
              <w:rPr>
                <w:b/>
              </w:rPr>
              <w:t>Collecting duct/medullary</w:t>
            </w:r>
            <w:bookmarkEnd w:id="1"/>
          </w:p>
        </w:tc>
        <w:tc>
          <w:tcPr>
            <w:tcW w:w="2901" w:type="dxa"/>
          </w:tcPr>
          <w:p w14:paraId="6C6B9B44" w14:textId="77777777" w:rsidR="006F42B5" w:rsidRPr="005B7525" w:rsidRDefault="006F42B5" w:rsidP="006F42B5">
            <w:pPr>
              <w:spacing w:after="0"/>
            </w:pPr>
            <w:r>
              <w:t>1.14 (0.83, 1.73) [0.723]</w:t>
            </w:r>
          </w:p>
        </w:tc>
        <w:tc>
          <w:tcPr>
            <w:tcW w:w="2970" w:type="dxa"/>
          </w:tcPr>
          <w:p w14:paraId="77306D3F" w14:textId="77777777" w:rsidR="006F42B5" w:rsidRPr="005B7525" w:rsidRDefault="006F42B5" w:rsidP="006F42B5">
            <w:pPr>
              <w:spacing w:after="0"/>
            </w:pPr>
            <w:r>
              <w:t>1.25 (1.00, 1.55) [0.050]</w:t>
            </w:r>
          </w:p>
        </w:tc>
        <w:tc>
          <w:tcPr>
            <w:tcW w:w="1800" w:type="dxa"/>
          </w:tcPr>
          <w:p w14:paraId="17DBF94F" w14:textId="77777777" w:rsidR="006F42B5" w:rsidRPr="005B7525" w:rsidRDefault="006F42B5" w:rsidP="006F42B5">
            <w:pPr>
              <w:spacing w:after="0"/>
            </w:pPr>
            <w:r w:rsidRPr="005B7525">
              <w:t>Referent</w:t>
            </w:r>
          </w:p>
        </w:tc>
      </w:tr>
      <w:tr w:rsidR="006F42B5" w:rsidRPr="005B7525" w14:paraId="7905B163" w14:textId="77777777" w:rsidTr="0062308F">
        <w:tc>
          <w:tcPr>
            <w:tcW w:w="1684" w:type="dxa"/>
          </w:tcPr>
          <w:p w14:paraId="019AAC4C" w14:textId="77777777" w:rsidR="006F42B5" w:rsidRPr="005B7525" w:rsidRDefault="006F42B5" w:rsidP="006F42B5">
            <w:pPr>
              <w:spacing w:after="0"/>
            </w:pPr>
            <w:r>
              <w:rPr>
                <w:b/>
              </w:rPr>
              <w:t>Unclassified</w:t>
            </w:r>
          </w:p>
        </w:tc>
        <w:tc>
          <w:tcPr>
            <w:tcW w:w="2901" w:type="dxa"/>
          </w:tcPr>
          <w:p w14:paraId="25D0A2AC" w14:textId="77777777" w:rsidR="006F42B5" w:rsidRPr="005B7525" w:rsidRDefault="006F42B5" w:rsidP="006F42B5">
            <w:pPr>
              <w:spacing w:after="0"/>
            </w:pPr>
            <w:r>
              <w:t>1.12 (1.09, 1.16) [0.001]</w:t>
            </w:r>
          </w:p>
        </w:tc>
        <w:tc>
          <w:tcPr>
            <w:tcW w:w="2970" w:type="dxa"/>
          </w:tcPr>
          <w:p w14:paraId="4FFD69C4" w14:textId="77777777" w:rsidR="006F42B5" w:rsidRPr="005B7525" w:rsidRDefault="006F42B5" w:rsidP="006F42B5">
            <w:pPr>
              <w:spacing w:after="0"/>
            </w:pPr>
            <w:r>
              <w:t>0.94 (0.92, 0.96) [&lt;0.001]</w:t>
            </w:r>
          </w:p>
        </w:tc>
        <w:tc>
          <w:tcPr>
            <w:tcW w:w="1800" w:type="dxa"/>
          </w:tcPr>
          <w:p w14:paraId="47CF5BE8" w14:textId="77777777" w:rsidR="006F42B5" w:rsidRPr="005B7525" w:rsidRDefault="006F42B5" w:rsidP="006F42B5">
            <w:pPr>
              <w:spacing w:after="0"/>
            </w:pPr>
            <w:r w:rsidRPr="005B7525">
              <w:t>Referent</w:t>
            </w:r>
          </w:p>
        </w:tc>
      </w:tr>
    </w:tbl>
    <w:p w14:paraId="6A73288F" w14:textId="77777777" w:rsidR="006F42B5" w:rsidRDefault="006F42B5" w:rsidP="006F42B5">
      <w:pPr>
        <w:spacing w:after="0"/>
      </w:pPr>
    </w:p>
    <w:p w14:paraId="3A147BEE" w14:textId="332FE3D7" w:rsidR="006F42B5" w:rsidRDefault="006F42B5" w:rsidP="006F42B5">
      <w:pPr>
        <w:spacing w:after="0"/>
      </w:pPr>
      <w:bookmarkStart w:id="2" w:name="_Hlk33707890"/>
      <w:proofErr w:type="spellStart"/>
      <w:proofErr w:type="gramStart"/>
      <w:r w:rsidRPr="00363858">
        <w:rPr>
          <w:rFonts w:eastAsia="Times New Roman" w:cstheme="minorHAnsi"/>
          <w:vertAlign w:val="superscript"/>
        </w:rPr>
        <w:t>a</w:t>
      </w:r>
      <w:proofErr w:type="spellEnd"/>
      <w:proofErr w:type="gramEnd"/>
      <w:r>
        <w:t xml:space="preserve"> Adjusted for age, sex, and race/ethnicity.</w:t>
      </w:r>
      <w:bookmarkStart w:id="3" w:name="_Hlk33708331"/>
      <w:r>
        <w:t xml:space="preserve"> </w:t>
      </w:r>
      <w:r>
        <w:rPr>
          <w:rFonts w:eastAsia="Times New Roman" w:cstheme="minorHAnsi"/>
          <w:vertAlign w:val="superscript"/>
        </w:rPr>
        <w:t>b</w:t>
      </w:r>
      <w:r w:rsidRPr="000D6BE9">
        <w:rPr>
          <w:b/>
        </w:rPr>
        <w:t xml:space="preserve"> </w:t>
      </w:r>
      <w:r w:rsidRPr="0062308F">
        <w:rPr>
          <w:bCs/>
        </w:rPr>
        <w:t xml:space="preserve">Clear </w:t>
      </w:r>
      <w:r>
        <w:rPr>
          <w:bCs/>
        </w:rPr>
        <w:t xml:space="preserve">cell </w:t>
      </w:r>
      <w:r w:rsidR="00740C0A">
        <w:rPr>
          <w:bCs/>
        </w:rPr>
        <w:t xml:space="preserve">RCC </w:t>
      </w:r>
      <w:r>
        <w:rPr>
          <w:bCs/>
        </w:rPr>
        <w:t>was chosen as the referent histological category because it is the most common.</w:t>
      </w:r>
      <w:bookmarkEnd w:id="3"/>
      <w:r>
        <w:rPr>
          <w:bCs/>
        </w:rPr>
        <w:t xml:space="preserve"> </w:t>
      </w:r>
      <w:bookmarkStart w:id="4" w:name="_Hlk33709472"/>
      <w:r>
        <w:rPr>
          <w:rFonts w:eastAsia="Times New Roman" w:cstheme="minorHAnsi"/>
          <w:vertAlign w:val="superscript"/>
        </w:rPr>
        <w:t>c</w:t>
      </w:r>
      <w:r w:rsidRPr="000D6BE9">
        <w:rPr>
          <w:b/>
        </w:rPr>
        <w:t xml:space="preserve"> </w:t>
      </w:r>
      <w:r>
        <w:rPr>
          <w:bCs/>
        </w:rPr>
        <w:t xml:space="preserve">This table contains results from individual models for </w:t>
      </w:r>
      <w:proofErr w:type="spellStart"/>
      <w:r>
        <w:rPr>
          <w:bCs/>
        </w:rPr>
        <w:t>papillary</w:t>
      </w:r>
      <w:r w:rsidR="00740C0A">
        <w:rPr>
          <w:bCs/>
        </w:rPr>
        <w:t>RCC</w:t>
      </w:r>
      <w:proofErr w:type="spellEnd"/>
      <w:r>
        <w:rPr>
          <w:bCs/>
        </w:rPr>
        <w:t>, chromophobe</w:t>
      </w:r>
      <w:r w:rsidR="00740C0A">
        <w:rPr>
          <w:bCs/>
        </w:rPr>
        <w:t xml:space="preserve"> RCC</w:t>
      </w:r>
      <w:r>
        <w:rPr>
          <w:bCs/>
        </w:rPr>
        <w:t xml:space="preserve">, </w:t>
      </w:r>
      <w:proofErr w:type="gramStart"/>
      <w:r>
        <w:rPr>
          <w:bCs/>
        </w:rPr>
        <w:t>cyst-associated</w:t>
      </w:r>
      <w:proofErr w:type="gramEnd"/>
      <w:r w:rsidR="00740C0A">
        <w:rPr>
          <w:bCs/>
        </w:rPr>
        <w:t xml:space="preserve"> RCC</w:t>
      </w:r>
      <w:r>
        <w:rPr>
          <w:bCs/>
        </w:rPr>
        <w:t>, collecting duct/medullary</w:t>
      </w:r>
      <w:r w:rsidR="00740C0A">
        <w:rPr>
          <w:bCs/>
        </w:rPr>
        <w:t xml:space="preserve"> carcinoma</w:t>
      </w:r>
      <w:r>
        <w:rPr>
          <w:bCs/>
        </w:rPr>
        <w:t xml:space="preserve">, and unclassified </w:t>
      </w:r>
      <w:r w:rsidR="00740C0A">
        <w:rPr>
          <w:bCs/>
        </w:rPr>
        <w:t>RCC</w:t>
      </w:r>
      <w:r>
        <w:rPr>
          <w:bCs/>
        </w:rPr>
        <w:t xml:space="preserve">. </w:t>
      </w:r>
      <w:bookmarkEnd w:id="4"/>
    </w:p>
    <w:bookmarkEnd w:id="2"/>
    <w:p w14:paraId="436DDC29" w14:textId="77777777" w:rsidR="006F42B5" w:rsidRPr="00703F93" w:rsidRDefault="006F42B5" w:rsidP="000502EB">
      <w:pPr>
        <w:spacing w:after="0"/>
        <w:rPr>
          <w:bCs/>
        </w:rPr>
      </w:pPr>
    </w:p>
    <w:p w14:paraId="1B6CED3C" w14:textId="57D44B46" w:rsidR="00703F93" w:rsidRDefault="00703F93" w:rsidP="000502EB">
      <w:pPr>
        <w:spacing w:after="0"/>
        <w:rPr>
          <w:b/>
        </w:rPr>
      </w:pPr>
    </w:p>
    <w:sectPr w:rsidR="00703F93" w:rsidSect="000502E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629F" w14:textId="77777777" w:rsidR="008F3F7E" w:rsidRDefault="008F3F7E" w:rsidP="008F3F7E">
      <w:pPr>
        <w:spacing w:after="0" w:line="240" w:lineRule="auto"/>
      </w:pPr>
      <w:r>
        <w:separator/>
      </w:r>
    </w:p>
  </w:endnote>
  <w:endnote w:type="continuationSeparator" w:id="0">
    <w:p w14:paraId="5B68DAD3" w14:textId="77777777" w:rsidR="008F3F7E" w:rsidRDefault="008F3F7E" w:rsidP="008F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4CD0" w14:textId="77777777" w:rsidR="008F3F7E" w:rsidRDefault="008F3F7E" w:rsidP="008F3F7E">
      <w:pPr>
        <w:spacing w:after="0" w:line="240" w:lineRule="auto"/>
      </w:pPr>
      <w:r>
        <w:separator/>
      </w:r>
    </w:p>
  </w:footnote>
  <w:footnote w:type="continuationSeparator" w:id="0">
    <w:p w14:paraId="57146923" w14:textId="77777777" w:rsidR="008F3F7E" w:rsidRDefault="008F3F7E" w:rsidP="008F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6F2"/>
    <w:multiLevelType w:val="hybridMultilevel"/>
    <w:tmpl w:val="30C41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7F4"/>
    <w:multiLevelType w:val="hybridMultilevel"/>
    <w:tmpl w:val="C554BA74"/>
    <w:lvl w:ilvl="0" w:tplc="54220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46"/>
    <w:rsid w:val="000502EB"/>
    <w:rsid w:val="00055C72"/>
    <w:rsid w:val="00063946"/>
    <w:rsid w:val="0006779C"/>
    <w:rsid w:val="00070D5B"/>
    <w:rsid w:val="000A0FEA"/>
    <w:rsid w:val="001110BB"/>
    <w:rsid w:val="001207D1"/>
    <w:rsid w:val="00122B78"/>
    <w:rsid w:val="00141ABC"/>
    <w:rsid w:val="00153763"/>
    <w:rsid w:val="00154C8F"/>
    <w:rsid w:val="00206BC9"/>
    <w:rsid w:val="00216A1B"/>
    <w:rsid w:val="0023408F"/>
    <w:rsid w:val="00325E43"/>
    <w:rsid w:val="003C1672"/>
    <w:rsid w:val="003C5B2B"/>
    <w:rsid w:val="003C64D6"/>
    <w:rsid w:val="003E0DD5"/>
    <w:rsid w:val="00411330"/>
    <w:rsid w:val="00411A7B"/>
    <w:rsid w:val="00412365"/>
    <w:rsid w:val="00496369"/>
    <w:rsid w:val="004F326F"/>
    <w:rsid w:val="004F79C8"/>
    <w:rsid w:val="00536AA3"/>
    <w:rsid w:val="0060770D"/>
    <w:rsid w:val="006F42B5"/>
    <w:rsid w:val="00703F93"/>
    <w:rsid w:val="00740C0A"/>
    <w:rsid w:val="00784FC2"/>
    <w:rsid w:val="007D7901"/>
    <w:rsid w:val="00843AF3"/>
    <w:rsid w:val="008553E9"/>
    <w:rsid w:val="008802B9"/>
    <w:rsid w:val="008808D5"/>
    <w:rsid w:val="008A14AA"/>
    <w:rsid w:val="008A3995"/>
    <w:rsid w:val="008F3F7E"/>
    <w:rsid w:val="009543C4"/>
    <w:rsid w:val="00992633"/>
    <w:rsid w:val="009E2C9A"/>
    <w:rsid w:val="00A040C2"/>
    <w:rsid w:val="00A107F2"/>
    <w:rsid w:val="00A53DBD"/>
    <w:rsid w:val="00A80FE1"/>
    <w:rsid w:val="00AB3726"/>
    <w:rsid w:val="00B51EF0"/>
    <w:rsid w:val="00B835A0"/>
    <w:rsid w:val="00C3252B"/>
    <w:rsid w:val="00C37162"/>
    <w:rsid w:val="00C6722A"/>
    <w:rsid w:val="00D117D2"/>
    <w:rsid w:val="00DA3214"/>
    <w:rsid w:val="00DA5563"/>
    <w:rsid w:val="00DE2451"/>
    <w:rsid w:val="00DF63A7"/>
    <w:rsid w:val="00E05EA9"/>
    <w:rsid w:val="00E35D57"/>
    <w:rsid w:val="00E430EC"/>
    <w:rsid w:val="00E62C88"/>
    <w:rsid w:val="00E82F82"/>
    <w:rsid w:val="00EE41E8"/>
    <w:rsid w:val="00F75DCB"/>
    <w:rsid w:val="00F80FF6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163E"/>
  <w15:chartTrackingRefBased/>
  <w15:docId w15:val="{BED6B88C-41E7-494A-8F7F-7FA5343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9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946"/>
    <w:rPr>
      <w:rFonts w:ascii="Courier New" w:hAnsi="Courier New" w:cs="Courier New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0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9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9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Gansler</dc:creator>
  <cp:keywords/>
  <dc:description/>
  <cp:lastModifiedBy>Pollack, Loria A. (CDC/DDNID/NCCDPHP/DCPC)</cp:lastModifiedBy>
  <cp:revision>2</cp:revision>
  <dcterms:created xsi:type="dcterms:W3CDTF">2022-11-09T19:41:00Z</dcterms:created>
  <dcterms:modified xsi:type="dcterms:W3CDTF">2022-11-09T19:41:00Z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2022-11-09T19:41:15Z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3b04e1cd-11ab-4e21-bf85-6a9e1abc552b</vt:lpwstr>
  </property>
  <property fmtid="{D5CDD505-2E9C-101B-9397-08002B2CF9AE}" pid="8" name="MSIP_Label_7b94a7b8-f06c-4dfe-bdcc-9b548fd58c31_ContentBits">
    <vt:lpwstr>0</vt:lpwstr>
  </property>
</Properties>
</file>