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1A" w:rsidRDefault="0023681A" w:rsidP="0023681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Supplemental Appendix for:</w:t>
      </w:r>
    </w:p>
    <w:p w:rsidR="0023681A" w:rsidRPr="003A1B99" w:rsidRDefault="0023681A" w:rsidP="0023681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3A1B99">
        <w:rPr>
          <w:rFonts w:ascii="Times New Roman" w:eastAsia="Times New Roman" w:hAnsi="Times New Roman" w:cs="Times New Roman"/>
          <w:b/>
        </w:rPr>
        <w:t>Increases in pharmacy and community distributed naloxone and the role in the opioid overdose epidemic in Massachusetts, Rhode Island, and New York City</w:t>
      </w:r>
    </w:p>
    <w:p w:rsidR="002F405D" w:rsidRDefault="001706DD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Supplemental Table 1: Reverse regression of naloxone distribution (kits per 100,000 persons) as a function of mortality (fatal opioid-related overdose per 100,000 persons)</w:t>
      </w:r>
    </w:p>
    <w:tbl>
      <w:tblPr>
        <w:tblW w:w="7504" w:type="dxa"/>
        <w:tblLook w:val="04A0" w:firstRow="1" w:lastRow="0" w:firstColumn="1" w:lastColumn="0" w:noHBand="0" w:noVBand="1"/>
      </w:tblPr>
      <w:tblGrid>
        <w:gridCol w:w="4104"/>
        <w:gridCol w:w="1360"/>
        <w:gridCol w:w="2040"/>
      </w:tblGrid>
      <w:tr w:rsidR="0023681A" w:rsidRPr="0023681A" w:rsidTr="0023681A">
        <w:trPr>
          <w:trHeight w:val="288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 xml:space="preserve">Coefficient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95% CI</w:t>
            </w:r>
          </w:p>
        </w:tc>
      </w:tr>
      <w:tr w:rsidR="0023681A" w:rsidRPr="0023681A" w:rsidTr="0023681A">
        <w:trPr>
          <w:trHeight w:val="288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Same quarter fatal overdose rate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5.609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(0.691-10.528)</w:t>
            </w:r>
          </w:p>
        </w:tc>
      </w:tr>
      <w:tr w:rsidR="0023681A" w:rsidRPr="0023681A" w:rsidTr="0023681A">
        <w:trPr>
          <w:trHeight w:val="288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Prior quarter total naloxone distribution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0.551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(0.451-0.651)</w:t>
            </w:r>
          </w:p>
        </w:tc>
      </w:tr>
      <w:tr w:rsidR="0023681A" w:rsidRPr="0023681A" w:rsidTr="0023681A">
        <w:trPr>
          <w:trHeight w:val="288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Linear time trend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7.064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(0.987-13.140)</w:t>
            </w:r>
          </w:p>
        </w:tc>
      </w:tr>
      <w:tr w:rsidR="0023681A" w:rsidRPr="0023681A" w:rsidTr="0023681A">
        <w:trPr>
          <w:trHeight w:val="288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ACS time-varying ZIP-level characteristics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681A" w:rsidRPr="0023681A" w:rsidTr="0023681A">
        <w:trPr>
          <w:trHeight w:val="288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Proportion female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-307.9779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(-968.798-352.842)</w:t>
            </w:r>
          </w:p>
        </w:tc>
      </w:tr>
      <w:tr w:rsidR="0023681A" w:rsidRPr="0023681A" w:rsidTr="0023681A">
        <w:trPr>
          <w:trHeight w:val="288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Proportion young adult &lt;25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-286.0404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(-907.451-335.370)</w:t>
            </w:r>
          </w:p>
        </w:tc>
      </w:tr>
      <w:tr w:rsidR="0023681A" w:rsidRPr="0023681A" w:rsidTr="0023681A">
        <w:trPr>
          <w:trHeight w:val="288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Proportion non-white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-40.2374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(-155.046-74.571)</w:t>
            </w:r>
          </w:p>
        </w:tc>
      </w:tr>
      <w:tr w:rsidR="0023681A" w:rsidRPr="0023681A" w:rsidTr="0023681A">
        <w:trPr>
          <w:trHeight w:val="288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 xml:space="preserve">Proportion Hispanic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-378.2043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(-866.350-109.942)</w:t>
            </w:r>
          </w:p>
        </w:tc>
      </w:tr>
      <w:tr w:rsidR="0023681A" w:rsidRPr="0023681A" w:rsidTr="0023681A">
        <w:trPr>
          <w:trHeight w:val="288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Proportion with public insurance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77.4132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(-42.079-196.906)</w:t>
            </w:r>
          </w:p>
        </w:tc>
      </w:tr>
      <w:tr w:rsidR="0023681A" w:rsidRPr="0023681A" w:rsidTr="0023681A">
        <w:trPr>
          <w:trHeight w:val="288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Proportion uninsured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-290.9972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(-678.880-96.885)</w:t>
            </w:r>
          </w:p>
        </w:tc>
      </w:tr>
      <w:tr w:rsidR="0023681A" w:rsidRPr="0023681A" w:rsidTr="0023681A">
        <w:trPr>
          <w:trHeight w:val="288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Proportion of households &lt; $25,000/year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-0.000321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1A" w:rsidRPr="0023681A" w:rsidRDefault="0023681A" w:rsidP="0023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81A">
              <w:rPr>
                <w:rFonts w:ascii="Times New Roman" w:eastAsia="Times New Roman" w:hAnsi="Times New Roman" w:cs="Times New Roman"/>
                <w:color w:val="000000"/>
              </w:rPr>
              <w:t>(-0.001-0.000)</w:t>
            </w:r>
          </w:p>
        </w:tc>
      </w:tr>
    </w:tbl>
    <w:p w:rsidR="0023681A" w:rsidRP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</w:rPr>
      </w:pPr>
    </w:p>
    <w:p w:rsidR="008B388A" w:rsidRDefault="008B388A" w:rsidP="000733BA">
      <w:pPr>
        <w:rPr>
          <w:rFonts w:ascii="Times New Roman" w:hAnsi="Times New Roman" w:cs="Times New Roman"/>
          <w:b/>
        </w:rPr>
      </w:pPr>
      <w:r w:rsidRPr="008B388A">
        <w:rPr>
          <w:rFonts w:ascii="Times New Roman" w:hAnsi="Times New Roman" w:cs="Times New Roman"/>
          <w:b/>
        </w:rPr>
        <w:lastRenderedPageBreak/>
        <w:t xml:space="preserve">Supplemental Table </w:t>
      </w:r>
      <w:r>
        <w:rPr>
          <w:rFonts w:ascii="Times New Roman" w:hAnsi="Times New Roman" w:cs="Times New Roman"/>
          <w:b/>
        </w:rPr>
        <w:t>2</w:t>
      </w:r>
      <w:r w:rsidRPr="008B388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Incorporating a lag structure for assessing the association between naloxone distribution and opioid overdose mortality. </w:t>
      </w:r>
    </w:p>
    <w:p w:rsidR="008B388A" w:rsidRDefault="008B388A" w:rsidP="000733BA">
      <w:pPr>
        <w:rPr>
          <w:rFonts w:ascii="Times New Roman" w:hAnsi="Times New Roman" w:cs="Times New Roman"/>
          <w:b/>
        </w:rPr>
      </w:pPr>
    </w:p>
    <w:tbl>
      <w:tblPr>
        <w:tblW w:w="11078" w:type="dxa"/>
        <w:tblLook w:val="04A0" w:firstRow="1" w:lastRow="0" w:firstColumn="1" w:lastColumn="0" w:noHBand="0" w:noVBand="1"/>
      </w:tblPr>
      <w:tblGrid>
        <w:gridCol w:w="2700"/>
        <w:gridCol w:w="1116"/>
        <w:gridCol w:w="1674"/>
        <w:gridCol w:w="1116"/>
        <w:gridCol w:w="1623"/>
        <w:gridCol w:w="1116"/>
        <w:gridCol w:w="1727"/>
        <w:gridCol w:w="6"/>
      </w:tblGrid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Combined lag only model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Stratified lag only model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Combined lag and change model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Coefficient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Coefficient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Coefficient 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Prior quarter mortality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-0.0007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(-0.1363, 0.1350)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-0.0029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(-0.1391, 0.1333)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-0.0031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(-0.1390, 0.1327)</w:t>
            </w:r>
          </w:p>
        </w:tc>
      </w:tr>
      <w:tr w:rsidR="008B388A" w:rsidRPr="008B388A" w:rsidTr="008B388A">
        <w:trPr>
          <w:trHeight w:val="6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Same quarter total naloxone distribution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0.0042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(0.0007, 0.0078)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0.0050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(0.0011, 0.0090)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Lag 1 total distribution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0.0013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(-0.0027, 0.0053)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0.0005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(-0.0038, 0.0049)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Lag 2 total distribution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0.0002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(-0.0036, 0.0039)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0.0002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(-0.0036, 0.0040)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Same quarter pharmacy naloxone distribution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0.0021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(-0.0067, 0.0109)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Lag 1 pharmacy distribution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0.0028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(-0.0067, 0.0124)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Lag 2 pharmacy distribution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0.0050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(-0.0048, 0.0147)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Same quarter community naloxone distribution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0.0047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(0.0007, 0.0087)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Lag 1 community distribution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0.0009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(-0.0038, 0.0057)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Lag 2 community distribution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-0.0008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(-0.0050, 0.0035)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Change in distribution from prior quarter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-0.0039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(-0.0125, 0.0047)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Linear time trend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-0.1258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(-0.2900, 0.0385)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-0.1341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(-0.2988, 0.0305)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-0.1273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(-0.2916, 0.0371)</w:t>
            </w:r>
          </w:p>
        </w:tc>
      </w:tr>
      <w:tr w:rsidR="008B388A" w:rsidRPr="008B388A" w:rsidTr="008B388A">
        <w:trPr>
          <w:gridAfter w:val="1"/>
          <w:wAfter w:w="6" w:type="dxa"/>
          <w:trHeight w:val="288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ACS time-varying ZIP-level characteristics per 10 percentage point increase in proportion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Proportion female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23.1651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(4.8844, 41.4458)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19.4152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(0.4224, 38.408</w:t>
            </w: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22.7394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(4.4255, 41.0532)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Proportion adult 25-64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10.0631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(-5.4773, 25.603</w:t>
            </w: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11.4485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(-5.3658, 28.262</w:t>
            </w: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9.0933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(-6.6001, 24.7867)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Proportion non-white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-2.3067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(-5.5091, 0.8956)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-2.6396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(-5.9053, 0.6261)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-2.4948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(-5.7252, 0.7357)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Proportion Hispanic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19.9009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(6.5571, 33.2447)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19.6060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(5.9684, 33.243</w:t>
            </w: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20.3571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(6.9690, 33.7452)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ind w:leftChars="90" w:left="250" w:hangingChars="26" w:hanging="5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Proportion with public insurance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-1.8551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(-5.2163, 1.5061)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-1.4006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(-4.8115, 2.0103)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-1.7721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(-5.1399, 1.5958)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Proportion uninsured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-0.7857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(-11.891, 10.319</w:t>
            </w: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0.4467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(-11.187, 12.080</w:t>
            </w: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-1.0234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(-12.146, 10.100</w:t>
            </w: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8B388A" w:rsidRPr="008B388A" w:rsidTr="008B388A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ind w:leftChars="73" w:left="339" w:hangingChars="89" w:hanging="17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Proportion of households &lt; $25,000/year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0.0000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(0.0000, 0.0000)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(0.0000, 0.0000)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0.0000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8A" w:rsidRPr="008B388A" w:rsidRDefault="008B388A" w:rsidP="008B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388A">
              <w:rPr>
                <w:rFonts w:ascii="Times New Roman" w:eastAsia="Times New Roman" w:hAnsi="Times New Roman" w:cs="Times New Roman"/>
                <w:color w:val="000000"/>
                <w:sz w:val="20"/>
              </w:rPr>
              <w:t>(0.0000, 0.0000)</w:t>
            </w:r>
          </w:p>
        </w:tc>
      </w:tr>
    </w:tbl>
    <w:p w:rsidR="008B388A" w:rsidRDefault="008B388A" w:rsidP="000733BA">
      <w:pPr>
        <w:rPr>
          <w:rFonts w:ascii="Times New Roman" w:hAnsi="Times New Roman" w:cs="Times New Roman"/>
          <w:b/>
        </w:rPr>
      </w:pPr>
    </w:p>
    <w:p w:rsidR="008B388A" w:rsidRDefault="008B388A" w:rsidP="000733BA">
      <w:pPr>
        <w:rPr>
          <w:rFonts w:ascii="Times New Roman" w:hAnsi="Times New Roman" w:cs="Times New Roman"/>
          <w:b/>
        </w:rPr>
      </w:pPr>
    </w:p>
    <w:p w:rsidR="008B388A" w:rsidRDefault="008B388A" w:rsidP="000733BA">
      <w:pPr>
        <w:rPr>
          <w:rFonts w:ascii="Times New Roman" w:hAnsi="Times New Roman" w:cs="Times New Roman"/>
          <w:b/>
        </w:rPr>
      </w:pPr>
    </w:p>
    <w:p w:rsidR="008B388A" w:rsidRDefault="008B388A" w:rsidP="000733BA">
      <w:pPr>
        <w:rPr>
          <w:rFonts w:ascii="Times New Roman" w:hAnsi="Times New Roman" w:cs="Times New Roman"/>
          <w:b/>
        </w:rPr>
      </w:pPr>
    </w:p>
    <w:p w:rsidR="008B388A" w:rsidRDefault="008B388A" w:rsidP="000733BA">
      <w:pPr>
        <w:rPr>
          <w:rFonts w:ascii="Times New Roman" w:hAnsi="Times New Roman" w:cs="Times New Roman"/>
          <w:b/>
        </w:rPr>
      </w:pPr>
    </w:p>
    <w:p w:rsidR="008B388A" w:rsidRDefault="008B388A" w:rsidP="000733BA">
      <w:pPr>
        <w:rPr>
          <w:rFonts w:ascii="Times New Roman" w:hAnsi="Times New Roman" w:cs="Times New Roman"/>
          <w:b/>
        </w:rPr>
      </w:pPr>
    </w:p>
    <w:p w:rsidR="008B388A" w:rsidRDefault="008B388A" w:rsidP="000733BA">
      <w:pPr>
        <w:rPr>
          <w:rFonts w:ascii="Times New Roman" w:hAnsi="Times New Roman" w:cs="Times New Roman"/>
          <w:b/>
        </w:rPr>
      </w:pPr>
    </w:p>
    <w:p w:rsidR="008B388A" w:rsidRDefault="008B388A" w:rsidP="000733BA">
      <w:pPr>
        <w:rPr>
          <w:rFonts w:ascii="Times New Roman" w:hAnsi="Times New Roman" w:cs="Times New Roman"/>
          <w:b/>
        </w:rPr>
      </w:pPr>
    </w:p>
    <w:p w:rsidR="008B388A" w:rsidRDefault="008B388A" w:rsidP="000733BA">
      <w:pPr>
        <w:rPr>
          <w:rFonts w:ascii="Times New Roman" w:hAnsi="Times New Roman" w:cs="Times New Roman"/>
          <w:b/>
        </w:rPr>
      </w:pPr>
    </w:p>
    <w:p w:rsidR="008B388A" w:rsidRDefault="008B388A" w:rsidP="000733BA">
      <w:pPr>
        <w:rPr>
          <w:rFonts w:ascii="Times New Roman" w:hAnsi="Times New Roman" w:cs="Times New Roman"/>
          <w:b/>
        </w:rPr>
      </w:pPr>
    </w:p>
    <w:p w:rsidR="008B388A" w:rsidRDefault="008B388A" w:rsidP="000733BA">
      <w:pPr>
        <w:rPr>
          <w:rFonts w:ascii="Times New Roman" w:hAnsi="Times New Roman" w:cs="Times New Roman"/>
          <w:b/>
        </w:rPr>
      </w:pPr>
    </w:p>
    <w:p w:rsidR="008B388A" w:rsidRDefault="008B388A" w:rsidP="000733BA">
      <w:pPr>
        <w:rPr>
          <w:rFonts w:ascii="Times New Roman" w:hAnsi="Times New Roman" w:cs="Times New Roman"/>
          <w:b/>
        </w:rPr>
      </w:pPr>
    </w:p>
    <w:p w:rsidR="008B388A" w:rsidRDefault="008B388A" w:rsidP="000733BA">
      <w:pPr>
        <w:rPr>
          <w:rFonts w:ascii="Times New Roman" w:hAnsi="Times New Roman" w:cs="Times New Roman"/>
          <w:b/>
        </w:rPr>
      </w:pPr>
    </w:p>
    <w:p w:rsidR="000733BA" w:rsidRDefault="008B388A" w:rsidP="000733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Supplemental Table 3</w:t>
      </w:r>
      <w:r w:rsidR="000733BA">
        <w:rPr>
          <w:rFonts w:ascii="Times New Roman" w:hAnsi="Times New Roman" w:cs="Times New Roman"/>
          <w:b/>
        </w:rPr>
        <w:t xml:space="preserve">: Combined naloxone regression </w:t>
      </w:r>
      <w:r w:rsidR="000733BA" w:rsidRPr="000733BA">
        <w:rPr>
          <w:rFonts w:ascii="Times New Roman" w:hAnsi="Times New Roman" w:cs="Times New Roman"/>
          <w:b/>
        </w:rPr>
        <w:t xml:space="preserve">of mortality (fatal opioid-related overdose per 100,000 persons) as a function of </w:t>
      </w:r>
      <w:r w:rsidR="000733BA">
        <w:rPr>
          <w:rFonts w:ascii="Times New Roman" w:hAnsi="Times New Roman" w:cs="Times New Roman"/>
          <w:b/>
        </w:rPr>
        <w:t>combined pharmacy and community naloxone distribution.</w:t>
      </w:r>
    </w:p>
    <w:tbl>
      <w:tblPr>
        <w:tblW w:w="8240" w:type="dxa"/>
        <w:tblLook w:val="04A0" w:firstRow="1" w:lastRow="0" w:firstColumn="1" w:lastColumn="0" w:noHBand="0" w:noVBand="1"/>
      </w:tblPr>
      <w:tblGrid>
        <w:gridCol w:w="5020"/>
        <w:gridCol w:w="1400"/>
        <w:gridCol w:w="1820"/>
      </w:tblGrid>
      <w:tr w:rsidR="000733BA" w:rsidRPr="000733BA" w:rsidTr="000733BA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 xml:space="preserve">Coefficient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95% CI</w:t>
            </w:r>
          </w:p>
        </w:tc>
      </w:tr>
      <w:tr w:rsidR="000733BA" w:rsidRPr="000733BA" w:rsidTr="000733BA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 xml:space="preserve">Same quarter naloxone distribution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0.005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(0.002-0.008)</w:t>
            </w:r>
          </w:p>
        </w:tc>
      </w:tr>
      <w:tr w:rsidR="000733BA" w:rsidRPr="000733BA" w:rsidTr="000733BA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Change in naloxone distribution from prior quarter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-0.001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(-0.004-0.002)</w:t>
            </w:r>
          </w:p>
        </w:tc>
      </w:tr>
      <w:tr w:rsidR="000733BA" w:rsidRPr="000733BA" w:rsidTr="000733BA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Prior quarter mortality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-0.026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(-0.156-0.105)</w:t>
            </w:r>
          </w:p>
        </w:tc>
      </w:tr>
      <w:tr w:rsidR="000733BA" w:rsidRPr="000733BA" w:rsidTr="000733BA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Linear time trend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-0.177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(-0.337-0.018)</w:t>
            </w:r>
          </w:p>
        </w:tc>
      </w:tr>
      <w:tr w:rsidR="000733BA" w:rsidRPr="000733BA" w:rsidTr="000733BA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ACS time-varying ZIP-level characteristics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33BA" w:rsidRPr="000733BA" w:rsidTr="000733BA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Proportion female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20.536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(3.469-37.603)</w:t>
            </w:r>
          </w:p>
        </w:tc>
      </w:tr>
      <w:tr w:rsidR="000733BA" w:rsidRPr="000733BA" w:rsidTr="000733BA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Proportion young adult &lt;25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-6.662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(-22.864-9.540)</w:t>
            </w:r>
          </w:p>
        </w:tc>
      </w:tr>
      <w:tr w:rsidR="000733BA" w:rsidRPr="000733BA" w:rsidTr="000733BA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Proportion non-white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-2.348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(-5.338-0.641)</w:t>
            </w:r>
          </w:p>
        </w:tc>
      </w:tr>
      <w:tr w:rsidR="000733BA" w:rsidRPr="000733BA" w:rsidTr="000733BA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 xml:space="preserve">Proportion Hispanic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19.071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(6.265-31.876)</w:t>
            </w:r>
          </w:p>
        </w:tc>
      </w:tr>
      <w:tr w:rsidR="000733BA" w:rsidRPr="000733BA" w:rsidTr="000733BA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Proportion with public insurance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-0.843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(-3.978-2.291)</w:t>
            </w:r>
          </w:p>
        </w:tc>
      </w:tr>
      <w:tr w:rsidR="000733BA" w:rsidRPr="000733BA" w:rsidTr="000733BA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Proportion uninsured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-6.370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(-16.575-3.835)</w:t>
            </w:r>
          </w:p>
        </w:tc>
      </w:tr>
      <w:tr w:rsidR="000733BA" w:rsidRPr="000733BA" w:rsidTr="000733BA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Proportion of households &lt; $25,000/year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BA" w:rsidRPr="000733BA" w:rsidRDefault="000733BA" w:rsidP="000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3BA">
              <w:rPr>
                <w:rFonts w:ascii="Times New Roman" w:eastAsia="Times New Roman" w:hAnsi="Times New Roman" w:cs="Times New Roman"/>
                <w:color w:val="000000"/>
              </w:rPr>
              <w:t>(0.000-0.000)</w:t>
            </w:r>
          </w:p>
        </w:tc>
      </w:tr>
    </w:tbl>
    <w:p w:rsidR="000733BA" w:rsidRDefault="000733BA" w:rsidP="000733BA">
      <w:pPr>
        <w:rPr>
          <w:rFonts w:ascii="Times New Roman" w:hAnsi="Times New Roman" w:cs="Times New Roman"/>
          <w:b/>
        </w:rPr>
      </w:pPr>
    </w:p>
    <w:p w:rsidR="000733BA" w:rsidRDefault="000733BA" w:rsidP="000733BA">
      <w:pPr>
        <w:rPr>
          <w:rFonts w:ascii="Times New Roman" w:hAnsi="Times New Roman" w:cs="Times New Roman"/>
          <w:b/>
        </w:rPr>
      </w:pPr>
    </w:p>
    <w:tbl>
      <w:tblPr>
        <w:tblW w:w="7504" w:type="dxa"/>
        <w:tblLook w:val="04A0" w:firstRow="1" w:lastRow="0" w:firstColumn="1" w:lastColumn="0" w:noHBand="0" w:noVBand="1"/>
      </w:tblPr>
      <w:tblGrid>
        <w:gridCol w:w="4104"/>
        <w:gridCol w:w="1360"/>
        <w:gridCol w:w="2040"/>
      </w:tblGrid>
      <w:tr w:rsidR="000733BA" w:rsidRPr="0023681A" w:rsidTr="000F381A">
        <w:trPr>
          <w:trHeight w:val="288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3BA" w:rsidRPr="0023681A" w:rsidRDefault="000733BA" w:rsidP="000733B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3BA" w:rsidRPr="0023681A" w:rsidRDefault="000733BA" w:rsidP="000F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3BA" w:rsidRPr="0023681A" w:rsidRDefault="000733BA" w:rsidP="000F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3BA" w:rsidRPr="0023681A" w:rsidTr="000F381A">
        <w:trPr>
          <w:trHeight w:val="288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3BA" w:rsidRPr="0023681A" w:rsidRDefault="000733BA" w:rsidP="000F381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3BA" w:rsidRPr="0023681A" w:rsidRDefault="000733BA" w:rsidP="000F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3BA" w:rsidRPr="0023681A" w:rsidRDefault="000733BA" w:rsidP="000F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733BA" w:rsidRPr="0023681A" w:rsidRDefault="000733BA" w:rsidP="000733BA">
      <w:pPr>
        <w:rPr>
          <w:rFonts w:ascii="Times New Roman" w:hAnsi="Times New Roman" w:cs="Times New Roman"/>
        </w:rPr>
      </w:pPr>
    </w:p>
    <w:p w:rsidR="000733BA" w:rsidRDefault="000733BA" w:rsidP="000733BA">
      <w:pPr>
        <w:rPr>
          <w:rFonts w:ascii="Times New Roman" w:hAnsi="Times New Roman" w:cs="Times New Roman"/>
        </w:rPr>
      </w:pPr>
    </w:p>
    <w:p w:rsidR="008B388A" w:rsidRDefault="008B388A" w:rsidP="000733BA">
      <w:pPr>
        <w:rPr>
          <w:rFonts w:ascii="Times New Roman" w:hAnsi="Times New Roman" w:cs="Times New Roman"/>
        </w:rPr>
      </w:pPr>
    </w:p>
    <w:p w:rsidR="008B388A" w:rsidRDefault="008B388A" w:rsidP="000733BA">
      <w:pPr>
        <w:rPr>
          <w:rFonts w:ascii="Times New Roman" w:hAnsi="Times New Roman" w:cs="Times New Roman"/>
        </w:rPr>
      </w:pPr>
    </w:p>
    <w:p w:rsidR="008B388A" w:rsidRDefault="008B388A" w:rsidP="000733BA">
      <w:pPr>
        <w:rPr>
          <w:rFonts w:ascii="Times New Roman" w:hAnsi="Times New Roman" w:cs="Times New Roman"/>
        </w:rPr>
      </w:pPr>
    </w:p>
    <w:p w:rsidR="008B388A" w:rsidRDefault="008B388A" w:rsidP="000733BA">
      <w:pPr>
        <w:rPr>
          <w:rFonts w:ascii="Times New Roman" w:hAnsi="Times New Roman" w:cs="Times New Roman"/>
        </w:rPr>
      </w:pPr>
    </w:p>
    <w:p w:rsidR="008B388A" w:rsidRDefault="008B388A" w:rsidP="000733BA">
      <w:pPr>
        <w:rPr>
          <w:rFonts w:ascii="Times New Roman" w:hAnsi="Times New Roman" w:cs="Times New Roman"/>
        </w:rPr>
      </w:pPr>
    </w:p>
    <w:p w:rsidR="008B388A" w:rsidRDefault="008B388A" w:rsidP="000733BA">
      <w:pPr>
        <w:rPr>
          <w:rFonts w:ascii="Times New Roman" w:hAnsi="Times New Roman" w:cs="Times New Roman"/>
        </w:rPr>
      </w:pPr>
    </w:p>
    <w:p w:rsidR="008B388A" w:rsidRDefault="008B388A" w:rsidP="000733BA">
      <w:pPr>
        <w:rPr>
          <w:rFonts w:ascii="Times New Roman" w:hAnsi="Times New Roman" w:cs="Times New Roman"/>
        </w:rPr>
      </w:pPr>
    </w:p>
    <w:p w:rsidR="008B388A" w:rsidRDefault="008B388A" w:rsidP="000733BA">
      <w:pPr>
        <w:rPr>
          <w:rFonts w:ascii="Times New Roman" w:hAnsi="Times New Roman" w:cs="Times New Roman"/>
        </w:rPr>
      </w:pPr>
    </w:p>
    <w:p w:rsidR="008B388A" w:rsidRDefault="008B388A" w:rsidP="000733BA">
      <w:pPr>
        <w:rPr>
          <w:rFonts w:ascii="Times New Roman" w:hAnsi="Times New Roman" w:cs="Times New Roman"/>
        </w:rPr>
      </w:pPr>
    </w:p>
    <w:p w:rsidR="008B388A" w:rsidRDefault="008B388A" w:rsidP="000733BA">
      <w:pPr>
        <w:rPr>
          <w:rFonts w:ascii="Times New Roman" w:hAnsi="Times New Roman" w:cs="Times New Roman"/>
        </w:rPr>
      </w:pPr>
    </w:p>
    <w:p w:rsidR="008B388A" w:rsidRDefault="008B388A" w:rsidP="000733BA">
      <w:pPr>
        <w:rPr>
          <w:rFonts w:ascii="Times New Roman" w:hAnsi="Times New Roman" w:cs="Times New Roman"/>
        </w:rPr>
      </w:pPr>
    </w:p>
    <w:p w:rsidR="008B388A" w:rsidRDefault="008B388A" w:rsidP="000733BA">
      <w:pPr>
        <w:rPr>
          <w:rFonts w:ascii="Times New Roman" w:hAnsi="Times New Roman" w:cs="Times New Roman"/>
        </w:rPr>
      </w:pPr>
    </w:p>
    <w:p w:rsidR="008B388A" w:rsidRDefault="008B388A" w:rsidP="000733BA">
      <w:pPr>
        <w:rPr>
          <w:rFonts w:ascii="Times New Roman" w:hAnsi="Times New Roman" w:cs="Times New Roman"/>
        </w:rPr>
      </w:pPr>
    </w:p>
    <w:p w:rsidR="008B388A" w:rsidRDefault="008B388A" w:rsidP="000733BA">
      <w:pPr>
        <w:rPr>
          <w:rFonts w:ascii="Times New Roman" w:hAnsi="Times New Roman" w:cs="Times New Roman"/>
        </w:rPr>
      </w:pPr>
    </w:p>
    <w:p w:rsidR="008B388A" w:rsidRDefault="008B388A" w:rsidP="000733BA">
      <w:pPr>
        <w:rPr>
          <w:rFonts w:ascii="Times New Roman" w:hAnsi="Times New Roman" w:cs="Times New Roman"/>
        </w:rPr>
      </w:pPr>
    </w:p>
    <w:p w:rsidR="008B388A" w:rsidRDefault="008B388A" w:rsidP="000733BA">
      <w:pPr>
        <w:rPr>
          <w:rFonts w:ascii="Times New Roman" w:hAnsi="Times New Roman" w:cs="Times New Roman"/>
        </w:rPr>
      </w:pPr>
    </w:p>
    <w:p w:rsidR="000733BA" w:rsidRDefault="000733BA" w:rsidP="0023681A">
      <w:pPr>
        <w:rPr>
          <w:rFonts w:ascii="Times New Roman" w:hAnsi="Times New Roman" w:cs="Times New Roman"/>
        </w:rPr>
      </w:pPr>
    </w:p>
    <w:p w:rsidR="0023681A" w:rsidRDefault="0023681A" w:rsidP="002368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Supplemental Figure 1: Graphing the quarter-over-quarter change of naloxone distribution (kits per 100,000 persons) and opioid-related overdoses per 100,000 persons </w:t>
      </w:r>
    </w:p>
    <w:p w:rsidR="0023681A" w:rsidRPr="0023681A" w:rsidRDefault="0023681A" w:rsidP="0023681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52EBFEB" wp14:editId="35B565F7">
            <wp:extent cx="4514004" cy="2829554"/>
            <wp:effectExtent l="0" t="0" r="127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3681A" w:rsidRPr="0023681A" w:rsidSect="002368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2B"/>
    <w:rsid w:val="000733BA"/>
    <w:rsid w:val="001706DD"/>
    <w:rsid w:val="001C15D2"/>
    <w:rsid w:val="0023681A"/>
    <w:rsid w:val="00480252"/>
    <w:rsid w:val="00806C2B"/>
    <w:rsid w:val="008B388A"/>
    <w:rsid w:val="00C3162D"/>
    <w:rsid w:val="00F0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85CD"/>
  <w15:chartTrackingRefBased/>
  <w15:docId w15:val="{9A26974D-FC53-4AAD-910E-CAB6D72A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kem\Box%20Sync\PROFOUND%20retail%20and%20overdose\finalmodelapproac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953060573607383"/>
          <c:y val="4.9371738443585104E-2"/>
          <c:w val="0.72070826698425616"/>
          <c:h val="0.66888774697355136"/>
        </c:manualLayout>
      </c:layout>
      <c:lineChart>
        <c:grouping val="standard"/>
        <c:varyColors val="0"/>
        <c:ser>
          <c:idx val="0"/>
          <c:order val="0"/>
          <c:tx>
            <c:v>Drug-related mortality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'Change trend'!$B$2:$M$3</c:f>
              <c:multiLvlStrCache>
                <c:ptCount val="12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</c:lvl>
              </c:multiLvlStrCache>
            </c:multiLvlStrRef>
          </c:cat>
          <c:val>
            <c:numRef>
              <c:f>'Change trend'!$B$6:$M$6</c:f>
              <c:numCache>
                <c:formatCode>0.00</c:formatCode>
                <c:ptCount val="12"/>
                <c:pt idx="0">
                  <c:v>8.1430070000000008</c:v>
                </c:pt>
                <c:pt idx="1">
                  <c:v>8.2668320000000008</c:v>
                </c:pt>
                <c:pt idx="2">
                  <c:v>8.0533400000000004</c:v>
                </c:pt>
                <c:pt idx="3">
                  <c:v>8.1003939999999997</c:v>
                </c:pt>
                <c:pt idx="4">
                  <c:v>7.1036650000000003</c:v>
                </c:pt>
                <c:pt idx="5">
                  <c:v>6.3607990000000001</c:v>
                </c:pt>
                <c:pt idx="6">
                  <c:v>7.1922949999999997</c:v>
                </c:pt>
                <c:pt idx="7">
                  <c:v>7.2705719999999996</c:v>
                </c:pt>
                <c:pt idx="8">
                  <c:v>7.2832030000000003</c:v>
                </c:pt>
                <c:pt idx="9">
                  <c:v>8.0550329999999999</c:v>
                </c:pt>
                <c:pt idx="10">
                  <c:v>7.5582979999999997</c:v>
                </c:pt>
                <c:pt idx="11">
                  <c:v>7.2383509999999998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B8C-4A44-A9C5-09E8FAC60E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8904512"/>
        <c:axId val="1158904096"/>
      </c:lineChart>
      <c:lineChart>
        <c:grouping val="standard"/>
        <c:varyColors val="0"/>
        <c:ser>
          <c:idx val="1"/>
          <c:order val="1"/>
          <c:tx>
            <c:v>Change in naloxone dsitribution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'Change trend'!$B$12:$M$12</c:f>
              <c:numCache>
                <c:formatCode>General</c:formatCode>
                <c:ptCount val="12"/>
                <c:pt idx="1">
                  <c:v>28.14658</c:v>
                </c:pt>
                <c:pt idx="2">
                  <c:v>9.4406160000000003</c:v>
                </c:pt>
                <c:pt idx="3">
                  <c:v>-13.917339999999999</c:v>
                </c:pt>
                <c:pt idx="4">
                  <c:v>3.2827799999999998</c:v>
                </c:pt>
                <c:pt idx="5">
                  <c:v>30.55387</c:v>
                </c:pt>
                <c:pt idx="6">
                  <c:v>28.166679999999999</c:v>
                </c:pt>
                <c:pt idx="7">
                  <c:v>16.777439999999999</c:v>
                </c:pt>
                <c:pt idx="8">
                  <c:v>1.33165</c:v>
                </c:pt>
                <c:pt idx="9">
                  <c:v>73.319940000000003</c:v>
                </c:pt>
                <c:pt idx="10">
                  <c:v>6.8157519999999998</c:v>
                </c:pt>
                <c:pt idx="11">
                  <c:v>-7.8323999999999998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B8C-4A44-A9C5-09E8FAC60E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0231264"/>
        <c:axId val="1150232512"/>
      </c:lineChart>
      <c:catAx>
        <c:axId val="115890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8904096"/>
        <c:crosses val="autoZero"/>
        <c:auto val="1"/>
        <c:lblAlgn val="ctr"/>
        <c:lblOffset val="100"/>
        <c:noMultiLvlLbl val="0"/>
      </c:catAx>
      <c:valAx>
        <c:axId val="115890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0" i="0" baseline="0">
                    <a:solidFill>
                      <a:schemeClr val="accent1"/>
                    </a:solidFill>
                    <a:effectLst/>
                  </a:rPr>
                  <a:t>Opioid-related mortality per 100,000</a:t>
                </a:r>
                <a:endParaRPr lang="en-US" sz="500">
                  <a:solidFill>
                    <a:schemeClr val="accent1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8904512"/>
        <c:crosses val="autoZero"/>
        <c:crossBetween val="between"/>
      </c:valAx>
      <c:valAx>
        <c:axId val="1150232512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0" i="0" baseline="0">
                    <a:solidFill>
                      <a:schemeClr val="accent2"/>
                    </a:solidFill>
                    <a:effectLst/>
                  </a:rPr>
                  <a:t>Change in naloxone per 100,000</a:t>
                </a:r>
                <a:endParaRPr lang="en-US" sz="500">
                  <a:solidFill>
                    <a:schemeClr val="accent2"/>
                  </a:solidFill>
                  <a:effectLst/>
                </a:endParaRPr>
              </a:p>
            </c:rich>
          </c:tx>
          <c:layout>
            <c:manualLayout>
              <c:xMode val="edge"/>
              <c:yMode val="edge"/>
              <c:x val="0.9311269994443957"/>
              <c:y val="4.488339858507736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0231264"/>
        <c:crosses val="max"/>
        <c:crossBetween val="between"/>
      </c:valAx>
      <c:catAx>
        <c:axId val="1150231264"/>
        <c:scaling>
          <c:orientation val="minMax"/>
        </c:scaling>
        <c:delete val="1"/>
        <c:axPos val="b"/>
        <c:majorTickMark val="out"/>
        <c:minorTickMark val="none"/>
        <c:tickLblPos val="nextTo"/>
        <c:crossAx val="11502325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Jake Roberts</dc:creator>
  <cp:keywords/>
  <dc:description/>
  <cp:lastModifiedBy>Morgan, Jake Roberts</cp:lastModifiedBy>
  <cp:revision>5</cp:revision>
  <dcterms:created xsi:type="dcterms:W3CDTF">2022-06-22T13:54:00Z</dcterms:created>
  <dcterms:modified xsi:type="dcterms:W3CDTF">2022-07-08T21:51:00Z</dcterms:modified>
</cp:coreProperties>
</file>