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3179F" w14:textId="77777777" w:rsidR="00EA3AB3" w:rsidRDefault="00EA3AB3" w:rsidP="00EA3AB3">
      <w:pPr>
        <w:rPr>
          <w:b/>
          <w:bCs/>
          <w:sz w:val="22"/>
          <w:szCs w:val="22"/>
        </w:rPr>
      </w:pPr>
    </w:p>
    <w:p w14:paraId="67C614E7" w14:textId="559E1492" w:rsidR="007F311F" w:rsidRPr="007F311F" w:rsidRDefault="007F311F" w:rsidP="007F311F">
      <w:pPr>
        <w:spacing w:line="480" w:lineRule="auto"/>
        <w:jc w:val="center"/>
        <w:rPr>
          <w:b/>
          <w:bCs/>
          <w:noProof/>
          <w:sz w:val="36"/>
          <w:szCs w:val="36"/>
        </w:rPr>
      </w:pPr>
      <w:r>
        <w:rPr>
          <w:b/>
          <w:bCs/>
          <w:noProof/>
          <w:sz w:val="36"/>
          <w:szCs w:val="36"/>
        </w:rPr>
        <w:t>Supplementa</w:t>
      </w:r>
      <w:r w:rsidR="006A4BCA">
        <w:rPr>
          <w:b/>
          <w:bCs/>
          <w:noProof/>
          <w:sz w:val="36"/>
          <w:szCs w:val="36"/>
        </w:rPr>
        <w:t>ry</w:t>
      </w:r>
      <w:r>
        <w:rPr>
          <w:b/>
          <w:bCs/>
          <w:noProof/>
          <w:sz w:val="36"/>
          <w:szCs w:val="36"/>
        </w:rPr>
        <w:t xml:space="preserve"> Material</w:t>
      </w:r>
    </w:p>
    <w:p w14:paraId="60DF6658" w14:textId="75A46A58" w:rsidR="00BF2113" w:rsidRDefault="00FB02DF" w:rsidP="00FB02DF">
      <w:pPr>
        <w:spacing w:line="480" w:lineRule="auto"/>
        <w:jc w:val="center"/>
        <w:rPr>
          <w:i/>
          <w:iCs/>
          <w:noProof/>
          <w:sz w:val="28"/>
          <w:szCs w:val="28"/>
        </w:rPr>
      </w:pPr>
      <w:r w:rsidRPr="00FB02DF">
        <w:rPr>
          <w:i/>
          <w:iCs/>
          <w:noProof/>
          <w:sz w:val="28"/>
          <w:szCs w:val="28"/>
        </w:rPr>
        <w:t>Chemical Contaminant Exposures Assessed Using Silicone Wristbands Among Occupants in Office Buildings in the USA, UK, China, and India</w:t>
      </w:r>
    </w:p>
    <w:p w14:paraId="3F90AB34" w14:textId="77777777" w:rsidR="00FB02DF" w:rsidRDefault="00FB02DF" w:rsidP="007F311F">
      <w:pPr>
        <w:spacing w:line="480" w:lineRule="auto"/>
      </w:pPr>
    </w:p>
    <w:p w14:paraId="33CB1DEF" w14:textId="40177D9C" w:rsidR="007F311F" w:rsidRDefault="007F311F" w:rsidP="007F311F">
      <w:pPr>
        <w:spacing w:line="480" w:lineRule="auto"/>
      </w:pPr>
      <w:r>
        <w:t>Anna S. Young*</w:t>
      </w:r>
      <w:r>
        <w:rPr>
          <w:vertAlign w:val="superscript"/>
        </w:rPr>
        <w:t>1,2</w:t>
      </w:r>
      <w:r>
        <w:t>, Nicholas Herkert</w:t>
      </w:r>
      <w:r>
        <w:rPr>
          <w:vertAlign w:val="superscript"/>
        </w:rPr>
        <w:t>3</w:t>
      </w:r>
      <w:r>
        <w:t>, Heather M. Stapleton</w:t>
      </w:r>
      <w:r>
        <w:rPr>
          <w:vertAlign w:val="superscript"/>
        </w:rPr>
        <w:t>3</w:t>
      </w:r>
      <w:r>
        <w:t>, Jose Guillermo Cedeño Laurent</w:t>
      </w:r>
      <w:r>
        <w:rPr>
          <w:vertAlign w:val="superscript"/>
        </w:rPr>
        <w:t>1</w:t>
      </w:r>
      <w:r>
        <w:t xml:space="preserve">, </w:t>
      </w:r>
      <w:r w:rsidR="00E313A3">
        <w:t>Emily R. Jones</w:t>
      </w:r>
      <w:r w:rsidR="00E313A3">
        <w:rPr>
          <w:vertAlign w:val="superscript"/>
        </w:rPr>
        <w:t>1,2</w:t>
      </w:r>
      <w:r w:rsidR="00E313A3">
        <w:t xml:space="preserve">, </w:t>
      </w:r>
      <w:r>
        <w:t>Piers MacNaughton</w:t>
      </w:r>
      <w:r>
        <w:rPr>
          <w:vertAlign w:val="superscript"/>
        </w:rPr>
        <w:t>1</w:t>
      </w:r>
      <w:r>
        <w:t>, Brent A. Coull</w:t>
      </w:r>
      <w:r>
        <w:rPr>
          <w:vertAlign w:val="superscript"/>
        </w:rPr>
        <w:t>1</w:t>
      </w:r>
      <w:r>
        <w:t>, Tamarra James-Todd</w:t>
      </w:r>
      <w:r>
        <w:rPr>
          <w:vertAlign w:val="superscript"/>
        </w:rPr>
        <w:t>1</w:t>
      </w:r>
      <w:r>
        <w:t>, Russ Hauser</w:t>
      </w:r>
      <w:r>
        <w:rPr>
          <w:vertAlign w:val="superscript"/>
        </w:rPr>
        <w:t>1</w:t>
      </w:r>
      <w:r>
        <w:t xml:space="preserve">, </w:t>
      </w:r>
      <w:r w:rsidR="00BF2113">
        <w:t xml:space="preserve">Marianne </w:t>
      </w:r>
      <w:proofErr w:type="spellStart"/>
      <w:r w:rsidR="00BF2113">
        <w:t>Lahaie</w:t>
      </w:r>
      <w:proofErr w:type="spellEnd"/>
      <w:r w:rsidR="00BF2113">
        <w:t xml:space="preserve"> Luna</w:t>
      </w:r>
      <w:r w:rsidR="00BF2113">
        <w:rPr>
          <w:vertAlign w:val="superscript"/>
        </w:rPr>
        <w:t>1</w:t>
      </w:r>
      <w:r w:rsidR="00B3500F">
        <w:rPr>
          <w:vertAlign w:val="superscript"/>
        </w:rPr>
        <w:t>,4</w:t>
      </w:r>
      <w:r w:rsidR="00BF2113">
        <w:t xml:space="preserve">, </w:t>
      </w:r>
      <w:r w:rsidR="00506A71">
        <w:t>Yu Shan</w:t>
      </w:r>
      <w:r w:rsidR="00B77B6D">
        <w:t xml:space="preserve"> Chung</w:t>
      </w:r>
      <w:r w:rsidR="00B77B6D">
        <w:rPr>
          <w:vertAlign w:val="superscript"/>
        </w:rPr>
        <w:t>1</w:t>
      </w:r>
      <w:r w:rsidR="00B77B6D">
        <w:t xml:space="preserve">, </w:t>
      </w:r>
      <w:r>
        <w:t>Joseph G. Allen</w:t>
      </w:r>
      <w:r>
        <w:rPr>
          <w:vertAlign w:val="superscript"/>
        </w:rPr>
        <w:t>1</w:t>
      </w:r>
      <w:r>
        <w:t xml:space="preserve"> </w:t>
      </w:r>
    </w:p>
    <w:p w14:paraId="12483A8F" w14:textId="77777777" w:rsidR="007F311F" w:rsidRDefault="007F311F" w:rsidP="007F311F">
      <w:pPr>
        <w:spacing w:line="480" w:lineRule="auto"/>
      </w:pPr>
    </w:p>
    <w:p w14:paraId="77FB4687" w14:textId="77777777" w:rsidR="007F311F" w:rsidRDefault="007F311F" w:rsidP="007F311F">
      <w:pPr>
        <w:spacing w:line="480" w:lineRule="auto"/>
      </w:pPr>
    </w:p>
    <w:p w14:paraId="7DCDAD4A" w14:textId="77777777" w:rsidR="007F311F" w:rsidRDefault="007F311F" w:rsidP="007F311F">
      <w:pPr>
        <w:spacing w:line="480" w:lineRule="auto"/>
      </w:pPr>
      <w:r>
        <w:rPr>
          <w:vertAlign w:val="superscript"/>
        </w:rPr>
        <w:t>1</w:t>
      </w:r>
      <w:r>
        <w:t xml:space="preserve"> Harvard T.H. Chan School of Public Health, Boston, MA, USA</w:t>
      </w:r>
    </w:p>
    <w:p w14:paraId="567DE0A6" w14:textId="77777777" w:rsidR="007F311F" w:rsidRPr="00554EAE" w:rsidRDefault="007F311F" w:rsidP="007F311F">
      <w:pPr>
        <w:spacing w:line="480" w:lineRule="auto"/>
      </w:pPr>
      <w:r>
        <w:rPr>
          <w:vertAlign w:val="superscript"/>
        </w:rPr>
        <w:t>2</w:t>
      </w:r>
      <w:r>
        <w:t xml:space="preserve"> Harvard Graduate School of Arts and Sciences, Cambridge, MA, USA</w:t>
      </w:r>
    </w:p>
    <w:p w14:paraId="36202862" w14:textId="77777777" w:rsidR="007F311F" w:rsidRPr="00886DE7" w:rsidRDefault="007F311F" w:rsidP="007F311F">
      <w:pPr>
        <w:spacing w:line="480" w:lineRule="auto"/>
      </w:pPr>
      <w:r>
        <w:rPr>
          <w:vertAlign w:val="superscript"/>
        </w:rPr>
        <w:t xml:space="preserve">3 </w:t>
      </w:r>
      <w:r>
        <w:t>Duke Nicholas School of the Environment, Durham, NC, USA</w:t>
      </w:r>
    </w:p>
    <w:p w14:paraId="492F1A91" w14:textId="77777777" w:rsidR="00B3500F" w:rsidRDefault="00B3500F" w:rsidP="00B3500F">
      <w:pPr>
        <w:spacing w:line="480" w:lineRule="auto"/>
      </w:pPr>
      <w:r>
        <w:rPr>
          <w:vertAlign w:val="superscript"/>
        </w:rPr>
        <w:t xml:space="preserve">4 </w:t>
      </w:r>
      <w:r>
        <w:t>University of Toronto Dalla Lana School of Public Health, Toronto, Canada</w:t>
      </w:r>
    </w:p>
    <w:p w14:paraId="0AB9F68B" w14:textId="77777777" w:rsidR="007F311F" w:rsidRDefault="007F311F" w:rsidP="007F311F">
      <w:pPr>
        <w:spacing w:line="480" w:lineRule="auto"/>
      </w:pPr>
    </w:p>
    <w:p w14:paraId="18C049B2" w14:textId="1B33FC27" w:rsidR="007F311F" w:rsidRDefault="007F311F">
      <w:pPr>
        <w:rPr>
          <w:b/>
          <w:bCs/>
          <w:sz w:val="22"/>
          <w:szCs w:val="22"/>
        </w:rPr>
      </w:pPr>
    </w:p>
    <w:p w14:paraId="758E6203" w14:textId="77777777" w:rsidR="007F311F" w:rsidRDefault="007F311F">
      <w:pPr>
        <w:rPr>
          <w:b/>
          <w:bCs/>
          <w:sz w:val="22"/>
          <w:szCs w:val="22"/>
        </w:rPr>
      </w:pPr>
      <w:r>
        <w:rPr>
          <w:b/>
          <w:bCs/>
          <w:sz w:val="22"/>
          <w:szCs w:val="22"/>
        </w:rPr>
        <w:br w:type="page"/>
      </w:r>
    </w:p>
    <w:p w14:paraId="5C44EA32" w14:textId="2F91FE6A" w:rsidR="00952ABE" w:rsidRPr="00952ABE" w:rsidRDefault="00952ABE" w:rsidP="00952ABE">
      <w:pPr>
        <w:spacing w:line="480" w:lineRule="auto"/>
        <w:rPr>
          <w:b/>
          <w:bCs/>
          <w:sz w:val="28"/>
          <w:szCs w:val="28"/>
        </w:rPr>
      </w:pPr>
      <w:r w:rsidRPr="00952ABE">
        <w:rPr>
          <w:b/>
          <w:bCs/>
          <w:sz w:val="28"/>
          <w:szCs w:val="28"/>
        </w:rPr>
        <w:lastRenderedPageBreak/>
        <w:t>Contents</w:t>
      </w:r>
    </w:p>
    <w:p w14:paraId="38E0676D" w14:textId="4FD714F2" w:rsidR="00D36233" w:rsidRDefault="006072C1" w:rsidP="007539C1">
      <w:pPr>
        <w:spacing w:line="276" w:lineRule="auto"/>
      </w:pPr>
      <w:r>
        <w:t xml:space="preserve">Methods: Study </w:t>
      </w:r>
      <w:r w:rsidR="001C4E14">
        <w:t>population</w:t>
      </w:r>
      <w:r w:rsidR="00D36233">
        <w:t>.</w:t>
      </w:r>
    </w:p>
    <w:p w14:paraId="3F2E1920" w14:textId="6CD97754" w:rsidR="008F7380" w:rsidRDefault="00D36233" w:rsidP="007539C1">
      <w:pPr>
        <w:spacing w:line="276" w:lineRule="auto"/>
      </w:pPr>
      <w:r>
        <w:t>Methods: L</w:t>
      </w:r>
      <w:r w:rsidR="00B8467A">
        <w:t>aboratory analyses</w:t>
      </w:r>
      <w:r>
        <w:t xml:space="preserve"> of wristbands.</w:t>
      </w:r>
      <w:r>
        <w:br/>
        <w:t xml:space="preserve">Methods: </w:t>
      </w:r>
      <w:r w:rsidR="001C4E14">
        <w:t>Quality assurance</w:t>
      </w:r>
      <w:r>
        <w:t xml:space="preserve"> and </w:t>
      </w:r>
      <w:r w:rsidR="001C4E14">
        <w:t>quality control</w:t>
      </w:r>
      <w:r w:rsidR="008F7380">
        <w:t>.</w:t>
      </w:r>
    </w:p>
    <w:p w14:paraId="6DC3C607" w14:textId="3BA7D5FA" w:rsidR="007539C1" w:rsidRDefault="007539C1" w:rsidP="007539C1">
      <w:pPr>
        <w:spacing w:line="276" w:lineRule="auto"/>
      </w:pPr>
      <w:r>
        <w:t>Methods: Statistical analyses.</w:t>
      </w:r>
    </w:p>
    <w:p w14:paraId="19AA1D3E" w14:textId="06C78A1A" w:rsidR="001C4E14" w:rsidRDefault="008F7380" w:rsidP="007539C1">
      <w:pPr>
        <w:spacing w:line="276" w:lineRule="auto"/>
      </w:pPr>
      <w:r>
        <w:t xml:space="preserve">Results: </w:t>
      </w:r>
      <w:r w:rsidR="00EA5DF7">
        <w:t xml:space="preserve">Indoor air quality </w:t>
      </w:r>
      <w:r>
        <w:t>measurements in sensitivity analyses.</w:t>
      </w:r>
    </w:p>
    <w:p w14:paraId="446A0B75" w14:textId="3E9FB7A0" w:rsidR="00952ABE" w:rsidRDefault="00952ABE" w:rsidP="007539C1">
      <w:pPr>
        <w:spacing w:line="276" w:lineRule="auto"/>
      </w:pPr>
      <w:r>
        <w:t>Figure S1: Principal component analysis results.</w:t>
      </w:r>
    </w:p>
    <w:p w14:paraId="111651E0" w14:textId="6F39515E" w:rsidR="00952ABE" w:rsidRDefault="00952ABE" w:rsidP="007539C1">
      <w:pPr>
        <w:spacing w:line="276" w:lineRule="auto"/>
      </w:pPr>
      <w:r>
        <w:t>Figure S2: Boxplots of PCBs by country.</w:t>
      </w:r>
    </w:p>
    <w:p w14:paraId="081BD193" w14:textId="1A8C7671" w:rsidR="00952ABE" w:rsidRDefault="00952ABE" w:rsidP="007539C1">
      <w:pPr>
        <w:spacing w:line="276" w:lineRule="auto"/>
      </w:pPr>
      <w:r>
        <w:t>Figure S3: Boxplots of BFRs by country.</w:t>
      </w:r>
    </w:p>
    <w:p w14:paraId="04EE3828" w14:textId="416D595C" w:rsidR="00952ABE" w:rsidRDefault="00952ABE" w:rsidP="007539C1">
      <w:pPr>
        <w:spacing w:line="276" w:lineRule="auto"/>
      </w:pPr>
      <w:r>
        <w:t>Figure S4: Boxplots of OPEs by country.</w:t>
      </w:r>
    </w:p>
    <w:p w14:paraId="41ECFFD2" w14:textId="4F5ACF70" w:rsidR="00952ABE" w:rsidRDefault="00952ABE" w:rsidP="007539C1">
      <w:pPr>
        <w:spacing w:line="276" w:lineRule="auto"/>
      </w:pPr>
      <w:r>
        <w:t>Figure S5: Boxplots of phthalates and phthalate alternatives by country.</w:t>
      </w:r>
    </w:p>
    <w:p w14:paraId="3C1EE8FB" w14:textId="717BC27C" w:rsidR="00952ABE" w:rsidRDefault="00952ABE" w:rsidP="007539C1">
      <w:pPr>
        <w:spacing w:line="276" w:lineRule="auto"/>
      </w:pPr>
      <w:r>
        <w:t>Figure S6: Boxplots of pesticides by country.</w:t>
      </w:r>
    </w:p>
    <w:p w14:paraId="08DCBD9A" w14:textId="29B1E1FE" w:rsidR="00952ABE" w:rsidRDefault="00952ABE" w:rsidP="007539C1">
      <w:pPr>
        <w:spacing w:line="276" w:lineRule="auto"/>
      </w:pPr>
      <w:r>
        <w:t>Figure S7: Boxplots of PAHs by country.</w:t>
      </w:r>
    </w:p>
    <w:p w14:paraId="17627D50" w14:textId="1F63E94F" w:rsidR="00952ABE" w:rsidRDefault="00952ABE" w:rsidP="007539C1">
      <w:pPr>
        <w:spacing w:line="276" w:lineRule="auto"/>
      </w:pPr>
      <w:r>
        <w:t>Figure S8: Comparison of BFR exposures to previous wristband studies.</w:t>
      </w:r>
    </w:p>
    <w:p w14:paraId="386E1AAA" w14:textId="2CBF7CC1" w:rsidR="00952ABE" w:rsidRDefault="00952ABE" w:rsidP="007539C1">
      <w:pPr>
        <w:spacing w:line="276" w:lineRule="auto"/>
      </w:pPr>
      <w:r>
        <w:t>Figure S9: Comparison of OPE exposures to previous wristband studies.</w:t>
      </w:r>
    </w:p>
    <w:p w14:paraId="7301B2DD" w14:textId="592EA849" w:rsidR="00952ABE" w:rsidRDefault="00952ABE" w:rsidP="007539C1">
      <w:pPr>
        <w:spacing w:line="276" w:lineRule="auto"/>
      </w:pPr>
      <w:r>
        <w:t>Figure S10: Comparison of phthalate exposures to previous wristband studies.</w:t>
      </w:r>
    </w:p>
    <w:p w14:paraId="4C6F3956" w14:textId="76B912C5" w:rsidR="00952ABE" w:rsidRDefault="00952ABE" w:rsidP="007539C1">
      <w:pPr>
        <w:spacing w:line="276" w:lineRule="auto"/>
      </w:pPr>
      <w:r>
        <w:t>Figure S11: Comparison of pesticide exposures to previous wristband studies.</w:t>
      </w:r>
    </w:p>
    <w:p w14:paraId="61F77FCB" w14:textId="0479CEC3" w:rsidR="00952ABE" w:rsidRDefault="00952ABE" w:rsidP="007539C1">
      <w:pPr>
        <w:spacing w:line="276" w:lineRule="auto"/>
      </w:pPr>
      <w:r>
        <w:t>Figure S12: Comparison of PAH exposures to previous wristband studies.</w:t>
      </w:r>
    </w:p>
    <w:p w14:paraId="6EEE69A2" w14:textId="7954BF5E" w:rsidR="00952ABE" w:rsidRDefault="00952ABE" w:rsidP="007539C1">
      <w:pPr>
        <w:spacing w:line="276" w:lineRule="auto"/>
      </w:pPr>
      <w:r>
        <w:t>Figure S13: Correlations between chemicals.</w:t>
      </w:r>
    </w:p>
    <w:p w14:paraId="4B57525A" w14:textId="1EC0A246" w:rsidR="00952ABE" w:rsidRDefault="00952ABE" w:rsidP="007539C1">
      <w:pPr>
        <w:spacing w:line="276" w:lineRule="auto"/>
      </w:pPr>
      <w:r>
        <w:t>Figure S14: Latent class analysis on product user types relevant to phthalates.</w:t>
      </w:r>
    </w:p>
    <w:p w14:paraId="049603A1" w14:textId="2B3A51BA" w:rsidR="00952ABE" w:rsidRDefault="00952ABE" w:rsidP="007539C1">
      <w:pPr>
        <w:spacing w:line="276" w:lineRule="auto"/>
      </w:pPr>
      <w:r>
        <w:t>Figure S15: Boxplots of chemicals by building.</w:t>
      </w:r>
    </w:p>
    <w:p w14:paraId="7657AFA8" w14:textId="77777777" w:rsidR="00194EE5" w:rsidRDefault="00194EE5" w:rsidP="007539C1">
      <w:pPr>
        <w:spacing w:line="276" w:lineRule="auto"/>
      </w:pPr>
      <w:r>
        <w:t>Table S1: Building, workstation, and individual characteristics of study population.</w:t>
      </w:r>
    </w:p>
    <w:p w14:paraId="0773656E" w14:textId="25A5FA74" w:rsidR="00952ABE" w:rsidRDefault="00952ABE" w:rsidP="007539C1">
      <w:pPr>
        <w:spacing w:line="276" w:lineRule="auto"/>
      </w:pPr>
      <w:r>
        <w:t>Table S</w:t>
      </w:r>
      <w:r w:rsidR="00194EE5">
        <w:t>2</w:t>
      </w:r>
      <w:r>
        <w:t>: Chemical names and detection limits.</w:t>
      </w:r>
    </w:p>
    <w:p w14:paraId="3B981EA4" w14:textId="1CB3DC7F" w:rsidR="00952ABE" w:rsidRDefault="00952ABE" w:rsidP="007539C1">
      <w:pPr>
        <w:spacing w:line="276" w:lineRule="auto"/>
      </w:pPr>
      <w:r>
        <w:t>Table S</w:t>
      </w:r>
      <w:r w:rsidR="00194EE5">
        <w:t>3</w:t>
      </w:r>
      <w:r>
        <w:t>: Information on internal standards and recoveries.</w:t>
      </w:r>
    </w:p>
    <w:p w14:paraId="29E53E3B" w14:textId="5E1CA5B2" w:rsidR="00952ABE" w:rsidRDefault="00952ABE" w:rsidP="007539C1">
      <w:pPr>
        <w:spacing w:line="276" w:lineRule="auto"/>
      </w:pPr>
      <w:r>
        <w:t xml:space="preserve">Table S4: Summary statistics of chemical concentrations </w:t>
      </w:r>
      <w:r w:rsidR="002F299A">
        <w:t>scaled</w:t>
      </w:r>
      <w:r>
        <w:t xml:space="preserve"> to 32-hour exposure.</w:t>
      </w:r>
    </w:p>
    <w:p w14:paraId="5A9133AD" w14:textId="775E0E6E" w:rsidR="00952ABE" w:rsidRDefault="00952ABE" w:rsidP="007539C1">
      <w:pPr>
        <w:spacing w:line="276" w:lineRule="auto"/>
      </w:pPr>
      <w:r>
        <w:t xml:space="preserve">Table S5: Summary statistics of chemical concentrations </w:t>
      </w:r>
      <w:r w:rsidR="002F299A">
        <w:t xml:space="preserve">scaled </w:t>
      </w:r>
      <w:r>
        <w:t>to 7-day exposure.</w:t>
      </w:r>
    </w:p>
    <w:p w14:paraId="6E5C8533" w14:textId="4791141B" w:rsidR="004A53E5" w:rsidRDefault="004A53E5" w:rsidP="007539C1">
      <w:pPr>
        <w:spacing w:line="276" w:lineRule="auto"/>
      </w:pPr>
      <w:r>
        <w:t>Table S6: Between-building variability in log chemical concentrations in models.</w:t>
      </w:r>
    </w:p>
    <w:p w14:paraId="6D334F87" w14:textId="71A03C68" w:rsidR="00952ABE" w:rsidRPr="00952ABE" w:rsidRDefault="00952ABE" w:rsidP="007539C1">
      <w:pPr>
        <w:spacing w:line="276" w:lineRule="auto"/>
      </w:pPr>
      <w:r>
        <w:t>Table S</w:t>
      </w:r>
      <w:r w:rsidR="004A53E5">
        <w:t>7</w:t>
      </w:r>
      <w:r>
        <w:t>: Results of sensitivity models controlling for indoor air measurements.</w:t>
      </w:r>
      <w:r>
        <w:rPr>
          <w:b/>
          <w:bCs/>
          <w:sz w:val="22"/>
          <w:szCs w:val="22"/>
        </w:rPr>
        <w:br w:type="page"/>
      </w:r>
    </w:p>
    <w:p w14:paraId="3EB7A4AF" w14:textId="7AFB0660" w:rsidR="006E3738" w:rsidRPr="00AF6529" w:rsidRDefault="006E3738">
      <w:pPr>
        <w:rPr>
          <w:b/>
          <w:bCs/>
          <w:i/>
          <w:iCs/>
          <w:sz w:val="28"/>
          <w:szCs w:val="28"/>
        </w:rPr>
      </w:pPr>
      <w:r w:rsidRPr="00AF6529">
        <w:rPr>
          <w:b/>
          <w:bCs/>
          <w:i/>
          <w:iCs/>
          <w:sz w:val="28"/>
          <w:szCs w:val="28"/>
        </w:rPr>
        <w:lastRenderedPageBreak/>
        <w:t>Methods: Study Population</w:t>
      </w:r>
    </w:p>
    <w:p w14:paraId="72BAC6CF" w14:textId="77777777" w:rsidR="006E3738" w:rsidRDefault="006E3738">
      <w:pPr>
        <w:rPr>
          <w:b/>
          <w:bCs/>
        </w:rPr>
      </w:pPr>
    </w:p>
    <w:p w14:paraId="7C65C0C7" w14:textId="766088C2" w:rsidR="006E3738" w:rsidRDefault="006E3738" w:rsidP="006E3738">
      <w:pPr>
        <w:spacing w:line="480" w:lineRule="auto"/>
        <w:ind w:firstLine="720"/>
      </w:pPr>
      <w:r>
        <w:t xml:space="preserve">Participants </w:t>
      </w:r>
      <w:r w:rsidR="00CE7BCC">
        <w:t xml:space="preserve">for this nested sub-study </w:t>
      </w:r>
      <w:r>
        <w:t xml:space="preserve">were recruited from the pre-existing Global CogFx building cohort. </w:t>
      </w:r>
      <w:r w:rsidR="0014783D" w:rsidRPr="005079D9">
        <w:t xml:space="preserve">Briefly, the </w:t>
      </w:r>
      <w:r w:rsidR="0014783D">
        <w:t xml:space="preserve">Global </w:t>
      </w:r>
      <w:r w:rsidR="0014783D" w:rsidRPr="005079D9">
        <w:t xml:space="preserve">CogFx </w:t>
      </w:r>
      <w:r w:rsidR="0014783D">
        <w:t xml:space="preserve">building </w:t>
      </w:r>
      <w:r w:rsidR="0014783D" w:rsidRPr="005079D9">
        <w:t xml:space="preserve">cohort included a convenience sample of </w:t>
      </w:r>
      <w:r w:rsidR="0014783D">
        <w:t>knowledge work companies (</w:t>
      </w:r>
      <w:proofErr w:type="gramStart"/>
      <w:r w:rsidR="0014783D">
        <w:t>e.g.</w:t>
      </w:r>
      <w:proofErr w:type="gramEnd"/>
      <w:r w:rsidR="0014783D">
        <w:t xml:space="preserve"> </w:t>
      </w:r>
      <w:r w:rsidR="0014783D" w:rsidRPr="005079D9">
        <w:t>architecture, technology, real estate investment, coworking, and engineering</w:t>
      </w:r>
      <w:r w:rsidR="0014783D">
        <w:t>)</w:t>
      </w:r>
      <w:r w:rsidR="0014783D" w:rsidRPr="005079D9">
        <w:t xml:space="preserve"> </w:t>
      </w:r>
      <w:r w:rsidR="0014783D">
        <w:t xml:space="preserve">located in urban commercial real estate </w:t>
      </w:r>
      <w:r w:rsidR="0014783D" w:rsidRPr="005079D9">
        <w:t xml:space="preserve">(i.e. no retail or manufacturing sites). </w:t>
      </w:r>
      <w:r w:rsidRPr="005079D9">
        <w:t xml:space="preserve">Within each building of the CogFx study, </w:t>
      </w:r>
      <w:r w:rsidR="00CD0836">
        <w:t>any company employee was invited to take the eligibility survey. T</w:t>
      </w:r>
      <w:r w:rsidR="00050721">
        <w:t xml:space="preserve">here </w:t>
      </w:r>
      <w:r w:rsidR="00CB4D10">
        <w:t>was</w:t>
      </w:r>
      <w:r w:rsidR="00050721">
        <w:t xml:space="preserve"> a median of</w:t>
      </w:r>
      <w:r w:rsidR="00CE7BCC">
        <w:t xml:space="preserve"> </w:t>
      </w:r>
      <w:r w:rsidRPr="005079D9">
        <w:t xml:space="preserve">10 </w:t>
      </w:r>
      <w:r w:rsidR="00CE7BCC">
        <w:t>volunteers</w:t>
      </w:r>
      <w:r w:rsidRPr="005079D9">
        <w:t xml:space="preserve"> </w:t>
      </w:r>
      <w:r w:rsidR="00ED08E0">
        <w:t xml:space="preserve">per building </w:t>
      </w:r>
      <w:r w:rsidR="00050721">
        <w:t xml:space="preserve">who </w:t>
      </w:r>
      <w:r w:rsidRPr="005079D9">
        <w:t xml:space="preserve">were selected </w:t>
      </w:r>
      <w:r w:rsidR="00CE7BCC">
        <w:t xml:space="preserve">to join the study </w:t>
      </w:r>
      <w:r w:rsidR="00050721">
        <w:t>and</w:t>
      </w:r>
      <w:r w:rsidRPr="005079D9">
        <w:t xml:space="preserve"> met the following eligibility criteria: between the ages of 18 and 65</w:t>
      </w:r>
      <w:r w:rsidR="009F4C1F">
        <w:t xml:space="preserve"> years</w:t>
      </w:r>
      <w:r w:rsidRPr="005079D9">
        <w:t>, use</w:t>
      </w:r>
      <w:r w:rsidR="00CC2323">
        <w:t>d</w:t>
      </w:r>
      <w:r w:rsidRPr="005079D9">
        <w:t xml:space="preserve"> a smartphone, </w:t>
      </w:r>
      <w:r w:rsidR="00CC2323">
        <w:t>was</w:t>
      </w:r>
      <w:r w:rsidRPr="005079D9">
        <w:t xml:space="preserve"> a permanent full-time employee, work</w:t>
      </w:r>
      <w:r w:rsidR="00CC2323">
        <w:t>ed</w:t>
      </w:r>
      <w:r w:rsidRPr="005079D9">
        <w:t xml:space="preserve"> at least three days per week in the office, </w:t>
      </w:r>
      <w:r w:rsidR="00CC2323">
        <w:t>was</w:t>
      </w:r>
      <w:r w:rsidRPr="005079D9">
        <w:t xml:space="preserve"> a non-smoker, and </w:t>
      </w:r>
      <w:r w:rsidR="00CC2323">
        <w:t>was</w:t>
      </w:r>
      <w:r w:rsidRPr="005079D9">
        <w:t xml:space="preserve"> not color blind (due to other cognitive function tests that are not relevant to this current study). We invited all of the original study participants in </w:t>
      </w:r>
      <w:r w:rsidR="00443B3C">
        <w:t xml:space="preserve">most of </w:t>
      </w:r>
      <w:r w:rsidRPr="005079D9">
        <w:t>these buildings to participate in our nested study. In China, we also extended recruitment to other employees in the same office who were not original participants in the parent study in order to increase our population size.</w:t>
      </w:r>
      <w:r w:rsidRPr="006E3738">
        <w:t xml:space="preserve"> </w:t>
      </w:r>
      <w:r w:rsidR="00C4713C">
        <w:t xml:space="preserve">From the original CogFx study cohort of buildings we recruited from, we successfully sampled about 55% of the USA participants, 66% of the UK participants, </w:t>
      </w:r>
      <w:r w:rsidR="004448EA">
        <w:t xml:space="preserve">56% of the participants in India, and 35% of the original participants in China (not </w:t>
      </w:r>
      <w:r w:rsidR="001B457E">
        <w:t>considering</w:t>
      </w:r>
      <w:r w:rsidR="004448EA">
        <w:t xml:space="preserve"> other coworkers we opened recruitment to in China).</w:t>
      </w:r>
    </w:p>
    <w:p w14:paraId="01370088" w14:textId="1704EA1D" w:rsidR="00AF64A8" w:rsidRDefault="006E3738" w:rsidP="006E3738">
      <w:pPr>
        <w:spacing w:line="480" w:lineRule="auto"/>
        <w:ind w:firstLine="720"/>
        <w:rPr>
          <w:sz w:val="18"/>
          <w:szCs w:val="18"/>
        </w:rPr>
      </w:pPr>
      <w:r>
        <w:t xml:space="preserve">The final 251 workers who participated in this nested sub-study of chemical exposures occupied </w:t>
      </w:r>
      <w:r w:rsidR="0099733A">
        <w:t>3</w:t>
      </w:r>
      <w:r>
        <w:t xml:space="preserve">6 different buildings across the four countries. </w:t>
      </w:r>
      <w:r w:rsidRPr="005079D9">
        <w:t xml:space="preserve">The </w:t>
      </w:r>
      <w:r>
        <w:t xml:space="preserve">included </w:t>
      </w:r>
      <w:r w:rsidRPr="005079D9">
        <w:t xml:space="preserve">USA buildings were located in the following cities (states): Chicago (IL), Cleveland (OH), Phoenix (AZ), Overland Park (KS), Los Angeles (CA), Minneapolis (MN), Omaha (NE), Denver (CO), Seattle (WA), Washington DC, San Francisco (CA), Clearwater (FL), and Boston (MA). The UK buildings were located in Cambridge (East of England), London (Greater London), Sheffield (Yorkshire </w:t>
      </w:r>
      <w:r w:rsidRPr="005079D9">
        <w:lastRenderedPageBreak/>
        <w:t xml:space="preserve">and the Humber), Birmingham (West Midlands), and Croydon (Greater London). The </w:t>
      </w:r>
      <w:r w:rsidR="00ED3A4A">
        <w:t xml:space="preserve">six </w:t>
      </w:r>
      <w:r w:rsidRPr="005079D9">
        <w:t xml:space="preserve">buildings in China were </w:t>
      </w:r>
      <w:r w:rsidR="00ED3A4A">
        <w:t xml:space="preserve">all </w:t>
      </w:r>
      <w:r w:rsidRPr="005079D9">
        <w:t xml:space="preserve">located in </w:t>
      </w:r>
      <w:r w:rsidR="00ED3A4A">
        <w:t xml:space="preserve">either </w:t>
      </w:r>
      <w:r w:rsidRPr="005079D9">
        <w:t>Shanghai (municipality) and Chengdu (Sichuan Province). The buildings in India were in Bengaluru (KA), Mumbai (MH), Gurugram (HR), Hyderabad (TS)</w:t>
      </w:r>
      <w:r>
        <w:t>, Pune (MH), and Gurgaon (HR)</w:t>
      </w:r>
      <w:r w:rsidRPr="005079D9">
        <w:t xml:space="preserve">. </w:t>
      </w:r>
      <w:r w:rsidRPr="004E04AD">
        <w:rPr>
          <w:sz w:val="18"/>
          <w:szCs w:val="18"/>
        </w:rPr>
        <w:t xml:space="preserve"> </w:t>
      </w:r>
    </w:p>
    <w:p w14:paraId="0E61EF18" w14:textId="77777777" w:rsidR="00D36233" w:rsidRDefault="00D36233" w:rsidP="004741D9">
      <w:pPr>
        <w:spacing w:line="480" w:lineRule="auto"/>
        <w:rPr>
          <w:sz w:val="18"/>
          <w:szCs w:val="18"/>
        </w:rPr>
      </w:pPr>
    </w:p>
    <w:p w14:paraId="27D4DD4B" w14:textId="36BB7CDE" w:rsidR="00D36233" w:rsidRPr="00AF6529" w:rsidRDefault="00D36233" w:rsidP="00D36233">
      <w:pPr>
        <w:rPr>
          <w:b/>
          <w:bCs/>
          <w:i/>
          <w:iCs/>
          <w:sz w:val="28"/>
          <w:szCs w:val="28"/>
        </w:rPr>
      </w:pPr>
      <w:bookmarkStart w:id="0" w:name="_Toc40279410"/>
      <w:r w:rsidRPr="00AF6529">
        <w:rPr>
          <w:b/>
          <w:bCs/>
          <w:i/>
          <w:iCs/>
          <w:sz w:val="28"/>
          <w:szCs w:val="28"/>
        </w:rPr>
        <w:t xml:space="preserve">Methods: </w:t>
      </w:r>
      <w:r>
        <w:rPr>
          <w:b/>
          <w:bCs/>
          <w:i/>
          <w:iCs/>
          <w:sz w:val="28"/>
          <w:szCs w:val="28"/>
        </w:rPr>
        <w:t>Laboratory Analyses of Wristbands</w:t>
      </w:r>
    </w:p>
    <w:p w14:paraId="2C3A59B8" w14:textId="77777777" w:rsidR="00D36233" w:rsidRDefault="00D36233" w:rsidP="00D36233">
      <w:pPr>
        <w:rPr>
          <w:b/>
          <w:bCs/>
        </w:rPr>
      </w:pPr>
    </w:p>
    <w:p w14:paraId="77DBC4EC" w14:textId="5E768B0A" w:rsidR="00D36233" w:rsidRDefault="00D36233" w:rsidP="00D36233">
      <w:pPr>
        <w:spacing w:line="480" w:lineRule="auto"/>
        <w:ind w:firstLine="720"/>
      </w:pPr>
      <w:r w:rsidRPr="005079D9">
        <w:t xml:space="preserve">Approximately one-fifth of each wristband was used for analyses, with sample masses around 0.75 g. The wristband segments were transferred to a clean 50 mL glass centrifuge tube and spiked with </w:t>
      </w:r>
      <w:proofErr w:type="gramStart"/>
      <w:r w:rsidRPr="005079D9">
        <w:t>isotopically-labeled</w:t>
      </w:r>
      <w:proofErr w:type="gramEnd"/>
      <w:r w:rsidRPr="005079D9">
        <w:t xml:space="preserve"> compounds</w:t>
      </w:r>
      <w:r>
        <w:t xml:space="preserve"> (Table S3)</w:t>
      </w:r>
      <w:r w:rsidRPr="005079D9">
        <w:t>. The wristband samples were extracted via sonication (15 minutes repeated three times) with 10 mL of a 50:50 mixture (</w:t>
      </w:r>
      <w:proofErr w:type="spellStart"/>
      <w:proofErr w:type="gramStart"/>
      <w:r w:rsidRPr="005079D9">
        <w:t>v:v</w:t>
      </w:r>
      <w:proofErr w:type="spellEnd"/>
      <w:proofErr w:type="gramEnd"/>
      <w:r w:rsidRPr="005079D9">
        <w:t xml:space="preserve">) of </w:t>
      </w:r>
      <w:proofErr w:type="spellStart"/>
      <w:r w:rsidRPr="005079D9">
        <w:t>hexane:dichloromethane</w:t>
      </w:r>
      <w:proofErr w:type="spellEnd"/>
      <w:r w:rsidRPr="005079D9">
        <w:t xml:space="preserve"> for a final extraction volume of 30 </w:t>
      </w:r>
      <w:proofErr w:type="spellStart"/>
      <w:r w:rsidRPr="005079D9">
        <w:t>mL.</w:t>
      </w:r>
      <w:proofErr w:type="spellEnd"/>
      <w:r w:rsidRPr="005079D9">
        <w:t xml:space="preserve"> Samples were then concentrated to ~ 1 mL using purified nitrogen. Extracts were purified using 8 g of water deactivated, 100-200 mesh </w:t>
      </w:r>
      <w:proofErr w:type="spellStart"/>
      <w:r w:rsidRPr="005079D9">
        <w:t>Acros</w:t>
      </w:r>
      <w:proofErr w:type="spellEnd"/>
      <w:r w:rsidRPr="005079D9">
        <w:t xml:space="preserve"> Organics </w:t>
      </w:r>
      <w:proofErr w:type="spellStart"/>
      <w:r w:rsidRPr="005079D9">
        <w:t>Flor</w:t>
      </w:r>
      <w:r>
        <w:t>i</w:t>
      </w:r>
      <w:r w:rsidRPr="005079D9">
        <w:t>sil</w:t>
      </w:r>
      <w:proofErr w:type="spellEnd"/>
      <w:r w:rsidRPr="005079D9">
        <w:t xml:space="preserve"> (Thermo Fisher Scientific, Waltham, MA, USA). Two </w:t>
      </w:r>
      <w:r>
        <w:t xml:space="preserve">30 mL </w:t>
      </w:r>
      <w:r w:rsidRPr="005079D9">
        <w:t>fractions</w:t>
      </w:r>
      <w:r>
        <w:t xml:space="preserve">, hexane and ethyl acetate respectively, </w:t>
      </w:r>
      <w:r w:rsidRPr="005079D9">
        <w:t>were collected together, concentrated to near dryness, and reconstituted in 1 mL of hexane. Most target analytes were analyzed using a</w:t>
      </w:r>
      <w:r>
        <w:t>n</w:t>
      </w:r>
      <w:r w:rsidRPr="005079D9">
        <w:t xml:space="preserve"> </w:t>
      </w:r>
      <w:proofErr w:type="spellStart"/>
      <w:r w:rsidRPr="005079D9">
        <w:t>Exactive</w:t>
      </w:r>
      <w:proofErr w:type="spellEnd"/>
      <w:r w:rsidRPr="005079D9">
        <w:t xml:space="preserve"> GC Hybrid Quadrupole-Orbitrap GC-MS/MS system (Thermo Fisher Scientific, Waltham, MA, USA) operated in full scan Electron Ionization (EI) mode. BEHTBP, BDE 183</w:t>
      </w:r>
      <w:r>
        <w:t>,</w:t>
      </w:r>
      <w:r w:rsidRPr="005079D9">
        <w:t xml:space="preserve"> and BDE 209 </w:t>
      </w:r>
      <w:r>
        <w:t xml:space="preserve">in Batch 1 </w:t>
      </w:r>
      <w:r w:rsidRPr="005079D9">
        <w:t>were analyzed using a single quadrupole GC-MS (Agilent 6890N and 5975, respectively) (Agilent Technologies, Inc., Santa Clara, CA, USA) operated in electron capture negative chemical ionization (ECNI) mode.</w:t>
      </w:r>
      <w:r>
        <w:t xml:space="preserve"> </w:t>
      </w:r>
      <w:r w:rsidRPr="007E2B72">
        <w:t>BEHTBP, BDE 183</w:t>
      </w:r>
      <w:r>
        <w:t>,</w:t>
      </w:r>
      <w:r w:rsidRPr="007E2B72">
        <w:t xml:space="preserve"> and BDE 209 in Batch 2 were analyzed using the </w:t>
      </w:r>
      <w:proofErr w:type="spellStart"/>
      <w:r w:rsidRPr="007E2B72">
        <w:t>Exactive</w:t>
      </w:r>
      <w:proofErr w:type="spellEnd"/>
      <w:r w:rsidRPr="007E2B72">
        <w:t xml:space="preserve"> GC Hybrid Quadrupole-Orbitrap GC-MS/MS system operated in NCI mode.</w:t>
      </w:r>
    </w:p>
    <w:p w14:paraId="04C0F3AD" w14:textId="2E2EFF31" w:rsidR="00583A63" w:rsidRDefault="00583A63" w:rsidP="00583A63">
      <w:pPr>
        <w:spacing w:line="480" w:lineRule="auto"/>
        <w:ind w:firstLine="720"/>
      </w:pPr>
      <w:r>
        <w:t xml:space="preserve">Wristbands from eight participants (3.2%) in the first small set of samples, including three from the USA and five from the UK, were not measured for some of the analytes, including </w:t>
      </w:r>
      <w:r>
        <w:lastRenderedPageBreak/>
        <w:t xml:space="preserve">PCBs [PCB-11], OPEs [TEP, </w:t>
      </w:r>
      <w:proofErr w:type="spellStart"/>
      <w:r>
        <w:t>TiPP</w:t>
      </w:r>
      <w:proofErr w:type="spellEnd"/>
      <w:r>
        <w:t xml:space="preserve">, </w:t>
      </w:r>
      <w:proofErr w:type="spellStart"/>
      <w:r>
        <w:t>TPrP</w:t>
      </w:r>
      <w:proofErr w:type="spellEnd"/>
      <w:r>
        <w:t xml:space="preserve">, TiBP, </w:t>
      </w:r>
      <w:proofErr w:type="spellStart"/>
      <w:r>
        <w:t>TPeP</w:t>
      </w:r>
      <w:proofErr w:type="spellEnd"/>
      <w:r>
        <w:t xml:space="preserve">, TEHP, </w:t>
      </w:r>
      <w:proofErr w:type="spellStart"/>
      <w:r>
        <w:t>ToCP</w:t>
      </w:r>
      <w:proofErr w:type="spellEnd"/>
      <w:r>
        <w:t xml:space="preserve">, </w:t>
      </w:r>
      <w:proofErr w:type="spellStart"/>
      <w:r>
        <w:t>TmCP</w:t>
      </w:r>
      <w:proofErr w:type="spellEnd"/>
      <w:r>
        <w:t xml:space="preserve">, TpCP, TDMPP], pesticides [atrazine, fipronil, malathion, </w:t>
      </w:r>
      <w:proofErr w:type="spellStart"/>
      <w:proofErr w:type="gramStart"/>
      <w:r>
        <w:t>p,p</w:t>
      </w:r>
      <w:proofErr w:type="spellEnd"/>
      <w:proofErr w:type="gramEnd"/>
      <w:r>
        <w:t xml:space="preserve">’-DDE, </w:t>
      </w:r>
      <w:proofErr w:type="spellStart"/>
      <w:r>
        <w:t>trifloxystrobin</w:t>
      </w:r>
      <w:proofErr w:type="spellEnd"/>
      <w:r>
        <w:t xml:space="preserve">], and all PAHs (Table S2). </w:t>
      </w:r>
    </w:p>
    <w:p w14:paraId="0084F793" w14:textId="77777777" w:rsidR="00D36233" w:rsidRPr="00D36233" w:rsidRDefault="00D36233" w:rsidP="00AF64A8">
      <w:pPr>
        <w:pStyle w:val="Heading3"/>
      </w:pPr>
    </w:p>
    <w:p w14:paraId="79B2EE58" w14:textId="603F8959" w:rsidR="00AF64A8" w:rsidRPr="005079D9" w:rsidRDefault="00AF64A8" w:rsidP="00AF64A8">
      <w:pPr>
        <w:pStyle w:val="Heading3"/>
      </w:pPr>
      <w:r w:rsidRPr="00AF6529">
        <w:rPr>
          <w:bCs/>
          <w:sz w:val="28"/>
          <w:szCs w:val="28"/>
        </w:rPr>
        <w:t xml:space="preserve">Methods: </w:t>
      </w:r>
      <w:r w:rsidRPr="00AF64A8">
        <w:rPr>
          <w:sz w:val="28"/>
          <w:szCs w:val="28"/>
        </w:rPr>
        <w:t>Quality Assurance and Quality Control</w:t>
      </w:r>
      <w:bookmarkEnd w:id="0"/>
    </w:p>
    <w:p w14:paraId="606E9DB4" w14:textId="1DE490A8" w:rsidR="00AF64A8" w:rsidRPr="005079D9" w:rsidRDefault="00694607" w:rsidP="00AF64A8">
      <w:pPr>
        <w:spacing w:line="480" w:lineRule="auto"/>
        <w:ind w:firstLine="720"/>
      </w:pPr>
      <w:r>
        <w:t>Field</w:t>
      </w:r>
      <w:r w:rsidR="00606F43">
        <w:t xml:space="preserve"> </w:t>
      </w:r>
      <w:r w:rsidR="00AF64A8" w:rsidRPr="005079D9">
        <w:t xml:space="preserve">blanks and lab blanks were processed and analyzed with each batch of wristbands for quality assurance and quality control. A six-point calibration curve was used to quantify each individual SVOC in samples and blanks. Method detection limits (MDLs) were calculated as three times the standard deviation of the field and lab blank responses. </w:t>
      </w:r>
      <w:r w:rsidR="00AF64A8">
        <w:t>The MDLs by batch are presented in Table S2.</w:t>
      </w:r>
    </w:p>
    <w:p w14:paraId="0EA4E66C" w14:textId="6A39242B" w:rsidR="00AF64A8" w:rsidRPr="005079D9" w:rsidRDefault="00AF64A8" w:rsidP="00AF64A8">
      <w:pPr>
        <w:spacing w:line="480" w:lineRule="auto"/>
      </w:pPr>
      <w:r w:rsidRPr="005079D9">
        <w:t xml:space="preserve"> </w:t>
      </w:r>
      <w:r>
        <w:tab/>
        <w:t>Isotopically labelled standards and their</w:t>
      </w:r>
      <w:r w:rsidRPr="005079D9">
        <w:t xml:space="preserve"> average recovery </w:t>
      </w:r>
      <w:r>
        <w:t>in the samples</w:t>
      </w:r>
      <w:r w:rsidRPr="005079D9">
        <w:t xml:space="preserve"> </w:t>
      </w:r>
      <w:r>
        <w:t>can be found in Table S3</w:t>
      </w:r>
      <w:r w:rsidRPr="005079D9">
        <w:t xml:space="preserve">. Target analyte concentrations were recovery-corrected with an appropriate internal standard to account for loss during laboratory processing. </w:t>
      </w:r>
    </w:p>
    <w:p w14:paraId="67288384" w14:textId="019DBD57" w:rsidR="00AF64A8" w:rsidRDefault="00AF64A8" w:rsidP="00AF64A8">
      <w:pPr>
        <w:spacing w:line="480" w:lineRule="auto"/>
        <w:ind w:firstLine="720"/>
        <w:rPr>
          <w:color w:val="000000"/>
        </w:rPr>
      </w:pPr>
      <w:r w:rsidRPr="005079D9">
        <w:rPr>
          <w:color w:val="000000"/>
        </w:rPr>
        <w:t xml:space="preserve">Prior to sample analysis, the QE-GC was tuned and calibrated to ensure maximum mass accuracy (&lt;0.5 ppm). The tune was examined after samples had run to ensure no significant sensitivity loss had occurred. Additionally, a standard mixture of all target analytes was injected periodically (every 15 injections) to monitor stability during the instrument run. </w:t>
      </w:r>
    </w:p>
    <w:p w14:paraId="5394F9E3" w14:textId="77777777" w:rsidR="00A87CD0" w:rsidRPr="00D36233" w:rsidRDefault="00A87CD0" w:rsidP="00A87CD0">
      <w:pPr>
        <w:pStyle w:val="Heading3"/>
      </w:pPr>
    </w:p>
    <w:p w14:paraId="15436B5C" w14:textId="10AEAF71" w:rsidR="00A87CD0" w:rsidRPr="005079D9" w:rsidRDefault="00A87CD0" w:rsidP="00A87CD0">
      <w:pPr>
        <w:pStyle w:val="Heading3"/>
      </w:pPr>
      <w:r w:rsidRPr="00AF6529">
        <w:rPr>
          <w:bCs/>
          <w:sz w:val="28"/>
          <w:szCs w:val="28"/>
        </w:rPr>
        <w:t xml:space="preserve">Methods: </w:t>
      </w:r>
      <w:r>
        <w:rPr>
          <w:sz w:val="28"/>
          <w:szCs w:val="28"/>
        </w:rPr>
        <w:t>Statistical Analyses</w:t>
      </w:r>
    </w:p>
    <w:p w14:paraId="4D8D5D36" w14:textId="757E9283" w:rsidR="00A87CD0" w:rsidRDefault="00252905" w:rsidP="00252905">
      <w:pPr>
        <w:spacing w:line="480" w:lineRule="auto"/>
        <w:ind w:firstLine="720"/>
      </w:pPr>
      <w:r w:rsidRPr="005079D9">
        <w:t>For formal statistical modeling, we excluded</w:t>
      </w:r>
      <w:r>
        <w:t xml:space="preserve"> eight </w:t>
      </w:r>
      <w:r w:rsidRPr="005079D9">
        <w:t>participants</w:t>
      </w:r>
      <w:r>
        <w:t xml:space="preserve"> (3.2%) who</w:t>
      </w:r>
      <w:r w:rsidRPr="005079D9">
        <w:t xml:space="preserve"> did not respond to </w:t>
      </w:r>
      <w:r>
        <w:t xml:space="preserve">at least one activity survey. For models of BFRs, OPEs, and phthalates, we excluded another two (0.8%) who did not respond to the workstation survey. Eight others (3.2%) were excluded for modeled chemicals that were not measured in the first sample batch: TiBP, TpCP, PCB-11, malathion, and </w:t>
      </w:r>
      <w:proofErr w:type="spellStart"/>
      <w:proofErr w:type="gramStart"/>
      <w:r>
        <w:t>p,p</w:t>
      </w:r>
      <w:proofErr w:type="spellEnd"/>
      <w:proofErr w:type="gramEnd"/>
      <w:r>
        <w:t xml:space="preserve">’-DDE. Thus, </w:t>
      </w:r>
      <w:r>
        <w:t>f</w:t>
      </w:r>
      <w:r w:rsidRPr="00252905">
        <w:t xml:space="preserve">inal sample sizes in statistical models ranged from </w:t>
      </w:r>
      <w:r w:rsidRPr="00252905">
        <w:lastRenderedPageBreak/>
        <w:t>n=233 to n=243 (except lower when only a subset of countries had enough detections to analyze)</w:t>
      </w:r>
      <w:r>
        <w:t>.</w:t>
      </w:r>
    </w:p>
    <w:p w14:paraId="13C7971D" w14:textId="5CB0931D" w:rsidR="00A021F4" w:rsidRDefault="00A021F4" w:rsidP="00252905">
      <w:pPr>
        <w:spacing w:line="480" w:lineRule="auto"/>
        <w:ind w:firstLine="720"/>
      </w:pPr>
      <w:r w:rsidRPr="005079D9">
        <w:t xml:space="preserve">The multilevel models </w:t>
      </w:r>
      <w:r>
        <w:t>included</w:t>
      </w:r>
      <w:r w:rsidRPr="005079D9">
        <w:t xml:space="preserve"> </w:t>
      </w:r>
      <w:r>
        <w:t xml:space="preserve">covariates for </w:t>
      </w:r>
      <w:r>
        <w:t xml:space="preserve">country; </w:t>
      </w:r>
      <w:r w:rsidRPr="005079D9">
        <w:t xml:space="preserve">building </w:t>
      </w:r>
      <w:r>
        <w:t xml:space="preserve">covariates: </w:t>
      </w:r>
      <w:r w:rsidRPr="005079D9">
        <w:t>construction</w:t>
      </w:r>
      <w:r>
        <w:t xml:space="preserve"> year,</w:t>
      </w:r>
      <w:r w:rsidRPr="005079D9">
        <w:t xml:space="preserve"> presence of foam chair (for flame retardants)</w:t>
      </w:r>
      <w:r>
        <w:t>,</w:t>
      </w:r>
      <w:r w:rsidRPr="005079D9">
        <w:t xml:space="preserve"> flooring type (for flame retardants and plasticizers)</w:t>
      </w:r>
      <w:r>
        <w:t>, recent building pesticide application; and individual behaviors while wearing wristbands: hand-washing frequency (daily average after recoding 0 for “Never”, 2 for “1-3”, 5 for “4-6”, 8 for “7-9”, and 12 for “10 or more”); wearing the wristband under clothing any day; eating produce at desk any day (for pesticides); wearing clothing cleaned with fragranced laundry detergent/softener/conditioner (for phthalates)</w:t>
      </w:r>
      <w:r w:rsidR="00B33D89">
        <w:t>; and product user type (for phthalates)</w:t>
      </w:r>
      <w:r>
        <w:t>.</w:t>
      </w:r>
      <w:r w:rsidR="004741D9">
        <w:t xml:space="preserve"> </w:t>
      </w:r>
      <w:r w:rsidR="004741D9" w:rsidRPr="004741D9">
        <w:t xml:space="preserve">For models of phthalates and their alternatives, we </w:t>
      </w:r>
      <w:r w:rsidR="004741D9">
        <w:t xml:space="preserve">also </w:t>
      </w:r>
      <w:r w:rsidR="004741D9" w:rsidRPr="004741D9">
        <w:t>conducted latent class analysis (LCA) to identify</w:t>
      </w:r>
      <w:r w:rsidR="00D15D39">
        <w:t xml:space="preserve"> covariate for</w:t>
      </w:r>
      <w:r w:rsidR="004741D9" w:rsidRPr="004741D9">
        <w:t xml:space="preserve"> personal care product user types</w:t>
      </w:r>
      <w:r w:rsidR="00D15D39">
        <w:t xml:space="preserve"> based on self-</w:t>
      </w:r>
      <w:r w:rsidR="004741D9" w:rsidRPr="004741D9">
        <w:t xml:space="preserve">reported use on any study day </w:t>
      </w:r>
      <w:proofErr w:type="gramStart"/>
      <w:r w:rsidR="004741D9" w:rsidRPr="004741D9">
        <w:t>of:</w:t>
      </w:r>
      <w:proofErr w:type="gramEnd"/>
      <w:r w:rsidR="004741D9" w:rsidRPr="004741D9">
        <w:t xml:space="preserve"> aftershave; body or hand lotion; deodorant; hair oil, grease, or leave-in conditioner; hair spray; makeup foundation, blush, or eye shadow; nail polish; and perfume or cologne. </w:t>
      </w:r>
      <w:r w:rsidR="002D2474">
        <w:t>The survey questions about personal care products included products they applied any time before they took off the wristband (</w:t>
      </w:r>
      <w:proofErr w:type="gramStart"/>
      <w:r w:rsidR="002D2474">
        <w:t>i.e.</w:t>
      </w:r>
      <w:proofErr w:type="gramEnd"/>
      <w:r w:rsidR="002D2474">
        <w:t xml:space="preserve"> including the morning before putting the wristband on, because many fragrances persist over time).</w:t>
      </w:r>
      <w:r w:rsidR="002D2474">
        <w:t xml:space="preserve"> </w:t>
      </w:r>
      <w:proofErr w:type="gramStart"/>
      <w:r w:rsidR="004741D9" w:rsidRPr="004741D9">
        <w:t>We</w:t>
      </w:r>
      <w:proofErr w:type="gramEnd"/>
      <w:r w:rsidR="004741D9" w:rsidRPr="004741D9">
        <w:t xml:space="preserve"> chose the LCA model with optimal AIC and BIC while minimizing latent classes (all less than seven) and ensuring interpretability. User types were based on product weight-based probabilities of assignment into a latent class and on which products differentiated latent classes the most.</w:t>
      </w:r>
    </w:p>
    <w:p w14:paraId="7D08A057" w14:textId="5CC3CD47" w:rsidR="004B3048" w:rsidRDefault="004B3048" w:rsidP="00252905">
      <w:pPr>
        <w:spacing w:line="480" w:lineRule="auto"/>
        <w:ind w:firstLine="720"/>
      </w:pPr>
      <w:r w:rsidRPr="005079D9">
        <w:t xml:space="preserve">To avoid multiple testing issues that </w:t>
      </w:r>
      <w:r>
        <w:t>c</w:t>
      </w:r>
      <w:r w:rsidRPr="005079D9">
        <w:t xml:space="preserve">ould arise from statistical models on </w:t>
      </w:r>
      <w:r>
        <w:t>99</w:t>
      </w:r>
      <w:r w:rsidRPr="005079D9">
        <w:t xml:space="preserve"> chemicals, we </w:t>
      </w:r>
      <w:r>
        <w:t xml:space="preserve">first selected pesticides detected in over half of samples within at least one country. For chemical classes with building material uses (PCBs, BFRs, and OPEs), and separately for phthalates with personal care product sources, we </w:t>
      </w:r>
      <w:r w:rsidRPr="005079D9">
        <w:t xml:space="preserve">used principal component analysis results to </w:t>
      </w:r>
      <w:r w:rsidRPr="005079D9">
        <w:lastRenderedPageBreak/>
        <w:t xml:space="preserve">select key </w:t>
      </w:r>
      <w:r>
        <w:t>chemicals for models (Figure S1)</w:t>
      </w:r>
      <w:r w:rsidRPr="005079D9">
        <w:t>. We chose</w:t>
      </w:r>
      <w:r>
        <w:t xml:space="preserve"> </w:t>
      </w:r>
      <w:r w:rsidRPr="005079D9">
        <w:t>one to two tracer chemicals per principal component</w:t>
      </w:r>
      <w:r w:rsidRPr="00AB373A">
        <w:t xml:space="preserve"> </w:t>
      </w:r>
      <w:r>
        <w:t>to use as model outcomes</w:t>
      </w:r>
      <w:r w:rsidRPr="005079D9">
        <w:t xml:space="preserve">. We prioritized the chemical(s) with the highest contributions to each component, then the chemicals with the highest detection frequencies, while </w:t>
      </w:r>
      <w:r>
        <w:t>including</w:t>
      </w:r>
      <w:r w:rsidRPr="005079D9">
        <w:t xml:space="preserve"> a second chemical if used in different product application</w:t>
      </w:r>
      <w:r>
        <w:t>s</w:t>
      </w:r>
      <w:r w:rsidRPr="005079D9">
        <w:t>.</w:t>
      </w:r>
    </w:p>
    <w:p w14:paraId="7DE93B17" w14:textId="77777777" w:rsidR="00A87CD0" w:rsidRDefault="00A87CD0" w:rsidP="00A87CD0">
      <w:pPr>
        <w:spacing w:line="480" w:lineRule="auto"/>
        <w:ind w:firstLine="720"/>
        <w:rPr>
          <w:color w:val="000000"/>
        </w:rPr>
      </w:pPr>
    </w:p>
    <w:p w14:paraId="39733E06" w14:textId="3689B79D" w:rsidR="00EA5DF7" w:rsidRPr="00EA5DF7" w:rsidRDefault="006166B3" w:rsidP="00EA5DF7">
      <w:pPr>
        <w:pStyle w:val="Heading3"/>
      </w:pPr>
      <w:r>
        <w:rPr>
          <w:bCs/>
          <w:sz w:val="28"/>
          <w:szCs w:val="28"/>
        </w:rPr>
        <w:t>Results</w:t>
      </w:r>
      <w:r w:rsidR="00EA5DF7" w:rsidRPr="00AF6529">
        <w:rPr>
          <w:bCs/>
          <w:sz w:val="28"/>
          <w:szCs w:val="28"/>
        </w:rPr>
        <w:t xml:space="preserve">: </w:t>
      </w:r>
      <w:r w:rsidR="00EA5DF7">
        <w:rPr>
          <w:sz w:val="28"/>
          <w:szCs w:val="28"/>
        </w:rPr>
        <w:t>Indoor Air Quality Measurements in Sensitivity Analyses</w:t>
      </w:r>
    </w:p>
    <w:p w14:paraId="68FF5FD1" w14:textId="29D75870" w:rsidR="00EA5DF7" w:rsidRDefault="009E38EB" w:rsidP="00AF64A8">
      <w:pPr>
        <w:spacing w:line="480" w:lineRule="auto"/>
        <w:ind w:firstLine="720"/>
      </w:pPr>
      <w:r>
        <w:t>In sensitivity analyses, we conducted the same statistical models but with additional covariates for average indoor air exchange rate (calculated from CO</w:t>
      </w:r>
      <w:r>
        <w:rPr>
          <w:vertAlign w:val="subscript"/>
        </w:rPr>
        <w:t>2</w:t>
      </w:r>
      <w:r>
        <w:t>), PM</w:t>
      </w:r>
      <w:r>
        <w:rPr>
          <w:vertAlign w:val="subscript"/>
        </w:rPr>
        <w:t>2.5</w:t>
      </w:r>
      <w:r>
        <w:t xml:space="preserve"> concentration, temperature, and relative humidity during the study week. </w:t>
      </w:r>
      <w:r w:rsidR="00EA5DF7">
        <w:t>As these variables were not available for 32 participants due to sensor technological issues, we did not include them in the main models.</w:t>
      </w:r>
      <w:r w:rsidR="00B8615A">
        <w:t xml:space="preserve"> The </w:t>
      </w:r>
      <w:r w:rsidR="0075050D">
        <w:t xml:space="preserve">base </w:t>
      </w:r>
      <w:r w:rsidR="00B8615A">
        <w:t xml:space="preserve">sample size for these models was </w:t>
      </w:r>
      <w:r w:rsidR="00B8615A">
        <w:rPr>
          <w:i/>
          <w:iCs/>
        </w:rPr>
        <w:t>n=</w:t>
      </w:r>
      <w:r w:rsidR="00B8615A">
        <w:t>212.</w:t>
      </w:r>
      <w:r w:rsidR="00EA5DF7" w:rsidRPr="00EA5DF7">
        <w:t xml:space="preserve"> </w:t>
      </w:r>
      <w:r w:rsidR="009A7147">
        <w:t xml:space="preserve">We did not find any appreciable differences in the results of our primary covariates except for a change in the precision of some estimates but negligible changes in the actual point estimates. </w:t>
      </w:r>
      <w:r w:rsidR="00EA5DF7">
        <w:t>The consistency between the original and sensitivity models indicates that differences in indoor climate in the buildings across countries did not appreciably explain our findings. There was only one significant association between the indoor air conditions and chemical exposures: a 1 µg/m</w:t>
      </w:r>
      <w:r w:rsidR="00EA5DF7">
        <w:rPr>
          <w:vertAlign w:val="superscript"/>
        </w:rPr>
        <w:t>3</w:t>
      </w:r>
      <w:r w:rsidR="00EA5DF7">
        <w:t xml:space="preserve"> increase in the indoor PM</w:t>
      </w:r>
      <w:r w:rsidR="00EA5DF7">
        <w:rPr>
          <w:vertAlign w:val="subscript"/>
        </w:rPr>
        <w:t xml:space="preserve">2.5 </w:t>
      </w:r>
      <w:r w:rsidR="00EA5DF7" w:rsidRPr="00507D4E">
        <w:t xml:space="preserve">level </w:t>
      </w:r>
      <w:r w:rsidR="00EA5DF7">
        <w:t xml:space="preserve">was associated with 5% higher levels of EHDPP on wristbands (95% CI: 1–10%; </w:t>
      </w:r>
      <w:r w:rsidR="00EA5DF7">
        <w:rPr>
          <w:i/>
          <w:iCs/>
        </w:rPr>
        <w:t>p</w:t>
      </w:r>
      <w:r w:rsidR="00EA5DF7">
        <w:t xml:space="preserve">=0.041). This result makes sense given that EHDPP is often found particle-bound in air (in addition to gas-phase) </w:t>
      </w:r>
      <w:r w:rsidR="00EA5DF7">
        <w:fldChar w:fldCharType="begin" w:fldLock="1"/>
      </w:r>
      <w:r w:rsidR="00EA5DF7">
        <w:instrText>ADDIN CSL_CITATION {"citationItems":[{"id":"ITEM-1","itemData":{"DOI":"10.1021/acs.est.6b00199","ISSN":"0013-936X","abstract":"Gas-particle partitioning is one of the key factors that affect the environmental fate of semivolatile organic chemicals. Many organophosphate esters (OPEs) have been reported to primarily partition to particles in the atmosphere. However, because of the wide range of their physicochemical properties, it is unlikely that OPEs are mainly in the particle phase “as a class”. We compared gas-particle partitioning predictions for 32 OPEs made by the commonly used OECD POV and LRTP Screening Tool (“the Tool”) with the partitioning models of Junge-Pankow (J-P) and Harner-Bidleman (H-B), as well as recently measured data on OPE gas-particle partitioning. The results indicate that half of the tested OPEs partition into the gas phase. Partitioning into the gas phase seems to be determined by an octanol-air partition coefficient (log KOA) &lt; 10 and a subcooled liquid vapor pressure (log PL) &gt; −5 (PL in Pa), as well as the total suspended particle concentration (TSP) in the sampling area. The uncertainty of the physicochemical property data of the OPEs did not change this estimate. Furthermore, the predictions by the Tool, J-P- and H-B-models agreed with recently measured OPE gas-particle partitioning.","author":[{"dropping-particle":"","family":"Sühring","given":"Roxana","non-dropping-particle":"","parse-names":false,"suffix":""},{"dropping-particle":"","family":"Wolschke","given":"Hendrik","non-dropping-particle":"","parse-names":false,"suffix":""},{"dropping-particle":"","family":"Diamond","given":"Miriam L","non-dropping-particle":"","parse-names":false,"suffix":""},{"dropping-particle":"","family":"Jantunen","given":"Liisa M","non-dropping-particle":"","parse-names":false,"suffix":""},{"dropping-particle":"","family":"Scheringer","given":"Martin","non-dropping-particle":"","parse-names":false,"suffix":""}],"container-title":"Environmental Science &amp; Technology","id":"ITEM-1","issue":"13","issued":{"date-parts":[["2016","7","5"]]},"note":"doi: 10.1021/acs.est.6b00199","page":"6644-6651","publisher":"American Chemical Society","title":"Distribution of Organophosphate Esters between the Gas and Particle Phase–Model Predictions vs Measured Data","type":"article-journal","volume":"50"},"uris":["http://www.mendeley.com/documents/?uuid=96b68cba-bf6e-42a2-8d44-7dbc394a80a6"]},{"id":"ITEM-2","itemData":{"DOI":"10.1021/acs.est.0c02823","ISSN":"0013-936X","abstract":"Atmospheric concentrations of 11 organophosphate esters (OPEs) were measured in an urban area in Izmir, Turkey to explore their phase partitioning. Octanol–air partition coefficients (KOA) and vapor pressures (PL) of the OPEs were also measured as a function of temperature. Average Σ11OPE gas-phase concentrations were 1.77 ± 0.84 and 4.00 ± 1.77 ng/m3, while particle-phase concentrations were 1.95 ± 0.77 and 1.15 ± 0.36 ng/m3 during winter and summer, respectively. TCiPP1 dominated Σ11OPEs, followed by TnBP and TEP. OPE concentrations generally increased and shifted to gas-phase in the summer probably due to higher temperatures that favor partitioning to the gas-phase. Distribution between two phases covered a wide range from being primarily in gas-phase (TEP, TnBP) or particle-phase (EHDPP, TEHP, T2iPPP). Phase partitioning was also examined via four widely used models (KOA, Soot, Steady-State, and pp-LFER). All models underestimated the majority of particle-gas partition coefficients (KP) especially for the compounds having higher volatilities. Estimations based on the recently reported molecular weight of organic matter in urban aerosols (MWOM) and activity coefficients of OPEs in octanol (ξOCT) determined in the present study suggested that the basic assumptions of KOA-based models (i.e., ξOCT/ξOM and MWOCT/MWOM = 1) are not valid.","author":[{"dropping-particle":"","family":"Yaman","given":"Baris","non-dropping-particle":"","parse-names":false,"suffix":""},{"dropping-particle":"","family":"Dumanoglu","given":"Yetkin","non-dropping-particle":"","parse-names":false,"suffix":""},{"dropping-particle":"","family":"Odabasi","given":"Mustafa","non-dropping-particle":"","parse-names":false,"suffix":""}],"container-title":"Environmental Science &amp; Technology","id":"ITEM-2","issue":"13","issued":{"date-parts":[["2020","7","7"]]},"note":"doi: 10.1021/acs.est.0c02823","page":"8133-8143","publisher":"American Chemical Society","title":"Measurement and Modeling the Phase Partitioning of Organophosphate Esters Using Their Temperature-Dependent Octanol–Air Partition Coefficients and Vapor Pressures","type":"article-journal","volume":"54"},"uris":["http://www.mendeley.com/documents/?uuid=728e49e1-b108-4fae-9a98-b2cce561efd8"]}],"mendeley":{"formattedCitation":"(Sühring et al., 2016; Yaman et al., 2020)","plainTextFormattedCitation":"(Sühring et al., 2016; Yaman et al., 2020)","previouslyFormattedCitation":"(Sühring et al., 2016; Yaman et al., 2020)"},"properties":{"noteIndex":0},"schema":"https://github.com/citation-style-language/schema/raw/master/csl-citation.json"}</w:instrText>
      </w:r>
      <w:r w:rsidR="00EA5DF7">
        <w:fldChar w:fldCharType="separate"/>
      </w:r>
      <w:r w:rsidR="00EA5DF7" w:rsidRPr="001D2DDD">
        <w:rPr>
          <w:noProof/>
        </w:rPr>
        <w:t>(Sühring et al., 2016; Yaman et al., 2020)</w:t>
      </w:r>
      <w:r w:rsidR="00EA5DF7">
        <w:fldChar w:fldCharType="end"/>
      </w:r>
      <w:r w:rsidR="00EA5DF7">
        <w:t>. We also found that an increase in the air exchange rate (</w:t>
      </w:r>
      <w:proofErr w:type="gramStart"/>
      <w:r w:rsidR="00EA5DF7">
        <w:t>i.e.</w:t>
      </w:r>
      <w:proofErr w:type="gramEnd"/>
      <w:r w:rsidR="00EA5DF7">
        <w:t xml:space="preserve"> better outdoor air ventilation) such that the volume of air in the room is completely changed once more per hour is associated with a 100% decrease in levels of cypermethrin on the wristbands (95% CI: -100– -95%; </w:t>
      </w:r>
      <w:r w:rsidR="00EA5DF7">
        <w:rPr>
          <w:i/>
          <w:iCs/>
        </w:rPr>
        <w:t>p</w:t>
      </w:r>
      <w:r w:rsidR="00EA5DF7">
        <w:t xml:space="preserve">=0.012) and a 78% decrease in levels of permethrin (95% CI: -94– -23%; </w:t>
      </w:r>
      <w:r w:rsidR="00EA5DF7">
        <w:rPr>
          <w:i/>
          <w:iCs/>
        </w:rPr>
        <w:t>p</w:t>
      </w:r>
      <w:r w:rsidR="00EA5DF7">
        <w:t xml:space="preserve">=0.04). However, the models of these two pesticides could </w:t>
      </w:r>
      <w:r w:rsidR="00EA5DF7">
        <w:lastRenderedPageBreak/>
        <w:t>only be conducted on 29 samples from China with sufficient detections and in buildings with sensor data, so the model may have been over-specified, and only three different air exchange rates were represented.</w:t>
      </w:r>
    </w:p>
    <w:p w14:paraId="190EBBE9" w14:textId="77777777" w:rsidR="00CF5FFF" w:rsidRPr="000C2960" w:rsidRDefault="00CF5FFF" w:rsidP="00AF64A8">
      <w:pPr>
        <w:spacing w:line="480" w:lineRule="auto"/>
        <w:ind w:firstLine="720"/>
        <w:rPr>
          <w:color w:val="000000"/>
        </w:rPr>
      </w:pPr>
    </w:p>
    <w:p w14:paraId="1DB2C5F8" w14:textId="361C0273" w:rsidR="006E3738" w:rsidRDefault="006E3738" w:rsidP="006E3738">
      <w:pPr>
        <w:spacing w:line="480" w:lineRule="auto"/>
        <w:ind w:firstLine="720"/>
        <w:rPr>
          <w:b/>
          <w:bCs/>
          <w:sz w:val="22"/>
          <w:szCs w:val="22"/>
        </w:rPr>
      </w:pPr>
      <w:r>
        <w:rPr>
          <w:b/>
          <w:bCs/>
          <w:sz w:val="22"/>
          <w:szCs w:val="22"/>
        </w:rPr>
        <w:br w:type="page"/>
      </w:r>
    </w:p>
    <w:p w14:paraId="733C5C29" w14:textId="115FA7BD" w:rsidR="00FB20A9" w:rsidRDefault="00FB20A9">
      <w:pPr>
        <w:rPr>
          <w:sz w:val="22"/>
          <w:szCs w:val="22"/>
        </w:rPr>
      </w:pPr>
      <w:r>
        <w:rPr>
          <w:b/>
          <w:bCs/>
          <w:sz w:val="22"/>
          <w:szCs w:val="22"/>
        </w:rPr>
        <w:lastRenderedPageBreak/>
        <w:t xml:space="preserve">Figure S1. </w:t>
      </w:r>
      <w:r w:rsidRPr="00FB20A9">
        <w:rPr>
          <w:sz w:val="22"/>
          <w:szCs w:val="22"/>
        </w:rPr>
        <w:t xml:space="preserve">Contributions of </w:t>
      </w:r>
      <w:r>
        <w:rPr>
          <w:sz w:val="22"/>
          <w:szCs w:val="22"/>
        </w:rPr>
        <w:t>a) PCBs, BFRs, and OPES and b) phthalates and phthalate alternatives</w:t>
      </w:r>
      <w:r w:rsidRPr="00FB20A9">
        <w:rPr>
          <w:sz w:val="22"/>
          <w:szCs w:val="22"/>
        </w:rPr>
        <w:t xml:space="preserve"> </w:t>
      </w:r>
      <w:r>
        <w:rPr>
          <w:sz w:val="22"/>
          <w:szCs w:val="22"/>
        </w:rPr>
        <w:t>to</w:t>
      </w:r>
      <w:r w:rsidRPr="00FB20A9">
        <w:rPr>
          <w:sz w:val="22"/>
          <w:szCs w:val="22"/>
        </w:rPr>
        <w:t xml:space="preserve"> the principal components explaining over 70% of variance from analysis of analytes detected in over one-third of silicone wristband samples in a country (n=251).</w:t>
      </w:r>
    </w:p>
    <w:p w14:paraId="02EB5718" w14:textId="1978ED31" w:rsidR="001B3116" w:rsidRDefault="001B3116">
      <w:pPr>
        <w:rPr>
          <w:sz w:val="22"/>
          <w:szCs w:val="22"/>
        </w:rPr>
      </w:pPr>
    </w:p>
    <w:p w14:paraId="4F30307E" w14:textId="3C028C66" w:rsidR="001B3116" w:rsidRPr="001B3116" w:rsidRDefault="001B3116" w:rsidP="001B3116">
      <w:pPr>
        <w:pStyle w:val="ListParagraph"/>
        <w:numPr>
          <w:ilvl w:val="0"/>
          <w:numId w:val="1"/>
        </w:numPr>
        <w:rPr>
          <w:b/>
          <w:bCs/>
          <w:sz w:val="22"/>
          <w:szCs w:val="22"/>
        </w:rPr>
      </w:pPr>
      <w:r>
        <w:rPr>
          <w:b/>
          <w:bCs/>
          <w:sz w:val="22"/>
          <w:szCs w:val="22"/>
        </w:rPr>
        <w:t>PCBs, BFRs, and OPEs (primarily building material sources)</w:t>
      </w:r>
    </w:p>
    <w:p w14:paraId="7554EF1A" w14:textId="45140354" w:rsidR="00FB20A9" w:rsidRDefault="001B3116">
      <w:pPr>
        <w:rPr>
          <w:sz w:val="22"/>
          <w:szCs w:val="22"/>
        </w:rPr>
      </w:pPr>
      <w:r>
        <w:rPr>
          <w:noProof/>
          <w:sz w:val="22"/>
          <w:szCs w:val="22"/>
        </w:rPr>
        <w:drawing>
          <wp:inline distT="0" distB="0" distL="0" distR="0" wp14:anchorId="2BD076F2" wp14:editId="4F62089C">
            <wp:extent cx="3389600" cy="3666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3403817" cy="3682310"/>
                    </a:xfrm>
                    <a:prstGeom prst="rect">
                      <a:avLst/>
                    </a:prstGeom>
                  </pic:spPr>
                </pic:pic>
              </a:graphicData>
            </a:graphic>
          </wp:inline>
        </w:drawing>
      </w:r>
    </w:p>
    <w:p w14:paraId="4AC26060" w14:textId="77777777" w:rsidR="001B3116" w:rsidRDefault="001B3116">
      <w:pPr>
        <w:rPr>
          <w:b/>
          <w:bCs/>
          <w:sz w:val="22"/>
          <w:szCs w:val="22"/>
        </w:rPr>
      </w:pPr>
    </w:p>
    <w:p w14:paraId="511979AC" w14:textId="77777777" w:rsidR="001B3116" w:rsidRDefault="001B3116">
      <w:pPr>
        <w:rPr>
          <w:b/>
          <w:bCs/>
          <w:sz w:val="22"/>
          <w:szCs w:val="22"/>
        </w:rPr>
      </w:pPr>
    </w:p>
    <w:p w14:paraId="3820C106" w14:textId="77777777" w:rsidR="001B3116" w:rsidRDefault="001B3116" w:rsidP="001B3116">
      <w:pPr>
        <w:pStyle w:val="ListParagraph"/>
        <w:numPr>
          <w:ilvl w:val="0"/>
          <w:numId w:val="1"/>
        </w:numPr>
        <w:rPr>
          <w:b/>
          <w:bCs/>
          <w:sz w:val="22"/>
          <w:szCs w:val="22"/>
        </w:rPr>
      </w:pPr>
      <w:r>
        <w:rPr>
          <w:b/>
          <w:bCs/>
          <w:sz w:val="22"/>
          <w:szCs w:val="22"/>
        </w:rPr>
        <w:t>Phthalates and phthalate alternatives</w:t>
      </w:r>
    </w:p>
    <w:p w14:paraId="420C4F08" w14:textId="20CB8282" w:rsidR="00FB20A9" w:rsidRPr="001B3116" w:rsidRDefault="001B3116" w:rsidP="001B3116">
      <w:pPr>
        <w:rPr>
          <w:b/>
          <w:bCs/>
          <w:sz w:val="22"/>
          <w:szCs w:val="22"/>
        </w:rPr>
      </w:pPr>
      <w:r>
        <w:rPr>
          <w:noProof/>
        </w:rPr>
        <w:drawing>
          <wp:inline distT="0" distB="0" distL="0" distR="0" wp14:anchorId="3A5A6E06" wp14:editId="47BD3844">
            <wp:extent cx="3289947" cy="31910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3289947" cy="3191069"/>
                    </a:xfrm>
                    <a:prstGeom prst="rect">
                      <a:avLst/>
                    </a:prstGeom>
                  </pic:spPr>
                </pic:pic>
              </a:graphicData>
            </a:graphic>
          </wp:inline>
        </w:drawing>
      </w:r>
      <w:r w:rsidR="00FB20A9" w:rsidRPr="001B3116">
        <w:rPr>
          <w:b/>
          <w:bCs/>
          <w:sz w:val="22"/>
          <w:szCs w:val="22"/>
        </w:rPr>
        <w:br w:type="page"/>
      </w:r>
    </w:p>
    <w:p w14:paraId="3E36F0DA" w14:textId="300C510B" w:rsidR="00B5443E" w:rsidRDefault="00232E20">
      <w:pPr>
        <w:rPr>
          <w:sz w:val="22"/>
          <w:szCs w:val="22"/>
        </w:rPr>
      </w:pPr>
      <w:r>
        <w:rPr>
          <w:b/>
          <w:bCs/>
          <w:sz w:val="22"/>
          <w:szCs w:val="22"/>
        </w:rPr>
        <w:lastRenderedPageBreak/>
        <w:t xml:space="preserve">Figure S2.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sidR="00B5443E">
        <w:rPr>
          <w:sz w:val="22"/>
          <w:szCs w:val="22"/>
        </w:rPr>
        <w:t>polychlorinated biphenyls</w:t>
      </w:r>
      <w:r w:rsidR="0056314A">
        <w:rPr>
          <w:sz w:val="22"/>
          <w:szCs w:val="22"/>
        </w:rPr>
        <w:t xml:space="preserve"> (detected in over one-third of samples in a country)</w:t>
      </w:r>
      <w:r w:rsidRPr="00232E20">
        <w:rPr>
          <w:sz w:val="22"/>
          <w:szCs w:val="22"/>
        </w:rPr>
        <w:t xml:space="preserve"> in silicone wristbands worn by </w:t>
      </w:r>
      <w:r w:rsidR="00B0429E">
        <w:rPr>
          <w:i/>
          <w:iCs/>
          <w:sz w:val="22"/>
          <w:szCs w:val="22"/>
        </w:rPr>
        <w:t>n=</w:t>
      </w:r>
      <w:r w:rsidR="007F38F2">
        <w:rPr>
          <w:sz w:val="22"/>
          <w:szCs w:val="22"/>
        </w:rPr>
        <w:t>251</w:t>
      </w:r>
      <w:r w:rsidR="00B0429E">
        <w:rPr>
          <w:sz w:val="22"/>
          <w:szCs w:val="22"/>
        </w:rPr>
        <w:t xml:space="preserve"> (PCB-101) or </w:t>
      </w:r>
      <w:r w:rsidR="00B0429E">
        <w:rPr>
          <w:i/>
          <w:iCs/>
          <w:sz w:val="22"/>
          <w:szCs w:val="22"/>
        </w:rPr>
        <w:t>n=</w:t>
      </w:r>
      <w:r w:rsidR="00B0429E">
        <w:rPr>
          <w:sz w:val="22"/>
          <w:szCs w:val="22"/>
        </w:rPr>
        <w:t>243 (PCB-11)</w:t>
      </w:r>
      <w:r w:rsidR="007F38F2">
        <w:rPr>
          <w:sz w:val="22"/>
          <w:szCs w:val="22"/>
        </w:rPr>
        <w:t xml:space="preserve"> </w:t>
      </w:r>
      <w:r w:rsidRPr="00232E20">
        <w:rPr>
          <w:sz w:val="22"/>
          <w:szCs w:val="22"/>
        </w:rPr>
        <w:t>office workers in the USA, UK, China, and India</w:t>
      </w:r>
      <w:r>
        <w:rPr>
          <w:sz w:val="22"/>
          <w:szCs w:val="22"/>
        </w:rPr>
        <w:t>.</w:t>
      </w:r>
    </w:p>
    <w:p w14:paraId="3496ACB8" w14:textId="77777777" w:rsidR="00B5443E" w:rsidRDefault="00B5443E">
      <w:pPr>
        <w:rPr>
          <w:sz w:val="22"/>
          <w:szCs w:val="22"/>
        </w:rPr>
      </w:pPr>
    </w:p>
    <w:p w14:paraId="38118735" w14:textId="36FA6AB8" w:rsidR="00602CAC" w:rsidRDefault="00B5443E">
      <w:pPr>
        <w:rPr>
          <w:b/>
          <w:bCs/>
          <w:sz w:val="22"/>
          <w:szCs w:val="22"/>
        </w:rPr>
      </w:pPr>
      <w:r>
        <w:rPr>
          <w:b/>
          <w:bCs/>
          <w:noProof/>
          <w:sz w:val="22"/>
          <w:szCs w:val="22"/>
        </w:rPr>
        <w:drawing>
          <wp:inline distT="0" distB="0" distL="0" distR="0" wp14:anchorId="451E8533" wp14:editId="16F88879">
            <wp:extent cx="5290457" cy="30018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5301371" cy="3008074"/>
                    </a:xfrm>
                    <a:prstGeom prst="rect">
                      <a:avLst/>
                    </a:prstGeom>
                  </pic:spPr>
                </pic:pic>
              </a:graphicData>
            </a:graphic>
          </wp:inline>
        </w:drawing>
      </w:r>
    </w:p>
    <w:p w14:paraId="3FDCEBB0" w14:textId="33F9EDCF" w:rsidR="00602CAC" w:rsidRDefault="00602CAC">
      <w:pPr>
        <w:rPr>
          <w:b/>
          <w:bCs/>
          <w:sz w:val="22"/>
          <w:szCs w:val="22"/>
        </w:rPr>
      </w:pPr>
    </w:p>
    <w:p w14:paraId="1624FCC3" w14:textId="3BD56EE5" w:rsidR="00602CAC" w:rsidRPr="00602CAC" w:rsidRDefault="00602CAC">
      <w:pPr>
        <w:rPr>
          <w:sz w:val="18"/>
          <w:szCs w:val="18"/>
        </w:rPr>
      </w:pPr>
      <w:r w:rsidRPr="00602CAC">
        <w:rPr>
          <w:i/>
          <w:iCs/>
          <w:sz w:val="18"/>
          <w:szCs w:val="18"/>
        </w:rPr>
        <w:t>Note</w:t>
      </w:r>
      <w:r w:rsidRPr="00602CAC">
        <w:rPr>
          <w:sz w:val="18"/>
          <w:szCs w:val="18"/>
        </w:rPr>
        <w:t xml:space="preserve">: </w:t>
      </w:r>
      <w:r>
        <w:rPr>
          <w:sz w:val="18"/>
          <w:szCs w:val="18"/>
        </w:rPr>
        <w:t>non-detect values were substituted with half the limit of detection.</w:t>
      </w:r>
    </w:p>
    <w:p w14:paraId="60E89EBB" w14:textId="77777777" w:rsidR="00B0429E" w:rsidRDefault="00B0429E">
      <w:pPr>
        <w:rPr>
          <w:b/>
          <w:bCs/>
          <w:sz w:val="22"/>
          <w:szCs w:val="22"/>
        </w:rPr>
      </w:pPr>
    </w:p>
    <w:p w14:paraId="57A62920" w14:textId="77777777" w:rsidR="0056314A" w:rsidRDefault="0056314A">
      <w:pPr>
        <w:rPr>
          <w:b/>
          <w:bCs/>
          <w:sz w:val="22"/>
          <w:szCs w:val="22"/>
        </w:rPr>
      </w:pPr>
      <w:r>
        <w:rPr>
          <w:b/>
          <w:bCs/>
          <w:sz w:val="22"/>
          <w:szCs w:val="22"/>
        </w:rPr>
        <w:br w:type="page"/>
      </w:r>
    </w:p>
    <w:p w14:paraId="411C7AF2" w14:textId="5439FCA4" w:rsidR="00B0429E" w:rsidRDefault="00B0429E" w:rsidP="00B0429E">
      <w:pPr>
        <w:rPr>
          <w:sz w:val="22"/>
          <w:szCs w:val="22"/>
        </w:rPr>
      </w:pPr>
      <w:r>
        <w:rPr>
          <w:b/>
          <w:bCs/>
          <w:sz w:val="22"/>
          <w:szCs w:val="22"/>
        </w:rPr>
        <w:lastRenderedPageBreak/>
        <w:t>Figure S</w:t>
      </w:r>
      <w:r w:rsidR="00393645">
        <w:rPr>
          <w:b/>
          <w:bCs/>
          <w:sz w:val="22"/>
          <w:szCs w:val="22"/>
        </w:rPr>
        <w:t>3</w:t>
      </w:r>
      <w:r>
        <w:rPr>
          <w:b/>
          <w:bCs/>
          <w:sz w:val="22"/>
          <w:szCs w:val="22"/>
        </w:rPr>
        <w:t xml:space="preserve">.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Pr>
          <w:sz w:val="22"/>
          <w:szCs w:val="22"/>
        </w:rPr>
        <w:t>brominated flame retardants</w:t>
      </w:r>
      <w:r w:rsidR="0056314A">
        <w:rPr>
          <w:sz w:val="22"/>
          <w:szCs w:val="22"/>
        </w:rPr>
        <w:t xml:space="preserve"> (detected in over one-third of samples in a country)</w:t>
      </w:r>
      <w:r w:rsidRPr="00232E20">
        <w:rPr>
          <w:sz w:val="22"/>
          <w:szCs w:val="22"/>
        </w:rPr>
        <w:t xml:space="preserve"> in silicone wristbands worn by</w:t>
      </w:r>
      <w:r>
        <w:rPr>
          <w:sz w:val="22"/>
          <w:szCs w:val="22"/>
        </w:rPr>
        <w:t xml:space="preserve"> 251 </w:t>
      </w:r>
      <w:r w:rsidRPr="00232E20">
        <w:rPr>
          <w:sz w:val="22"/>
          <w:szCs w:val="22"/>
        </w:rPr>
        <w:t>office workers in the USA, UK, China, and India</w:t>
      </w:r>
      <w:r>
        <w:rPr>
          <w:sz w:val="22"/>
          <w:szCs w:val="22"/>
        </w:rPr>
        <w:t>.</w:t>
      </w:r>
    </w:p>
    <w:p w14:paraId="274D200A" w14:textId="54D2D4C2" w:rsidR="0056314A" w:rsidRDefault="0056314A" w:rsidP="00B0429E">
      <w:pPr>
        <w:rPr>
          <w:sz w:val="22"/>
          <w:szCs w:val="22"/>
        </w:rPr>
      </w:pPr>
    </w:p>
    <w:p w14:paraId="3738E800" w14:textId="0963B5DF" w:rsidR="0056314A" w:rsidRDefault="0056314A" w:rsidP="00B0429E">
      <w:pPr>
        <w:rPr>
          <w:sz w:val="22"/>
          <w:szCs w:val="22"/>
        </w:rPr>
      </w:pPr>
      <w:r>
        <w:rPr>
          <w:noProof/>
          <w:sz w:val="22"/>
          <w:szCs w:val="22"/>
        </w:rPr>
        <w:drawing>
          <wp:inline distT="0" distB="0" distL="0" distR="0" wp14:anchorId="5144E961" wp14:editId="7E7F9BCE">
            <wp:extent cx="5943600" cy="4309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5943600" cy="4309745"/>
                    </a:xfrm>
                    <a:prstGeom prst="rect">
                      <a:avLst/>
                    </a:prstGeom>
                  </pic:spPr>
                </pic:pic>
              </a:graphicData>
            </a:graphic>
          </wp:inline>
        </w:drawing>
      </w:r>
    </w:p>
    <w:p w14:paraId="1E8D287D" w14:textId="77777777" w:rsidR="00602CAC" w:rsidRDefault="00602CAC">
      <w:pPr>
        <w:rPr>
          <w:i/>
          <w:iCs/>
          <w:sz w:val="18"/>
          <w:szCs w:val="18"/>
        </w:rPr>
      </w:pPr>
    </w:p>
    <w:p w14:paraId="26EF2774" w14:textId="2D833B78" w:rsidR="0056314A" w:rsidRDefault="00602CAC">
      <w:pPr>
        <w:rPr>
          <w:b/>
          <w:bCs/>
          <w:sz w:val="22"/>
          <w:szCs w:val="22"/>
        </w:rPr>
      </w:pPr>
      <w:r w:rsidRPr="00602CAC">
        <w:rPr>
          <w:i/>
          <w:iCs/>
          <w:sz w:val="18"/>
          <w:szCs w:val="18"/>
        </w:rPr>
        <w:t>Note</w:t>
      </w:r>
      <w:r w:rsidRPr="00602CAC">
        <w:rPr>
          <w:sz w:val="18"/>
          <w:szCs w:val="18"/>
        </w:rPr>
        <w:t xml:space="preserve">: </w:t>
      </w:r>
      <w:r>
        <w:rPr>
          <w:sz w:val="18"/>
          <w:szCs w:val="18"/>
        </w:rPr>
        <w:t>non-detect values were substituted with half the limit of detection.</w:t>
      </w:r>
      <w:r w:rsidR="0056314A">
        <w:rPr>
          <w:b/>
          <w:bCs/>
          <w:sz w:val="22"/>
          <w:szCs w:val="22"/>
        </w:rPr>
        <w:br w:type="page"/>
      </w:r>
    </w:p>
    <w:p w14:paraId="51781EC0" w14:textId="7BFD3DF4" w:rsidR="001C3D8A" w:rsidRDefault="001C3D8A" w:rsidP="001C3D8A">
      <w:pPr>
        <w:rPr>
          <w:sz w:val="22"/>
          <w:szCs w:val="22"/>
        </w:rPr>
      </w:pPr>
      <w:r>
        <w:rPr>
          <w:b/>
          <w:bCs/>
          <w:sz w:val="22"/>
          <w:szCs w:val="22"/>
        </w:rPr>
        <w:lastRenderedPageBreak/>
        <w:t>Figure S</w:t>
      </w:r>
      <w:r w:rsidR="00393645">
        <w:rPr>
          <w:b/>
          <w:bCs/>
          <w:sz w:val="22"/>
          <w:szCs w:val="22"/>
        </w:rPr>
        <w:t>4</w:t>
      </w:r>
      <w:r>
        <w:rPr>
          <w:b/>
          <w:bCs/>
          <w:sz w:val="22"/>
          <w:szCs w:val="22"/>
        </w:rPr>
        <w:t xml:space="preserve">.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Pr>
          <w:sz w:val="22"/>
          <w:szCs w:val="22"/>
        </w:rPr>
        <w:t>organophosphate esters (detected in over one-third of samples in a country)</w:t>
      </w:r>
      <w:r w:rsidRPr="00232E20">
        <w:rPr>
          <w:sz w:val="22"/>
          <w:szCs w:val="22"/>
        </w:rPr>
        <w:t xml:space="preserve"> in silicone wristbands worn by </w:t>
      </w:r>
      <w:r>
        <w:rPr>
          <w:i/>
          <w:iCs/>
          <w:sz w:val="22"/>
          <w:szCs w:val="22"/>
        </w:rPr>
        <w:t>n=</w:t>
      </w:r>
      <w:r>
        <w:rPr>
          <w:sz w:val="22"/>
          <w:szCs w:val="22"/>
        </w:rPr>
        <w:t xml:space="preserve">243–251 </w:t>
      </w:r>
      <w:r w:rsidRPr="00232E20">
        <w:rPr>
          <w:sz w:val="22"/>
          <w:szCs w:val="22"/>
        </w:rPr>
        <w:t>office workers in the USA, UK, China, and India</w:t>
      </w:r>
      <w:r>
        <w:rPr>
          <w:sz w:val="22"/>
          <w:szCs w:val="22"/>
        </w:rPr>
        <w:t>.</w:t>
      </w:r>
    </w:p>
    <w:p w14:paraId="15879279" w14:textId="77777777" w:rsidR="00E857CC" w:rsidRDefault="00E857CC" w:rsidP="001C3D8A">
      <w:pPr>
        <w:rPr>
          <w:sz w:val="22"/>
          <w:szCs w:val="22"/>
        </w:rPr>
      </w:pPr>
    </w:p>
    <w:p w14:paraId="470C24C1" w14:textId="4EC5A41B" w:rsidR="001C3D8A" w:rsidRDefault="00E857CC" w:rsidP="001C3D8A">
      <w:pPr>
        <w:rPr>
          <w:sz w:val="22"/>
          <w:szCs w:val="22"/>
        </w:rPr>
      </w:pPr>
      <w:r>
        <w:rPr>
          <w:noProof/>
          <w:sz w:val="22"/>
          <w:szCs w:val="22"/>
        </w:rPr>
        <w:drawing>
          <wp:inline distT="0" distB="0" distL="0" distR="0" wp14:anchorId="0F358770" wp14:editId="2C22DDBF">
            <wp:extent cx="6396878" cy="40028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6401494" cy="4005721"/>
                    </a:xfrm>
                    <a:prstGeom prst="rect">
                      <a:avLst/>
                    </a:prstGeom>
                  </pic:spPr>
                </pic:pic>
              </a:graphicData>
            </a:graphic>
          </wp:inline>
        </w:drawing>
      </w:r>
    </w:p>
    <w:p w14:paraId="45D26D2B" w14:textId="77777777" w:rsidR="001C3D8A" w:rsidRDefault="001C3D8A" w:rsidP="001C3D8A">
      <w:pPr>
        <w:rPr>
          <w:sz w:val="22"/>
          <w:szCs w:val="22"/>
        </w:rPr>
      </w:pPr>
    </w:p>
    <w:p w14:paraId="71C2E1E5" w14:textId="2856F83D" w:rsidR="00393645" w:rsidRDefault="00602CAC">
      <w:pPr>
        <w:rPr>
          <w:b/>
          <w:bCs/>
          <w:sz w:val="22"/>
          <w:szCs w:val="22"/>
        </w:rPr>
      </w:pPr>
      <w:r w:rsidRPr="00602CAC">
        <w:rPr>
          <w:i/>
          <w:iCs/>
          <w:sz w:val="18"/>
          <w:szCs w:val="18"/>
        </w:rPr>
        <w:t>Note</w:t>
      </w:r>
      <w:r w:rsidRPr="00602CAC">
        <w:rPr>
          <w:sz w:val="18"/>
          <w:szCs w:val="18"/>
        </w:rPr>
        <w:t xml:space="preserve">: </w:t>
      </w:r>
      <w:r>
        <w:rPr>
          <w:sz w:val="18"/>
          <w:szCs w:val="18"/>
        </w:rPr>
        <w:t>non-detect values were substituted with half the limit of detection.</w:t>
      </w:r>
      <w:r w:rsidR="00393645">
        <w:rPr>
          <w:b/>
          <w:bCs/>
          <w:sz w:val="22"/>
          <w:szCs w:val="22"/>
        </w:rPr>
        <w:br w:type="page"/>
      </w:r>
    </w:p>
    <w:p w14:paraId="0F27D069" w14:textId="26DA4E58" w:rsidR="00393645" w:rsidRDefault="00393645" w:rsidP="00393645">
      <w:pPr>
        <w:rPr>
          <w:sz w:val="22"/>
          <w:szCs w:val="22"/>
        </w:rPr>
      </w:pPr>
      <w:r>
        <w:rPr>
          <w:b/>
          <w:bCs/>
          <w:sz w:val="22"/>
          <w:szCs w:val="22"/>
        </w:rPr>
        <w:lastRenderedPageBreak/>
        <w:t xml:space="preserve">Figure S5.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Pr>
          <w:sz w:val="22"/>
          <w:szCs w:val="22"/>
        </w:rPr>
        <w:t>phthalates and phthalate alternatives (detected in over one-third of samples in a country)</w:t>
      </w:r>
      <w:r w:rsidRPr="00232E20">
        <w:rPr>
          <w:sz w:val="22"/>
          <w:szCs w:val="22"/>
        </w:rPr>
        <w:t xml:space="preserve"> in silicone wristbands worn by </w:t>
      </w:r>
      <w:r>
        <w:rPr>
          <w:sz w:val="22"/>
          <w:szCs w:val="22"/>
        </w:rPr>
        <w:t xml:space="preserve">251 </w:t>
      </w:r>
      <w:r w:rsidRPr="00232E20">
        <w:rPr>
          <w:sz w:val="22"/>
          <w:szCs w:val="22"/>
        </w:rPr>
        <w:t>office workers in the USA, UK, China, and India</w:t>
      </w:r>
      <w:r>
        <w:rPr>
          <w:sz w:val="22"/>
          <w:szCs w:val="22"/>
        </w:rPr>
        <w:t>.</w:t>
      </w:r>
    </w:p>
    <w:p w14:paraId="7616FBE7" w14:textId="6ACABC42" w:rsidR="00393645" w:rsidRDefault="00393645" w:rsidP="00393645">
      <w:pPr>
        <w:rPr>
          <w:sz w:val="22"/>
          <w:szCs w:val="22"/>
        </w:rPr>
      </w:pPr>
    </w:p>
    <w:p w14:paraId="7EA52D2E" w14:textId="77777777" w:rsidR="00393645" w:rsidRDefault="00393645" w:rsidP="00393645">
      <w:pPr>
        <w:rPr>
          <w:sz w:val="22"/>
          <w:szCs w:val="22"/>
        </w:rPr>
      </w:pPr>
    </w:p>
    <w:p w14:paraId="4D2770EF" w14:textId="77777777" w:rsidR="003F1929" w:rsidRDefault="00393645">
      <w:pPr>
        <w:rPr>
          <w:b/>
          <w:bCs/>
          <w:sz w:val="22"/>
          <w:szCs w:val="22"/>
        </w:rPr>
      </w:pPr>
      <w:r>
        <w:rPr>
          <w:b/>
          <w:bCs/>
          <w:noProof/>
          <w:sz w:val="22"/>
          <w:szCs w:val="22"/>
        </w:rPr>
        <w:drawing>
          <wp:inline distT="0" distB="0" distL="0" distR="0" wp14:anchorId="12E20AE8" wp14:editId="69F93ADC">
            <wp:extent cx="6118885" cy="38628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6121465" cy="3864502"/>
                    </a:xfrm>
                    <a:prstGeom prst="rect">
                      <a:avLst/>
                    </a:prstGeom>
                  </pic:spPr>
                </pic:pic>
              </a:graphicData>
            </a:graphic>
          </wp:inline>
        </w:drawing>
      </w:r>
    </w:p>
    <w:p w14:paraId="6D3809AE" w14:textId="77777777" w:rsidR="00602CAC" w:rsidRDefault="00602CAC">
      <w:pPr>
        <w:rPr>
          <w:i/>
          <w:iCs/>
          <w:sz w:val="18"/>
          <w:szCs w:val="18"/>
        </w:rPr>
      </w:pPr>
    </w:p>
    <w:p w14:paraId="78662A07" w14:textId="19B26E24" w:rsidR="003F1929" w:rsidRDefault="00602CAC">
      <w:pPr>
        <w:rPr>
          <w:b/>
          <w:bCs/>
          <w:sz w:val="22"/>
          <w:szCs w:val="22"/>
        </w:rPr>
      </w:pPr>
      <w:r w:rsidRPr="00602CAC">
        <w:rPr>
          <w:i/>
          <w:iCs/>
          <w:sz w:val="18"/>
          <w:szCs w:val="18"/>
        </w:rPr>
        <w:t>Note</w:t>
      </w:r>
      <w:r w:rsidRPr="00602CAC">
        <w:rPr>
          <w:sz w:val="18"/>
          <w:szCs w:val="18"/>
        </w:rPr>
        <w:t xml:space="preserve">: </w:t>
      </w:r>
      <w:r>
        <w:rPr>
          <w:sz w:val="18"/>
          <w:szCs w:val="18"/>
        </w:rPr>
        <w:t>non-detect values were substituted with half the limit of detection.</w:t>
      </w:r>
      <w:r w:rsidR="003F1929">
        <w:rPr>
          <w:b/>
          <w:bCs/>
          <w:sz w:val="22"/>
          <w:szCs w:val="22"/>
        </w:rPr>
        <w:br w:type="page"/>
      </w:r>
    </w:p>
    <w:p w14:paraId="026749F4" w14:textId="57B439E9" w:rsidR="003F1929" w:rsidRDefault="003F1929" w:rsidP="003F1929">
      <w:pPr>
        <w:rPr>
          <w:sz w:val="22"/>
          <w:szCs w:val="22"/>
        </w:rPr>
      </w:pPr>
      <w:r>
        <w:rPr>
          <w:b/>
          <w:bCs/>
          <w:sz w:val="22"/>
          <w:szCs w:val="22"/>
        </w:rPr>
        <w:lastRenderedPageBreak/>
        <w:t xml:space="preserve">Figure S6.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Pr>
          <w:sz w:val="22"/>
          <w:szCs w:val="22"/>
        </w:rPr>
        <w:t>pesticides (detected in over one-third of samples in a country)</w:t>
      </w:r>
      <w:r w:rsidRPr="00232E20">
        <w:rPr>
          <w:sz w:val="22"/>
          <w:szCs w:val="22"/>
        </w:rPr>
        <w:t xml:space="preserve"> in silicone wristbands worn by </w:t>
      </w:r>
      <w:r>
        <w:rPr>
          <w:i/>
          <w:iCs/>
          <w:sz w:val="22"/>
          <w:szCs w:val="22"/>
        </w:rPr>
        <w:t>n=</w:t>
      </w:r>
      <w:r>
        <w:rPr>
          <w:sz w:val="22"/>
          <w:szCs w:val="22"/>
        </w:rPr>
        <w:t xml:space="preserve">243–251 </w:t>
      </w:r>
      <w:r w:rsidRPr="00232E20">
        <w:rPr>
          <w:sz w:val="22"/>
          <w:szCs w:val="22"/>
        </w:rPr>
        <w:t>office workers in the USA, UK, China, and India</w:t>
      </w:r>
      <w:r>
        <w:rPr>
          <w:sz w:val="22"/>
          <w:szCs w:val="22"/>
        </w:rPr>
        <w:t>.</w:t>
      </w:r>
    </w:p>
    <w:p w14:paraId="04336CED" w14:textId="43E6797E" w:rsidR="003F1929" w:rsidRDefault="003F1929" w:rsidP="003F1929">
      <w:pPr>
        <w:rPr>
          <w:sz w:val="22"/>
          <w:szCs w:val="22"/>
        </w:rPr>
      </w:pPr>
    </w:p>
    <w:p w14:paraId="7BCFB5DB" w14:textId="19BA18AA" w:rsidR="003F1929" w:rsidRDefault="003F1929" w:rsidP="003F1929">
      <w:pPr>
        <w:rPr>
          <w:sz w:val="22"/>
          <w:szCs w:val="22"/>
        </w:rPr>
      </w:pPr>
      <w:r>
        <w:rPr>
          <w:noProof/>
          <w:sz w:val="22"/>
          <w:szCs w:val="22"/>
        </w:rPr>
        <w:drawing>
          <wp:inline distT="0" distB="0" distL="0" distR="0" wp14:anchorId="36020DCE" wp14:editId="42FDB29D">
            <wp:extent cx="5943600" cy="4095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1350ED41" w14:textId="1C549D2B" w:rsidR="003F1929" w:rsidRDefault="003F1929" w:rsidP="003F1929">
      <w:pPr>
        <w:rPr>
          <w:sz w:val="22"/>
          <w:szCs w:val="22"/>
        </w:rPr>
      </w:pPr>
    </w:p>
    <w:p w14:paraId="751E348A" w14:textId="19D857AB" w:rsidR="003F1929" w:rsidRDefault="00602CAC">
      <w:pPr>
        <w:rPr>
          <w:sz w:val="22"/>
          <w:szCs w:val="22"/>
        </w:rPr>
      </w:pPr>
      <w:r w:rsidRPr="00602CAC">
        <w:rPr>
          <w:i/>
          <w:iCs/>
          <w:sz w:val="18"/>
          <w:szCs w:val="18"/>
        </w:rPr>
        <w:t>Note</w:t>
      </w:r>
      <w:r w:rsidRPr="00602CAC">
        <w:rPr>
          <w:sz w:val="18"/>
          <w:szCs w:val="18"/>
        </w:rPr>
        <w:t xml:space="preserve">: </w:t>
      </w:r>
      <w:r>
        <w:rPr>
          <w:sz w:val="18"/>
          <w:szCs w:val="18"/>
        </w:rPr>
        <w:t>non-detect values were substituted with half the limit of detection.</w:t>
      </w:r>
      <w:r w:rsidR="003F1929">
        <w:rPr>
          <w:sz w:val="22"/>
          <w:szCs w:val="22"/>
        </w:rPr>
        <w:br w:type="page"/>
      </w:r>
    </w:p>
    <w:p w14:paraId="7A059B86" w14:textId="066EE178" w:rsidR="003F1929" w:rsidRDefault="003F1929" w:rsidP="003F1929">
      <w:pPr>
        <w:rPr>
          <w:sz w:val="22"/>
          <w:szCs w:val="22"/>
        </w:rPr>
      </w:pPr>
      <w:r>
        <w:rPr>
          <w:b/>
          <w:bCs/>
          <w:sz w:val="22"/>
          <w:szCs w:val="22"/>
        </w:rPr>
        <w:lastRenderedPageBreak/>
        <w:t xml:space="preserve">Figure S7. </w:t>
      </w:r>
      <w:r w:rsidRPr="00232E20">
        <w:rPr>
          <w:sz w:val="22"/>
          <w:szCs w:val="22"/>
        </w:rPr>
        <w:t xml:space="preserve">Log concentrations (ng/g-wristband, </w:t>
      </w:r>
      <w:r w:rsidR="002F299A">
        <w:t xml:space="preserve">scaled </w:t>
      </w:r>
      <w:r w:rsidRPr="00232E20">
        <w:rPr>
          <w:sz w:val="22"/>
          <w:szCs w:val="22"/>
        </w:rPr>
        <w:t xml:space="preserve">to 32 hours of sampling) and detection frequencies of </w:t>
      </w:r>
      <w:r>
        <w:rPr>
          <w:sz w:val="22"/>
          <w:szCs w:val="22"/>
        </w:rPr>
        <w:t>polycyclic aromatic hydrocarbons (detected in over one-third of samples in a country)</w:t>
      </w:r>
      <w:r w:rsidRPr="00232E20">
        <w:rPr>
          <w:sz w:val="22"/>
          <w:szCs w:val="22"/>
        </w:rPr>
        <w:t xml:space="preserve"> in silicone wristbands worn by </w:t>
      </w:r>
      <w:r>
        <w:rPr>
          <w:i/>
          <w:iCs/>
          <w:sz w:val="22"/>
          <w:szCs w:val="22"/>
        </w:rPr>
        <w:t>n=</w:t>
      </w:r>
      <w:r>
        <w:rPr>
          <w:sz w:val="22"/>
          <w:szCs w:val="22"/>
        </w:rPr>
        <w:t xml:space="preserve">243 </w:t>
      </w:r>
      <w:r w:rsidRPr="00232E20">
        <w:rPr>
          <w:sz w:val="22"/>
          <w:szCs w:val="22"/>
        </w:rPr>
        <w:t>office workers in the USA, UK, China, and India</w:t>
      </w:r>
      <w:r>
        <w:rPr>
          <w:sz w:val="22"/>
          <w:szCs w:val="22"/>
        </w:rPr>
        <w:t>.</w:t>
      </w:r>
    </w:p>
    <w:p w14:paraId="2D503B8D" w14:textId="7A0957DA" w:rsidR="003F1929" w:rsidRDefault="003F1929" w:rsidP="003F1929">
      <w:pPr>
        <w:rPr>
          <w:sz w:val="22"/>
          <w:szCs w:val="22"/>
        </w:rPr>
      </w:pPr>
    </w:p>
    <w:p w14:paraId="537C38E9" w14:textId="3311B3C2" w:rsidR="003F1929" w:rsidRDefault="003F1929" w:rsidP="003F1929">
      <w:pPr>
        <w:rPr>
          <w:sz w:val="22"/>
          <w:szCs w:val="22"/>
        </w:rPr>
      </w:pPr>
      <w:r>
        <w:rPr>
          <w:noProof/>
          <w:sz w:val="22"/>
          <w:szCs w:val="22"/>
        </w:rPr>
        <w:drawing>
          <wp:inline distT="0" distB="0" distL="0" distR="0" wp14:anchorId="4929D5A5" wp14:editId="47CD33E3">
            <wp:extent cx="5943600" cy="39249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943600" cy="3924935"/>
                    </a:xfrm>
                    <a:prstGeom prst="rect">
                      <a:avLst/>
                    </a:prstGeom>
                  </pic:spPr>
                </pic:pic>
              </a:graphicData>
            </a:graphic>
          </wp:inline>
        </w:drawing>
      </w:r>
    </w:p>
    <w:p w14:paraId="7FDDC619" w14:textId="77777777" w:rsidR="003F1929" w:rsidRDefault="003F1929" w:rsidP="003F1929">
      <w:pPr>
        <w:rPr>
          <w:sz w:val="22"/>
          <w:szCs w:val="22"/>
        </w:rPr>
      </w:pPr>
    </w:p>
    <w:p w14:paraId="0E5DB8D8" w14:textId="1BA7ED8D" w:rsidR="001A5184" w:rsidRDefault="00602CAC">
      <w:pPr>
        <w:rPr>
          <w:b/>
          <w:bCs/>
          <w:sz w:val="22"/>
          <w:szCs w:val="22"/>
        </w:rPr>
      </w:pPr>
      <w:r w:rsidRPr="00602CAC">
        <w:rPr>
          <w:i/>
          <w:iCs/>
          <w:sz w:val="18"/>
          <w:szCs w:val="18"/>
        </w:rPr>
        <w:t>Note</w:t>
      </w:r>
      <w:r w:rsidRPr="00602CAC">
        <w:rPr>
          <w:sz w:val="18"/>
          <w:szCs w:val="18"/>
        </w:rPr>
        <w:t xml:space="preserve">: </w:t>
      </w:r>
      <w:r>
        <w:rPr>
          <w:sz w:val="18"/>
          <w:szCs w:val="18"/>
        </w:rPr>
        <w:t>non-detect values were substituted with half the limit of detection.</w:t>
      </w:r>
    </w:p>
    <w:p w14:paraId="12515403" w14:textId="77777777" w:rsidR="007F2DF2" w:rsidRDefault="007F2DF2">
      <w:pPr>
        <w:rPr>
          <w:b/>
          <w:bCs/>
          <w:sz w:val="22"/>
          <w:szCs w:val="22"/>
        </w:rPr>
      </w:pPr>
      <w:r>
        <w:rPr>
          <w:b/>
          <w:bCs/>
          <w:sz w:val="22"/>
          <w:szCs w:val="22"/>
        </w:rPr>
        <w:br w:type="page"/>
      </w:r>
    </w:p>
    <w:p w14:paraId="5F14A48C" w14:textId="032E7D52" w:rsidR="007F2DF2" w:rsidRDefault="007F2DF2">
      <w:pPr>
        <w:rPr>
          <w:sz w:val="22"/>
          <w:szCs w:val="22"/>
        </w:rPr>
      </w:pPr>
      <w:r>
        <w:rPr>
          <w:b/>
          <w:bCs/>
          <w:sz w:val="22"/>
          <w:szCs w:val="22"/>
        </w:rPr>
        <w:lastRenderedPageBreak/>
        <w:t xml:space="preserve">Figure S8. </w:t>
      </w:r>
      <w:r>
        <w:rPr>
          <w:sz w:val="22"/>
          <w:szCs w:val="22"/>
        </w:rPr>
        <w:t>Comparison of geometric mean concentrations of brominated flame retardants in silicone wristbands from our study in the USA, UK, China, and India (</w:t>
      </w:r>
      <w:r>
        <w:rPr>
          <w:i/>
          <w:iCs/>
          <w:sz w:val="22"/>
          <w:szCs w:val="22"/>
        </w:rPr>
        <w:t>n</w:t>
      </w:r>
      <w:r>
        <w:rPr>
          <w:sz w:val="22"/>
          <w:szCs w:val="22"/>
        </w:rPr>
        <w:t>=251) to central tendency (geometric mean, median, or mean) previous studies of wristbands where we scaled their concentrations to our 32 hours of exposure sampling duration.</w:t>
      </w:r>
    </w:p>
    <w:p w14:paraId="298A5555" w14:textId="3AF86D9B" w:rsidR="007F2DF2" w:rsidRDefault="007F2DF2">
      <w:pPr>
        <w:rPr>
          <w:sz w:val="22"/>
          <w:szCs w:val="22"/>
        </w:rPr>
      </w:pPr>
    </w:p>
    <w:p w14:paraId="6791A7FA" w14:textId="77777777" w:rsidR="007F2DF2" w:rsidRDefault="007F2DF2">
      <w:pPr>
        <w:rPr>
          <w:sz w:val="22"/>
          <w:szCs w:val="22"/>
        </w:rPr>
      </w:pPr>
    </w:p>
    <w:p w14:paraId="410F14B4" w14:textId="77777777" w:rsidR="007F2DF2" w:rsidRDefault="007F2DF2">
      <w:pPr>
        <w:rPr>
          <w:sz w:val="22"/>
          <w:szCs w:val="22"/>
        </w:rPr>
      </w:pPr>
    </w:p>
    <w:p w14:paraId="29B0F906" w14:textId="77777777" w:rsidR="007F2DF2" w:rsidRDefault="007F2DF2">
      <w:pPr>
        <w:rPr>
          <w:b/>
          <w:bCs/>
          <w:sz w:val="22"/>
          <w:szCs w:val="22"/>
        </w:rPr>
      </w:pPr>
      <w:r>
        <w:rPr>
          <w:b/>
          <w:bCs/>
          <w:noProof/>
          <w:sz w:val="22"/>
          <w:szCs w:val="22"/>
        </w:rPr>
        <w:drawing>
          <wp:inline distT="0" distB="0" distL="0" distR="0" wp14:anchorId="0CA520A5" wp14:editId="35ECC946">
            <wp:extent cx="5943600" cy="3993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5943600" cy="3993515"/>
                    </a:xfrm>
                    <a:prstGeom prst="rect">
                      <a:avLst/>
                    </a:prstGeom>
                  </pic:spPr>
                </pic:pic>
              </a:graphicData>
            </a:graphic>
          </wp:inline>
        </w:drawing>
      </w:r>
    </w:p>
    <w:p w14:paraId="214135ED" w14:textId="77777777" w:rsidR="007F2DF2" w:rsidRDefault="007F2DF2">
      <w:pPr>
        <w:rPr>
          <w:b/>
          <w:bCs/>
          <w:sz w:val="22"/>
          <w:szCs w:val="22"/>
        </w:rPr>
      </w:pPr>
    </w:p>
    <w:p w14:paraId="49AE9697" w14:textId="289E9E03" w:rsidR="00035B33" w:rsidRPr="00B214E0" w:rsidRDefault="00035B33" w:rsidP="00035B33">
      <w:pPr>
        <w:rPr>
          <w:i/>
          <w:iCs/>
          <w:sz w:val="18"/>
          <w:szCs w:val="18"/>
        </w:rPr>
      </w:pPr>
      <w:r w:rsidRPr="00B214E0">
        <w:rPr>
          <w:i/>
          <w:iCs/>
          <w:sz w:val="18"/>
          <w:szCs w:val="18"/>
        </w:rPr>
        <w:t xml:space="preserve">Caution: some previous studies did not employ the same lab analysis </w:t>
      </w:r>
      <w:r>
        <w:rPr>
          <w:i/>
          <w:iCs/>
          <w:sz w:val="18"/>
          <w:szCs w:val="18"/>
        </w:rPr>
        <w:t>methods except when marked with * below.</w:t>
      </w:r>
    </w:p>
    <w:p w14:paraId="49D3FBB1" w14:textId="77777777" w:rsidR="00035B33" w:rsidRPr="006C093E" w:rsidRDefault="00035B33" w:rsidP="00035B33">
      <w:pPr>
        <w:rPr>
          <w:sz w:val="18"/>
          <w:szCs w:val="18"/>
        </w:rPr>
      </w:pPr>
      <w:r>
        <w:rPr>
          <w:i/>
          <w:iCs/>
          <w:sz w:val="18"/>
          <w:szCs w:val="18"/>
        </w:rPr>
        <w:t xml:space="preserve">Doherty et al. 2020: </w:t>
      </w:r>
      <w:r>
        <w:rPr>
          <w:sz w:val="18"/>
          <w:szCs w:val="18"/>
        </w:rPr>
        <w:t>pregnant moms in New Hampshire, USA (</w:t>
      </w:r>
      <w:r>
        <w:rPr>
          <w:i/>
          <w:iCs/>
          <w:sz w:val="18"/>
          <w:szCs w:val="18"/>
        </w:rPr>
        <w:t>n</w:t>
      </w:r>
      <w:r>
        <w:rPr>
          <w:sz w:val="18"/>
          <w:szCs w:val="18"/>
        </w:rPr>
        <w:t>=255; sampled 2017-8; wristbands worn for 7 days; we substituted 0s with 0.001).</w:t>
      </w:r>
    </w:p>
    <w:p w14:paraId="646B9129" w14:textId="6820AE5B" w:rsidR="00035B33" w:rsidRPr="00B214E0" w:rsidRDefault="00035B33" w:rsidP="00035B33">
      <w:pPr>
        <w:rPr>
          <w:sz w:val="18"/>
          <w:szCs w:val="18"/>
        </w:rPr>
      </w:pPr>
      <w:r>
        <w:rPr>
          <w:i/>
          <w:iCs/>
          <w:sz w:val="18"/>
          <w:szCs w:val="18"/>
        </w:rPr>
        <w:t>*</w:t>
      </w:r>
      <w:r w:rsidRPr="00B214E0">
        <w:rPr>
          <w:i/>
          <w:iCs/>
          <w:sz w:val="18"/>
          <w:szCs w:val="18"/>
        </w:rPr>
        <w:t xml:space="preserve">Hammel et al. 2018: </w:t>
      </w:r>
      <w:r w:rsidRPr="00B214E0">
        <w:rPr>
          <w:sz w:val="18"/>
          <w:szCs w:val="18"/>
        </w:rPr>
        <w:t>general population in North Carolina, USA (</w:t>
      </w:r>
      <w:r w:rsidRPr="00B214E0">
        <w:rPr>
          <w:i/>
          <w:iCs/>
          <w:sz w:val="18"/>
          <w:szCs w:val="18"/>
        </w:rPr>
        <w:t>n</w:t>
      </w:r>
      <w:r w:rsidRPr="00B214E0">
        <w:rPr>
          <w:sz w:val="18"/>
          <w:szCs w:val="18"/>
        </w:rPr>
        <w:t>=30; compatible lab methods; sampled 2016; wristbands worn for 7 days).</w:t>
      </w:r>
    </w:p>
    <w:p w14:paraId="0DACC643" w14:textId="084B59A6" w:rsidR="00035B33" w:rsidRPr="00B214E0" w:rsidRDefault="00035B33" w:rsidP="00035B33">
      <w:pPr>
        <w:rPr>
          <w:sz w:val="18"/>
          <w:szCs w:val="18"/>
        </w:rPr>
      </w:pPr>
      <w:proofErr w:type="spellStart"/>
      <w:r w:rsidRPr="00B214E0">
        <w:rPr>
          <w:i/>
          <w:iCs/>
          <w:sz w:val="18"/>
          <w:szCs w:val="18"/>
        </w:rPr>
        <w:t>Kile</w:t>
      </w:r>
      <w:proofErr w:type="spellEnd"/>
      <w:r w:rsidRPr="00B214E0">
        <w:rPr>
          <w:i/>
          <w:iCs/>
          <w:sz w:val="18"/>
          <w:szCs w:val="18"/>
        </w:rPr>
        <w:t xml:space="preserve"> et al. 2016: </w:t>
      </w:r>
      <w:r w:rsidRPr="00B214E0">
        <w:rPr>
          <w:sz w:val="18"/>
          <w:szCs w:val="18"/>
        </w:rPr>
        <w:t>preschool children in Oregon, USA (</w:t>
      </w:r>
      <w:r w:rsidRPr="00B214E0">
        <w:rPr>
          <w:i/>
          <w:iCs/>
          <w:sz w:val="18"/>
          <w:szCs w:val="18"/>
        </w:rPr>
        <w:t>n</w:t>
      </w:r>
      <w:r w:rsidRPr="00B214E0">
        <w:rPr>
          <w:sz w:val="18"/>
          <w:szCs w:val="18"/>
        </w:rPr>
        <w:t>=72; sampled 2012-3; wristbands worn for 7 days and concentrations scaled by time</w:t>
      </w:r>
      <w:r w:rsidR="00912B23">
        <w:rPr>
          <w:sz w:val="18"/>
          <w:szCs w:val="18"/>
        </w:rPr>
        <w:t>; only mean levels available</w:t>
      </w:r>
      <w:r w:rsidRPr="00B214E0">
        <w:rPr>
          <w:sz w:val="18"/>
          <w:szCs w:val="18"/>
        </w:rPr>
        <w:t>).</w:t>
      </w:r>
    </w:p>
    <w:p w14:paraId="383EAF30" w14:textId="77777777" w:rsidR="00035B33" w:rsidRPr="00E90976" w:rsidRDefault="00035B33" w:rsidP="00035B33">
      <w:pPr>
        <w:rPr>
          <w:sz w:val="18"/>
          <w:szCs w:val="18"/>
        </w:rPr>
      </w:pPr>
      <w:r>
        <w:rPr>
          <w:i/>
          <w:iCs/>
          <w:sz w:val="18"/>
          <w:szCs w:val="18"/>
        </w:rPr>
        <w:t xml:space="preserve">Travis et al. 2020: </w:t>
      </w:r>
      <w:r>
        <w:rPr>
          <w:sz w:val="18"/>
          <w:szCs w:val="18"/>
        </w:rPr>
        <w:t>elementary school children in Montevideo, Uruguay (</w:t>
      </w:r>
      <w:r>
        <w:rPr>
          <w:i/>
          <w:iCs/>
          <w:sz w:val="18"/>
          <w:szCs w:val="18"/>
        </w:rPr>
        <w:t>n</w:t>
      </w:r>
      <w:r>
        <w:rPr>
          <w:sz w:val="18"/>
          <w:szCs w:val="18"/>
        </w:rPr>
        <w:t>=24; wristbands worn for 7 days).</w:t>
      </w:r>
    </w:p>
    <w:p w14:paraId="57D39CC7" w14:textId="77777777" w:rsidR="00035B33" w:rsidRDefault="00035B33" w:rsidP="00035B33">
      <w:pPr>
        <w:rPr>
          <w:sz w:val="18"/>
          <w:szCs w:val="18"/>
        </w:rPr>
      </w:pPr>
      <w:r w:rsidRPr="00B214E0">
        <w:rPr>
          <w:i/>
          <w:iCs/>
          <w:sz w:val="18"/>
          <w:szCs w:val="18"/>
        </w:rPr>
        <w:t xml:space="preserve">Wang et al. 2019: </w:t>
      </w:r>
      <w:r w:rsidRPr="00B214E0">
        <w:rPr>
          <w:sz w:val="18"/>
          <w:szCs w:val="18"/>
        </w:rPr>
        <w:t>community in</w:t>
      </w:r>
      <w:r w:rsidRPr="00B214E0">
        <w:rPr>
          <w:i/>
          <w:iCs/>
          <w:sz w:val="18"/>
          <w:szCs w:val="18"/>
        </w:rPr>
        <w:t xml:space="preserve"> </w:t>
      </w:r>
      <w:r w:rsidRPr="00B214E0">
        <w:rPr>
          <w:sz w:val="18"/>
          <w:szCs w:val="18"/>
        </w:rPr>
        <w:t>rural Appalachia, USA (</w:t>
      </w:r>
      <w:r w:rsidRPr="00B214E0">
        <w:rPr>
          <w:i/>
          <w:iCs/>
          <w:sz w:val="18"/>
          <w:szCs w:val="18"/>
        </w:rPr>
        <w:t>n</w:t>
      </w:r>
      <w:r w:rsidRPr="00B214E0">
        <w:rPr>
          <w:sz w:val="18"/>
          <w:szCs w:val="18"/>
        </w:rPr>
        <w:t>=101; sampled 2017-8; wristbands worn for 7 days).</w:t>
      </w:r>
    </w:p>
    <w:p w14:paraId="43958DE1" w14:textId="77777777" w:rsidR="00035B33" w:rsidRPr="00D10710" w:rsidRDefault="00035B33" w:rsidP="00035B33">
      <w:pPr>
        <w:rPr>
          <w:sz w:val="18"/>
          <w:szCs w:val="18"/>
        </w:rPr>
      </w:pPr>
      <w:r>
        <w:rPr>
          <w:i/>
          <w:iCs/>
          <w:sz w:val="18"/>
          <w:szCs w:val="18"/>
        </w:rPr>
        <w:t xml:space="preserve">Wang et al. 2020: </w:t>
      </w:r>
      <w:r w:rsidRPr="00D10710">
        <w:rPr>
          <w:sz w:val="18"/>
          <w:szCs w:val="18"/>
        </w:rPr>
        <w:t>older adults in France</w:t>
      </w:r>
      <w:r>
        <w:rPr>
          <w:sz w:val="18"/>
          <w:szCs w:val="18"/>
        </w:rPr>
        <w:t xml:space="preserve"> (</w:t>
      </w:r>
      <w:r>
        <w:rPr>
          <w:i/>
          <w:iCs/>
          <w:sz w:val="18"/>
          <w:szCs w:val="18"/>
        </w:rPr>
        <w:t>n</w:t>
      </w:r>
      <w:r>
        <w:rPr>
          <w:sz w:val="18"/>
          <w:szCs w:val="18"/>
        </w:rPr>
        <w:t>=40; sampled 2018-2019; wristbands worn for 5 days).</w:t>
      </w:r>
    </w:p>
    <w:p w14:paraId="5B70D37E" w14:textId="77777777" w:rsidR="00035B33" w:rsidRDefault="00035B33" w:rsidP="00035B33">
      <w:pPr>
        <w:rPr>
          <w:sz w:val="18"/>
          <w:szCs w:val="18"/>
        </w:rPr>
      </w:pPr>
      <w:r>
        <w:rPr>
          <w:i/>
          <w:iCs/>
          <w:sz w:val="18"/>
          <w:szCs w:val="18"/>
        </w:rPr>
        <w:t>Wang et al. 2020.:</w:t>
      </w:r>
      <w:r w:rsidRPr="00D10710">
        <w:rPr>
          <w:sz w:val="18"/>
          <w:szCs w:val="18"/>
        </w:rPr>
        <w:t xml:space="preserve"> </w:t>
      </w:r>
      <w:r>
        <w:rPr>
          <w:sz w:val="18"/>
          <w:szCs w:val="18"/>
        </w:rPr>
        <w:t>young adults in Italy (</w:t>
      </w:r>
      <w:r>
        <w:rPr>
          <w:i/>
          <w:iCs/>
          <w:sz w:val="18"/>
          <w:szCs w:val="18"/>
        </w:rPr>
        <w:t>n</w:t>
      </w:r>
      <w:r>
        <w:rPr>
          <w:sz w:val="18"/>
          <w:szCs w:val="18"/>
        </w:rPr>
        <w:t>=32; sampled 2018-2019; wristbands worn for 5 days).</w:t>
      </w:r>
    </w:p>
    <w:p w14:paraId="71915523" w14:textId="77777777" w:rsidR="007F2DF2" w:rsidRDefault="007F2DF2">
      <w:pPr>
        <w:rPr>
          <w:b/>
          <w:bCs/>
          <w:sz w:val="22"/>
          <w:szCs w:val="22"/>
        </w:rPr>
      </w:pPr>
      <w:r>
        <w:rPr>
          <w:b/>
          <w:bCs/>
          <w:sz w:val="22"/>
          <w:szCs w:val="22"/>
        </w:rPr>
        <w:br w:type="page"/>
      </w:r>
    </w:p>
    <w:p w14:paraId="6F7C17AC" w14:textId="4FEED34D" w:rsidR="007F2DF2" w:rsidRDefault="007F2DF2" w:rsidP="007F2DF2">
      <w:pPr>
        <w:rPr>
          <w:sz w:val="22"/>
          <w:szCs w:val="22"/>
        </w:rPr>
      </w:pPr>
      <w:r>
        <w:rPr>
          <w:b/>
          <w:bCs/>
          <w:sz w:val="22"/>
          <w:szCs w:val="22"/>
        </w:rPr>
        <w:lastRenderedPageBreak/>
        <w:t xml:space="preserve">Figure S9. </w:t>
      </w:r>
      <w:r>
        <w:rPr>
          <w:sz w:val="22"/>
          <w:szCs w:val="22"/>
        </w:rPr>
        <w:t>Comparison of geometric mean concentrations of organophosphate esters in silicone wristbands from our study in the USA, UK, China, and India (</w:t>
      </w:r>
      <w:r>
        <w:rPr>
          <w:i/>
          <w:iCs/>
          <w:sz w:val="22"/>
          <w:szCs w:val="22"/>
        </w:rPr>
        <w:t>n</w:t>
      </w:r>
      <w:r>
        <w:rPr>
          <w:sz w:val="22"/>
          <w:szCs w:val="22"/>
        </w:rPr>
        <w:t>=243–251) to central tendency (geometric mean, median, or mean) previous studies of wristbands where we scaled their concentrations to our 32 hours of exposure sampling duration.</w:t>
      </w:r>
    </w:p>
    <w:p w14:paraId="6B779E67" w14:textId="6704CC2D" w:rsidR="007F2DF2" w:rsidRDefault="007F2DF2" w:rsidP="007F2DF2">
      <w:pPr>
        <w:rPr>
          <w:sz w:val="22"/>
          <w:szCs w:val="22"/>
        </w:rPr>
      </w:pPr>
    </w:p>
    <w:p w14:paraId="3E19D6CE" w14:textId="15F28105" w:rsidR="007F2DF2" w:rsidRDefault="007F2DF2" w:rsidP="007F2DF2">
      <w:pPr>
        <w:rPr>
          <w:sz w:val="22"/>
          <w:szCs w:val="22"/>
        </w:rPr>
      </w:pPr>
      <w:r>
        <w:rPr>
          <w:noProof/>
          <w:sz w:val="22"/>
          <w:szCs w:val="22"/>
        </w:rPr>
        <w:drawing>
          <wp:inline distT="0" distB="0" distL="0" distR="0" wp14:anchorId="134C601B" wp14:editId="103C83B3">
            <wp:extent cx="5946606" cy="47731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5946606" cy="4773168"/>
                    </a:xfrm>
                    <a:prstGeom prst="rect">
                      <a:avLst/>
                    </a:prstGeom>
                  </pic:spPr>
                </pic:pic>
              </a:graphicData>
            </a:graphic>
          </wp:inline>
        </w:drawing>
      </w:r>
    </w:p>
    <w:p w14:paraId="086CF303" w14:textId="77777777" w:rsidR="007F2DF2" w:rsidRDefault="007F2DF2">
      <w:pPr>
        <w:rPr>
          <w:b/>
          <w:bCs/>
          <w:sz w:val="22"/>
          <w:szCs w:val="22"/>
        </w:rPr>
      </w:pPr>
    </w:p>
    <w:p w14:paraId="5153A86F" w14:textId="77777777" w:rsidR="00D10710" w:rsidRDefault="00D10710">
      <w:pPr>
        <w:rPr>
          <w:b/>
          <w:bCs/>
          <w:sz w:val="22"/>
          <w:szCs w:val="22"/>
        </w:rPr>
      </w:pPr>
    </w:p>
    <w:p w14:paraId="1171855E" w14:textId="67BDD56D" w:rsidR="00D10710" w:rsidRPr="00B214E0" w:rsidRDefault="00D10710" w:rsidP="00D10710">
      <w:pPr>
        <w:rPr>
          <w:i/>
          <w:iCs/>
          <w:sz w:val="18"/>
          <w:szCs w:val="18"/>
        </w:rPr>
      </w:pPr>
      <w:r w:rsidRPr="00B214E0">
        <w:rPr>
          <w:i/>
          <w:iCs/>
          <w:sz w:val="18"/>
          <w:szCs w:val="18"/>
        </w:rPr>
        <w:t>Caution: some previous studies did not employ the same lab analysis methods</w:t>
      </w:r>
      <w:r w:rsidR="00900576">
        <w:rPr>
          <w:i/>
          <w:iCs/>
          <w:sz w:val="18"/>
          <w:szCs w:val="18"/>
        </w:rPr>
        <w:t xml:space="preserve"> except when marked with * below</w:t>
      </w:r>
      <w:r w:rsidRPr="00B214E0">
        <w:rPr>
          <w:i/>
          <w:iCs/>
          <w:sz w:val="18"/>
          <w:szCs w:val="18"/>
        </w:rPr>
        <w:t xml:space="preserve">. </w:t>
      </w:r>
    </w:p>
    <w:p w14:paraId="4B160EDC" w14:textId="77777777" w:rsidR="00D10710" w:rsidRPr="006C093E" w:rsidRDefault="00D10710" w:rsidP="00D10710">
      <w:pPr>
        <w:rPr>
          <w:sz w:val="18"/>
          <w:szCs w:val="18"/>
        </w:rPr>
      </w:pPr>
      <w:r>
        <w:rPr>
          <w:i/>
          <w:iCs/>
          <w:sz w:val="18"/>
          <w:szCs w:val="18"/>
        </w:rPr>
        <w:t xml:space="preserve">Doherty et al. 2020: </w:t>
      </w:r>
      <w:r>
        <w:rPr>
          <w:sz w:val="18"/>
          <w:szCs w:val="18"/>
        </w:rPr>
        <w:t>pregnant moms in New Hampshire, USA (</w:t>
      </w:r>
      <w:r>
        <w:rPr>
          <w:i/>
          <w:iCs/>
          <w:sz w:val="18"/>
          <w:szCs w:val="18"/>
        </w:rPr>
        <w:t>n</w:t>
      </w:r>
      <w:r>
        <w:rPr>
          <w:sz w:val="18"/>
          <w:szCs w:val="18"/>
        </w:rPr>
        <w:t>=255; sampled 2017-8; wristbands worn for 7 days; we substituted 0s with 0.001).</w:t>
      </w:r>
    </w:p>
    <w:p w14:paraId="2844F21A" w14:textId="77777777" w:rsidR="00D10710" w:rsidRPr="00B214E0" w:rsidRDefault="00D10710" w:rsidP="00D10710">
      <w:pPr>
        <w:rPr>
          <w:sz w:val="18"/>
          <w:szCs w:val="18"/>
        </w:rPr>
      </w:pPr>
      <w:r w:rsidRPr="00B214E0">
        <w:rPr>
          <w:i/>
          <w:iCs/>
          <w:sz w:val="18"/>
          <w:szCs w:val="18"/>
        </w:rPr>
        <w:t xml:space="preserve">Gibson et al. 2019: </w:t>
      </w:r>
      <w:r w:rsidRPr="00B214E0">
        <w:rPr>
          <w:sz w:val="18"/>
          <w:szCs w:val="18"/>
        </w:rPr>
        <w:t>mothers in New York, USA (</w:t>
      </w:r>
      <w:r w:rsidRPr="00B214E0">
        <w:rPr>
          <w:i/>
          <w:iCs/>
          <w:sz w:val="18"/>
          <w:szCs w:val="18"/>
        </w:rPr>
        <w:t>n</w:t>
      </w:r>
      <w:r w:rsidRPr="00B214E0">
        <w:rPr>
          <w:sz w:val="18"/>
          <w:szCs w:val="18"/>
        </w:rPr>
        <w:t>=38; sampled 2015; wristbands worn for 7 days).</w:t>
      </w:r>
    </w:p>
    <w:p w14:paraId="7808A3A9" w14:textId="3D687F3F" w:rsidR="00D10710" w:rsidRPr="00B214E0" w:rsidRDefault="00900576" w:rsidP="00D10710">
      <w:pPr>
        <w:rPr>
          <w:sz w:val="18"/>
          <w:szCs w:val="18"/>
        </w:rPr>
      </w:pPr>
      <w:r>
        <w:rPr>
          <w:i/>
          <w:iCs/>
          <w:sz w:val="18"/>
          <w:szCs w:val="18"/>
        </w:rPr>
        <w:t>*</w:t>
      </w:r>
      <w:r w:rsidR="00D10710" w:rsidRPr="00B214E0">
        <w:rPr>
          <w:i/>
          <w:iCs/>
          <w:sz w:val="18"/>
          <w:szCs w:val="18"/>
        </w:rPr>
        <w:t xml:space="preserve">Hammel et al. 2016: </w:t>
      </w:r>
      <w:r w:rsidR="00D10710" w:rsidRPr="00B214E0">
        <w:rPr>
          <w:sz w:val="18"/>
          <w:szCs w:val="18"/>
        </w:rPr>
        <w:t>general population in North Carolina, USA (</w:t>
      </w:r>
      <w:r w:rsidR="00D10710" w:rsidRPr="00B214E0">
        <w:rPr>
          <w:i/>
          <w:iCs/>
          <w:sz w:val="18"/>
          <w:szCs w:val="18"/>
        </w:rPr>
        <w:t>n</w:t>
      </w:r>
      <w:r w:rsidR="00D10710" w:rsidRPr="00B214E0">
        <w:rPr>
          <w:sz w:val="18"/>
          <w:szCs w:val="18"/>
        </w:rPr>
        <w:t>=40; compatible lab methods; sampled 2015; wristbands worn for 5 days).</w:t>
      </w:r>
    </w:p>
    <w:p w14:paraId="7E7B90E3" w14:textId="6CE6713F" w:rsidR="00D10710" w:rsidRPr="00B214E0" w:rsidRDefault="00900576" w:rsidP="00D10710">
      <w:pPr>
        <w:rPr>
          <w:i/>
          <w:iCs/>
          <w:sz w:val="18"/>
          <w:szCs w:val="18"/>
        </w:rPr>
      </w:pPr>
      <w:r>
        <w:rPr>
          <w:i/>
          <w:iCs/>
          <w:sz w:val="18"/>
          <w:szCs w:val="18"/>
        </w:rPr>
        <w:t>*</w:t>
      </w:r>
      <w:r w:rsidR="00D10710" w:rsidRPr="00B214E0">
        <w:rPr>
          <w:i/>
          <w:iCs/>
          <w:sz w:val="18"/>
          <w:szCs w:val="18"/>
        </w:rPr>
        <w:t xml:space="preserve">Hammel et al. 2020: </w:t>
      </w:r>
      <w:r w:rsidR="00D10710" w:rsidRPr="00B214E0">
        <w:rPr>
          <w:sz w:val="18"/>
          <w:szCs w:val="18"/>
        </w:rPr>
        <w:t>children in North Carolina, USA (</w:t>
      </w:r>
      <w:r w:rsidR="00D10710" w:rsidRPr="00B214E0">
        <w:rPr>
          <w:i/>
          <w:iCs/>
          <w:sz w:val="18"/>
          <w:szCs w:val="18"/>
        </w:rPr>
        <w:t>n</w:t>
      </w:r>
      <w:r w:rsidR="00D10710" w:rsidRPr="00B214E0">
        <w:rPr>
          <w:sz w:val="18"/>
          <w:szCs w:val="18"/>
        </w:rPr>
        <w:t>=77; compatible lab methods; sampled 2015; wristbands worn for 7 days).</w:t>
      </w:r>
    </w:p>
    <w:p w14:paraId="65725677" w14:textId="64D67C26" w:rsidR="00D10710" w:rsidRPr="00B214E0" w:rsidRDefault="00D10710" w:rsidP="00D10710">
      <w:pPr>
        <w:rPr>
          <w:sz w:val="18"/>
          <w:szCs w:val="18"/>
        </w:rPr>
      </w:pPr>
      <w:proofErr w:type="spellStart"/>
      <w:r w:rsidRPr="00B214E0">
        <w:rPr>
          <w:i/>
          <w:iCs/>
          <w:sz w:val="18"/>
          <w:szCs w:val="18"/>
        </w:rPr>
        <w:t>Kile</w:t>
      </w:r>
      <w:proofErr w:type="spellEnd"/>
      <w:r w:rsidRPr="00B214E0">
        <w:rPr>
          <w:i/>
          <w:iCs/>
          <w:sz w:val="18"/>
          <w:szCs w:val="18"/>
        </w:rPr>
        <w:t xml:space="preserve"> et al. 2016: </w:t>
      </w:r>
      <w:r w:rsidRPr="00B214E0">
        <w:rPr>
          <w:sz w:val="18"/>
          <w:szCs w:val="18"/>
        </w:rPr>
        <w:t>preschool children in Oregon, USA (</w:t>
      </w:r>
      <w:r w:rsidRPr="00B214E0">
        <w:rPr>
          <w:i/>
          <w:iCs/>
          <w:sz w:val="18"/>
          <w:szCs w:val="18"/>
        </w:rPr>
        <w:t>n</w:t>
      </w:r>
      <w:r w:rsidRPr="00B214E0">
        <w:rPr>
          <w:sz w:val="18"/>
          <w:szCs w:val="18"/>
        </w:rPr>
        <w:t>=72; sampled 2012-2013; wristbands worn for 7 days</w:t>
      </w:r>
      <w:r w:rsidR="00912B23">
        <w:rPr>
          <w:sz w:val="18"/>
          <w:szCs w:val="18"/>
        </w:rPr>
        <w:t>; only mean levels available</w:t>
      </w:r>
      <w:r w:rsidRPr="00B214E0">
        <w:rPr>
          <w:sz w:val="18"/>
          <w:szCs w:val="18"/>
        </w:rPr>
        <w:t>).</w:t>
      </w:r>
    </w:p>
    <w:p w14:paraId="6E6BF2C3" w14:textId="69114FA9" w:rsidR="00D10710" w:rsidRPr="00B214E0" w:rsidRDefault="002A0C33" w:rsidP="00D10710">
      <w:pPr>
        <w:rPr>
          <w:sz w:val="18"/>
          <w:szCs w:val="18"/>
        </w:rPr>
      </w:pPr>
      <w:r>
        <w:rPr>
          <w:i/>
          <w:iCs/>
          <w:sz w:val="18"/>
          <w:szCs w:val="18"/>
        </w:rPr>
        <w:t>*</w:t>
      </w:r>
      <w:proofErr w:type="spellStart"/>
      <w:r w:rsidR="00D10710" w:rsidRPr="00B214E0">
        <w:rPr>
          <w:i/>
          <w:iCs/>
          <w:sz w:val="18"/>
          <w:szCs w:val="18"/>
        </w:rPr>
        <w:t>Reddam</w:t>
      </w:r>
      <w:proofErr w:type="spellEnd"/>
      <w:r w:rsidR="00D10710" w:rsidRPr="00B214E0">
        <w:rPr>
          <w:i/>
          <w:iCs/>
          <w:sz w:val="18"/>
          <w:szCs w:val="18"/>
        </w:rPr>
        <w:t xml:space="preserve"> et al. 2020: </w:t>
      </w:r>
      <w:r w:rsidR="00D10710" w:rsidRPr="00B214E0">
        <w:rPr>
          <w:sz w:val="18"/>
          <w:szCs w:val="18"/>
        </w:rPr>
        <w:t>undergraduate students in California, USA (</w:t>
      </w:r>
      <w:r w:rsidR="00D10710" w:rsidRPr="00B214E0">
        <w:rPr>
          <w:i/>
          <w:iCs/>
          <w:sz w:val="18"/>
          <w:szCs w:val="18"/>
        </w:rPr>
        <w:t>n</w:t>
      </w:r>
      <w:r w:rsidR="00D10710" w:rsidRPr="00B214E0">
        <w:rPr>
          <w:sz w:val="18"/>
          <w:szCs w:val="18"/>
        </w:rPr>
        <w:t>=88;</w:t>
      </w:r>
      <w:r w:rsidR="006F5F36">
        <w:rPr>
          <w:sz w:val="18"/>
          <w:szCs w:val="18"/>
        </w:rPr>
        <w:t xml:space="preserve"> compatible lab methods;</w:t>
      </w:r>
      <w:r w:rsidR="00D10710" w:rsidRPr="00B214E0">
        <w:rPr>
          <w:sz w:val="18"/>
          <w:szCs w:val="18"/>
        </w:rPr>
        <w:t xml:space="preserve"> sampled 2019; wristbands worn for 5 days).</w:t>
      </w:r>
    </w:p>
    <w:p w14:paraId="3E4D1362" w14:textId="77777777" w:rsidR="00D10710" w:rsidRPr="002D037A" w:rsidRDefault="00D10710" w:rsidP="00D10710">
      <w:pPr>
        <w:rPr>
          <w:sz w:val="18"/>
          <w:szCs w:val="18"/>
        </w:rPr>
      </w:pPr>
      <w:r>
        <w:rPr>
          <w:i/>
          <w:iCs/>
          <w:sz w:val="18"/>
          <w:szCs w:val="18"/>
        </w:rPr>
        <w:t xml:space="preserve">Travis et al. 2020: </w:t>
      </w:r>
      <w:r>
        <w:rPr>
          <w:sz w:val="18"/>
          <w:szCs w:val="18"/>
        </w:rPr>
        <w:t>elementary school children in Montevideo, Uruguay (</w:t>
      </w:r>
      <w:r>
        <w:rPr>
          <w:i/>
          <w:iCs/>
          <w:sz w:val="18"/>
          <w:szCs w:val="18"/>
        </w:rPr>
        <w:t>n</w:t>
      </w:r>
      <w:r>
        <w:rPr>
          <w:sz w:val="18"/>
          <w:szCs w:val="18"/>
        </w:rPr>
        <w:t>=24; wristbands worn for 7 days).</w:t>
      </w:r>
    </w:p>
    <w:p w14:paraId="2DED69D9" w14:textId="3EC0897B" w:rsidR="00D10710" w:rsidRDefault="00D10710" w:rsidP="00D10710">
      <w:pPr>
        <w:rPr>
          <w:sz w:val="18"/>
          <w:szCs w:val="18"/>
        </w:rPr>
      </w:pPr>
      <w:r w:rsidRPr="00B214E0">
        <w:rPr>
          <w:i/>
          <w:iCs/>
          <w:sz w:val="18"/>
          <w:szCs w:val="18"/>
        </w:rPr>
        <w:t xml:space="preserve">Wang et al. 2019: </w:t>
      </w:r>
      <w:r w:rsidRPr="00B214E0">
        <w:rPr>
          <w:sz w:val="18"/>
          <w:szCs w:val="18"/>
        </w:rPr>
        <w:t>community in</w:t>
      </w:r>
      <w:r w:rsidRPr="00B214E0">
        <w:rPr>
          <w:i/>
          <w:iCs/>
          <w:sz w:val="18"/>
          <w:szCs w:val="18"/>
        </w:rPr>
        <w:t xml:space="preserve"> </w:t>
      </w:r>
      <w:r w:rsidRPr="00B214E0">
        <w:rPr>
          <w:sz w:val="18"/>
          <w:szCs w:val="18"/>
        </w:rPr>
        <w:t>rural Appalachia, USA (</w:t>
      </w:r>
      <w:r w:rsidRPr="00B214E0">
        <w:rPr>
          <w:i/>
          <w:iCs/>
          <w:sz w:val="18"/>
          <w:szCs w:val="18"/>
        </w:rPr>
        <w:t>n</w:t>
      </w:r>
      <w:r w:rsidRPr="00B214E0">
        <w:rPr>
          <w:sz w:val="18"/>
          <w:szCs w:val="18"/>
        </w:rPr>
        <w:t>=101; sampled 2017-2018; wristbands worn for 7 days).</w:t>
      </w:r>
    </w:p>
    <w:p w14:paraId="7B6709D9" w14:textId="7DFB84C6" w:rsidR="00D10710" w:rsidRPr="00D10710" w:rsidRDefault="00D10710" w:rsidP="00D10710">
      <w:pPr>
        <w:rPr>
          <w:sz w:val="18"/>
          <w:szCs w:val="18"/>
        </w:rPr>
      </w:pPr>
      <w:r>
        <w:rPr>
          <w:i/>
          <w:iCs/>
          <w:sz w:val="18"/>
          <w:szCs w:val="18"/>
        </w:rPr>
        <w:t xml:space="preserve">Wang et al. 2020: </w:t>
      </w:r>
      <w:r w:rsidRPr="00D10710">
        <w:rPr>
          <w:sz w:val="18"/>
          <w:szCs w:val="18"/>
        </w:rPr>
        <w:t>older adults in France</w:t>
      </w:r>
      <w:r>
        <w:rPr>
          <w:sz w:val="18"/>
          <w:szCs w:val="18"/>
        </w:rPr>
        <w:t xml:space="preserve"> (</w:t>
      </w:r>
      <w:r>
        <w:rPr>
          <w:i/>
          <w:iCs/>
          <w:sz w:val="18"/>
          <w:szCs w:val="18"/>
        </w:rPr>
        <w:t>n</w:t>
      </w:r>
      <w:r>
        <w:rPr>
          <w:sz w:val="18"/>
          <w:szCs w:val="18"/>
        </w:rPr>
        <w:t>=40; sampled 2018-2019; wristbands worn for 5 days).</w:t>
      </w:r>
    </w:p>
    <w:p w14:paraId="56379981" w14:textId="29C59632" w:rsidR="00D10710" w:rsidRDefault="00D10710" w:rsidP="00D10710">
      <w:pPr>
        <w:rPr>
          <w:sz w:val="18"/>
          <w:szCs w:val="18"/>
        </w:rPr>
      </w:pPr>
      <w:r>
        <w:rPr>
          <w:i/>
          <w:iCs/>
          <w:sz w:val="18"/>
          <w:szCs w:val="18"/>
        </w:rPr>
        <w:t>Wang et al. 2020.:</w:t>
      </w:r>
      <w:r w:rsidRPr="00D10710">
        <w:rPr>
          <w:sz w:val="18"/>
          <w:szCs w:val="18"/>
        </w:rPr>
        <w:t xml:space="preserve"> </w:t>
      </w:r>
      <w:r>
        <w:rPr>
          <w:sz w:val="18"/>
          <w:szCs w:val="18"/>
        </w:rPr>
        <w:t>young adults in Italy (</w:t>
      </w:r>
      <w:r>
        <w:rPr>
          <w:i/>
          <w:iCs/>
          <w:sz w:val="18"/>
          <w:szCs w:val="18"/>
        </w:rPr>
        <w:t>n</w:t>
      </w:r>
      <w:r>
        <w:rPr>
          <w:sz w:val="18"/>
          <w:szCs w:val="18"/>
        </w:rPr>
        <w:t>=32; sampled 2018-2019; wristbands worn for 5 days).</w:t>
      </w:r>
    </w:p>
    <w:p w14:paraId="3E4847C7" w14:textId="192F9429" w:rsidR="007F2DF2" w:rsidRDefault="007F2DF2">
      <w:pPr>
        <w:rPr>
          <w:b/>
          <w:bCs/>
          <w:sz w:val="22"/>
          <w:szCs w:val="22"/>
        </w:rPr>
      </w:pPr>
      <w:r>
        <w:rPr>
          <w:b/>
          <w:bCs/>
          <w:sz w:val="22"/>
          <w:szCs w:val="22"/>
        </w:rPr>
        <w:br w:type="page"/>
      </w:r>
    </w:p>
    <w:p w14:paraId="75F6819E" w14:textId="1953172C" w:rsidR="007F2DF2" w:rsidRDefault="007F2DF2" w:rsidP="007F2DF2">
      <w:pPr>
        <w:rPr>
          <w:sz w:val="22"/>
          <w:szCs w:val="22"/>
        </w:rPr>
      </w:pPr>
      <w:r>
        <w:rPr>
          <w:b/>
          <w:bCs/>
          <w:sz w:val="22"/>
          <w:szCs w:val="22"/>
        </w:rPr>
        <w:lastRenderedPageBreak/>
        <w:t xml:space="preserve">Figure S10. </w:t>
      </w:r>
      <w:r>
        <w:rPr>
          <w:sz w:val="22"/>
          <w:szCs w:val="22"/>
        </w:rPr>
        <w:t>Comparison of geometric mean concentrations of phthalates and phthalate alternatives in silicone wristbands from our study in the USA, UK, China, and India (</w:t>
      </w:r>
      <w:r>
        <w:rPr>
          <w:i/>
          <w:iCs/>
          <w:sz w:val="22"/>
          <w:szCs w:val="22"/>
        </w:rPr>
        <w:t>n</w:t>
      </w:r>
      <w:r>
        <w:rPr>
          <w:sz w:val="22"/>
          <w:szCs w:val="22"/>
        </w:rPr>
        <w:t>=251) to central tendency (geometric mean</w:t>
      </w:r>
      <w:r w:rsidR="002802CE">
        <w:rPr>
          <w:sz w:val="22"/>
          <w:szCs w:val="22"/>
        </w:rPr>
        <w:t xml:space="preserve"> or</w:t>
      </w:r>
      <w:r>
        <w:rPr>
          <w:sz w:val="22"/>
          <w:szCs w:val="22"/>
        </w:rPr>
        <w:t xml:space="preserve"> median) previous studies of wristbands where we scaled their concentrations to our 32 hours of exposure sampling duration.</w:t>
      </w:r>
    </w:p>
    <w:p w14:paraId="46BF9B7B" w14:textId="3FBC9174" w:rsidR="00471615" w:rsidRDefault="00471615" w:rsidP="007F2DF2">
      <w:pPr>
        <w:rPr>
          <w:sz w:val="22"/>
          <w:szCs w:val="22"/>
        </w:rPr>
      </w:pPr>
    </w:p>
    <w:p w14:paraId="4024EBD4" w14:textId="77777777" w:rsidR="00471615" w:rsidRDefault="00471615" w:rsidP="007F2DF2">
      <w:pPr>
        <w:rPr>
          <w:sz w:val="22"/>
          <w:szCs w:val="22"/>
        </w:rPr>
      </w:pPr>
    </w:p>
    <w:p w14:paraId="7727B41C" w14:textId="77777777" w:rsidR="00C47AA3" w:rsidRDefault="00471615">
      <w:pPr>
        <w:rPr>
          <w:b/>
          <w:bCs/>
          <w:sz w:val="22"/>
          <w:szCs w:val="22"/>
        </w:rPr>
      </w:pPr>
      <w:r>
        <w:rPr>
          <w:b/>
          <w:bCs/>
          <w:noProof/>
          <w:sz w:val="22"/>
          <w:szCs w:val="22"/>
        </w:rPr>
        <w:drawing>
          <wp:inline distT="0" distB="0" distL="0" distR="0" wp14:anchorId="2F67E7D2" wp14:editId="6BE22E98">
            <wp:extent cx="5943600" cy="3627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p>
    <w:p w14:paraId="3A77E77A" w14:textId="77777777" w:rsidR="00116AA2" w:rsidRDefault="00116AA2">
      <w:pPr>
        <w:rPr>
          <w:b/>
          <w:bCs/>
          <w:sz w:val="22"/>
          <w:szCs w:val="22"/>
        </w:rPr>
      </w:pPr>
    </w:p>
    <w:p w14:paraId="24F7F629" w14:textId="77777777" w:rsidR="00116AA2" w:rsidRPr="00B214E0" w:rsidRDefault="00116AA2" w:rsidP="00116AA2">
      <w:pPr>
        <w:rPr>
          <w:i/>
          <w:iCs/>
          <w:sz w:val="18"/>
          <w:szCs w:val="18"/>
        </w:rPr>
      </w:pPr>
      <w:r w:rsidRPr="00B214E0">
        <w:rPr>
          <w:i/>
          <w:iCs/>
          <w:sz w:val="18"/>
          <w:szCs w:val="18"/>
        </w:rPr>
        <w:t>Caution: some previous studies did not employ the same lab analysis methods</w:t>
      </w:r>
      <w:r>
        <w:rPr>
          <w:i/>
          <w:iCs/>
          <w:sz w:val="18"/>
          <w:szCs w:val="18"/>
        </w:rPr>
        <w:t xml:space="preserve"> except when marked with * below</w:t>
      </w:r>
      <w:r w:rsidRPr="00B214E0">
        <w:rPr>
          <w:i/>
          <w:iCs/>
          <w:sz w:val="18"/>
          <w:szCs w:val="18"/>
        </w:rPr>
        <w:t xml:space="preserve">. </w:t>
      </w:r>
    </w:p>
    <w:p w14:paraId="57AB3745" w14:textId="77777777" w:rsidR="00116AA2" w:rsidRPr="006C093E" w:rsidRDefault="00116AA2" w:rsidP="00116AA2">
      <w:pPr>
        <w:rPr>
          <w:sz w:val="18"/>
          <w:szCs w:val="18"/>
        </w:rPr>
      </w:pPr>
      <w:r>
        <w:rPr>
          <w:i/>
          <w:iCs/>
          <w:sz w:val="18"/>
          <w:szCs w:val="18"/>
        </w:rPr>
        <w:t xml:space="preserve">Doherty et al. 2020: </w:t>
      </w:r>
      <w:r>
        <w:rPr>
          <w:sz w:val="18"/>
          <w:szCs w:val="18"/>
        </w:rPr>
        <w:t>pregnant moms in New Hampshire, USA (</w:t>
      </w:r>
      <w:r>
        <w:rPr>
          <w:i/>
          <w:iCs/>
          <w:sz w:val="18"/>
          <w:szCs w:val="18"/>
        </w:rPr>
        <w:t>n</w:t>
      </w:r>
      <w:r>
        <w:rPr>
          <w:sz w:val="18"/>
          <w:szCs w:val="18"/>
        </w:rPr>
        <w:t>=255; sampled 2017-8; wristbands worn for 7 days; we substituted 0s with 0.001).</w:t>
      </w:r>
    </w:p>
    <w:p w14:paraId="3AE045E4" w14:textId="77777777" w:rsidR="00116AA2" w:rsidRPr="00B214E0" w:rsidRDefault="00116AA2" w:rsidP="00116AA2">
      <w:pPr>
        <w:rPr>
          <w:i/>
          <w:iCs/>
          <w:sz w:val="18"/>
          <w:szCs w:val="18"/>
        </w:rPr>
      </w:pPr>
      <w:r>
        <w:rPr>
          <w:i/>
          <w:iCs/>
          <w:sz w:val="18"/>
          <w:szCs w:val="18"/>
        </w:rPr>
        <w:t>*</w:t>
      </w:r>
      <w:r w:rsidRPr="00B214E0">
        <w:rPr>
          <w:i/>
          <w:iCs/>
          <w:sz w:val="18"/>
          <w:szCs w:val="18"/>
        </w:rPr>
        <w:t xml:space="preserve">Hammel et al. 2020: </w:t>
      </w:r>
      <w:r w:rsidRPr="00B214E0">
        <w:rPr>
          <w:sz w:val="18"/>
          <w:szCs w:val="18"/>
        </w:rPr>
        <w:t>children in North Carolina, USA (</w:t>
      </w:r>
      <w:r w:rsidRPr="00B214E0">
        <w:rPr>
          <w:i/>
          <w:iCs/>
          <w:sz w:val="18"/>
          <w:szCs w:val="18"/>
        </w:rPr>
        <w:t>n</w:t>
      </w:r>
      <w:r w:rsidRPr="00B214E0">
        <w:rPr>
          <w:sz w:val="18"/>
          <w:szCs w:val="18"/>
        </w:rPr>
        <w:t>=77; compatible lab methods; sampled 2015; wristbands worn for 7 days).</w:t>
      </w:r>
    </w:p>
    <w:p w14:paraId="26C59ED6" w14:textId="1F0C6B2A" w:rsidR="00C47AA3" w:rsidRDefault="00C47AA3">
      <w:pPr>
        <w:rPr>
          <w:b/>
          <w:bCs/>
          <w:sz w:val="22"/>
          <w:szCs w:val="22"/>
        </w:rPr>
      </w:pPr>
      <w:r>
        <w:rPr>
          <w:b/>
          <w:bCs/>
          <w:sz w:val="22"/>
          <w:szCs w:val="22"/>
        </w:rPr>
        <w:br w:type="page"/>
      </w:r>
    </w:p>
    <w:p w14:paraId="1C3BE0BA" w14:textId="1595F306" w:rsidR="00393C00" w:rsidRDefault="00C47AA3">
      <w:pPr>
        <w:rPr>
          <w:sz w:val="22"/>
          <w:szCs w:val="22"/>
        </w:rPr>
      </w:pPr>
      <w:r>
        <w:rPr>
          <w:b/>
          <w:bCs/>
          <w:sz w:val="22"/>
          <w:szCs w:val="22"/>
        </w:rPr>
        <w:lastRenderedPageBreak/>
        <w:t xml:space="preserve">Figure S11. </w:t>
      </w:r>
      <w:r w:rsidR="00393C00">
        <w:rPr>
          <w:sz w:val="22"/>
          <w:szCs w:val="22"/>
        </w:rPr>
        <w:t>Comparison of geometric mean concentrations of pesticides in silicone wristbands from our study in the USA, UK, China, and India (</w:t>
      </w:r>
      <w:r w:rsidR="00393C00">
        <w:rPr>
          <w:i/>
          <w:iCs/>
          <w:sz w:val="22"/>
          <w:szCs w:val="22"/>
        </w:rPr>
        <w:t>n</w:t>
      </w:r>
      <w:r w:rsidR="00393C00">
        <w:rPr>
          <w:sz w:val="22"/>
          <w:szCs w:val="22"/>
        </w:rPr>
        <w:t>=243–251) to central tendency (geometric mean</w:t>
      </w:r>
      <w:r w:rsidR="002802CE">
        <w:rPr>
          <w:sz w:val="22"/>
          <w:szCs w:val="22"/>
        </w:rPr>
        <w:t xml:space="preserve"> or</w:t>
      </w:r>
      <w:r w:rsidR="00393C00">
        <w:rPr>
          <w:sz w:val="22"/>
          <w:szCs w:val="22"/>
        </w:rPr>
        <w:t xml:space="preserve"> median) previous studies of wristbands where we scaled their concentrations to our 32 hours of exposure sampling duration.</w:t>
      </w:r>
    </w:p>
    <w:p w14:paraId="01C0F9D7" w14:textId="77777777" w:rsidR="00393C00" w:rsidRDefault="00393C00">
      <w:pPr>
        <w:rPr>
          <w:sz w:val="22"/>
          <w:szCs w:val="22"/>
        </w:rPr>
      </w:pPr>
    </w:p>
    <w:p w14:paraId="23E3239E" w14:textId="77777777" w:rsidR="00CB1FD3" w:rsidRDefault="00393C00">
      <w:pPr>
        <w:rPr>
          <w:b/>
          <w:bCs/>
          <w:sz w:val="22"/>
          <w:szCs w:val="22"/>
        </w:rPr>
      </w:pPr>
      <w:r>
        <w:rPr>
          <w:noProof/>
          <w:sz w:val="22"/>
          <w:szCs w:val="22"/>
        </w:rPr>
        <w:drawing>
          <wp:inline distT="0" distB="0" distL="0" distR="0" wp14:anchorId="225E6FF7" wp14:editId="007223AC">
            <wp:extent cx="5943600" cy="3993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5943600" cy="3993515"/>
                    </a:xfrm>
                    <a:prstGeom prst="rect">
                      <a:avLst/>
                    </a:prstGeom>
                  </pic:spPr>
                </pic:pic>
              </a:graphicData>
            </a:graphic>
          </wp:inline>
        </w:drawing>
      </w:r>
    </w:p>
    <w:p w14:paraId="5954183A" w14:textId="6C176151" w:rsidR="00CB1FD3" w:rsidRDefault="00CB1FD3">
      <w:pPr>
        <w:rPr>
          <w:b/>
          <w:bCs/>
          <w:sz w:val="22"/>
          <w:szCs w:val="22"/>
        </w:rPr>
      </w:pPr>
    </w:p>
    <w:p w14:paraId="2A7CFFC2" w14:textId="1BF01BF5" w:rsidR="00673953" w:rsidRPr="00B214E0" w:rsidRDefault="00673953" w:rsidP="00673953">
      <w:pPr>
        <w:rPr>
          <w:i/>
          <w:iCs/>
          <w:sz w:val="18"/>
          <w:szCs w:val="18"/>
        </w:rPr>
      </w:pPr>
      <w:r w:rsidRPr="00B214E0">
        <w:rPr>
          <w:i/>
          <w:iCs/>
          <w:sz w:val="18"/>
          <w:szCs w:val="18"/>
        </w:rPr>
        <w:t xml:space="preserve">Caution: </w:t>
      </w:r>
      <w:r>
        <w:rPr>
          <w:i/>
          <w:iCs/>
          <w:sz w:val="18"/>
          <w:szCs w:val="18"/>
        </w:rPr>
        <w:t>These</w:t>
      </w:r>
      <w:r w:rsidRPr="00B214E0">
        <w:rPr>
          <w:i/>
          <w:iCs/>
          <w:sz w:val="18"/>
          <w:szCs w:val="18"/>
        </w:rPr>
        <w:t xml:space="preserve"> previous studies did not employ the same lab analysis methods</w:t>
      </w:r>
      <w:r>
        <w:rPr>
          <w:i/>
          <w:iCs/>
          <w:sz w:val="18"/>
          <w:szCs w:val="18"/>
        </w:rPr>
        <w:t>.</w:t>
      </w:r>
    </w:p>
    <w:p w14:paraId="186C8EA5" w14:textId="77777777" w:rsidR="00673953" w:rsidRPr="006C093E" w:rsidRDefault="00673953" w:rsidP="00673953">
      <w:pPr>
        <w:rPr>
          <w:sz w:val="18"/>
          <w:szCs w:val="18"/>
        </w:rPr>
      </w:pPr>
      <w:r>
        <w:rPr>
          <w:i/>
          <w:iCs/>
          <w:sz w:val="18"/>
          <w:szCs w:val="18"/>
        </w:rPr>
        <w:t xml:space="preserve">Doherty et al. 2020: </w:t>
      </w:r>
      <w:r>
        <w:rPr>
          <w:sz w:val="18"/>
          <w:szCs w:val="18"/>
        </w:rPr>
        <w:t>pregnant moms in New Hampshire, USA (</w:t>
      </w:r>
      <w:r>
        <w:rPr>
          <w:i/>
          <w:iCs/>
          <w:sz w:val="18"/>
          <w:szCs w:val="18"/>
        </w:rPr>
        <w:t>n</w:t>
      </w:r>
      <w:r>
        <w:rPr>
          <w:sz w:val="18"/>
          <w:szCs w:val="18"/>
        </w:rPr>
        <w:t>=255; sampled 2017-8; wristbands worn for 7 days; we substituted 0s with 0.001).</w:t>
      </w:r>
    </w:p>
    <w:p w14:paraId="60898052" w14:textId="0407E91B" w:rsidR="00673953" w:rsidRPr="00673953" w:rsidRDefault="00673953" w:rsidP="00673953">
      <w:pPr>
        <w:rPr>
          <w:b/>
          <w:bCs/>
          <w:sz w:val="22"/>
          <w:szCs w:val="22"/>
        </w:rPr>
      </w:pPr>
      <w:r>
        <w:rPr>
          <w:i/>
          <w:iCs/>
          <w:sz w:val="18"/>
          <w:szCs w:val="18"/>
        </w:rPr>
        <w:t xml:space="preserve">Donald et al. 2016: </w:t>
      </w:r>
      <w:r>
        <w:rPr>
          <w:sz w:val="18"/>
          <w:szCs w:val="18"/>
        </w:rPr>
        <w:t>farmers in Senegal (</w:t>
      </w:r>
      <w:r>
        <w:rPr>
          <w:i/>
          <w:iCs/>
          <w:sz w:val="18"/>
          <w:szCs w:val="18"/>
        </w:rPr>
        <w:t>n</w:t>
      </w:r>
      <w:r>
        <w:rPr>
          <w:sz w:val="18"/>
          <w:szCs w:val="18"/>
        </w:rPr>
        <w:t>=35 x 2 sampling periods; sampled 2014; wristbands worn for about 4.5 days; we calculated the geom</w:t>
      </w:r>
      <w:r w:rsidR="00AD73BE">
        <w:rPr>
          <w:sz w:val="18"/>
          <w:szCs w:val="18"/>
        </w:rPr>
        <w:t>etric m</w:t>
      </w:r>
      <w:r>
        <w:rPr>
          <w:sz w:val="18"/>
          <w:szCs w:val="18"/>
        </w:rPr>
        <w:t>eans).</w:t>
      </w:r>
    </w:p>
    <w:p w14:paraId="703ED581" w14:textId="77777777" w:rsidR="00673953" w:rsidRPr="002D037A" w:rsidRDefault="00673953" w:rsidP="00673953">
      <w:pPr>
        <w:rPr>
          <w:sz w:val="18"/>
          <w:szCs w:val="18"/>
        </w:rPr>
      </w:pPr>
      <w:r>
        <w:rPr>
          <w:i/>
          <w:iCs/>
          <w:sz w:val="18"/>
          <w:szCs w:val="18"/>
        </w:rPr>
        <w:t xml:space="preserve">Travis et al. 2020: </w:t>
      </w:r>
      <w:r>
        <w:rPr>
          <w:sz w:val="18"/>
          <w:szCs w:val="18"/>
        </w:rPr>
        <w:t>elementary school children in Montevideo, Uruguay (</w:t>
      </w:r>
      <w:r>
        <w:rPr>
          <w:i/>
          <w:iCs/>
          <w:sz w:val="18"/>
          <w:szCs w:val="18"/>
        </w:rPr>
        <w:t>n</w:t>
      </w:r>
      <w:r>
        <w:rPr>
          <w:sz w:val="18"/>
          <w:szCs w:val="18"/>
        </w:rPr>
        <w:t>=24; wristbands worn for 7 days).</w:t>
      </w:r>
    </w:p>
    <w:p w14:paraId="57FD4641" w14:textId="292E0D14" w:rsidR="00673953" w:rsidRPr="00780B34" w:rsidRDefault="00673953">
      <w:pPr>
        <w:rPr>
          <w:sz w:val="18"/>
          <w:szCs w:val="18"/>
        </w:rPr>
      </w:pPr>
      <w:proofErr w:type="spellStart"/>
      <w:r>
        <w:rPr>
          <w:i/>
          <w:iCs/>
          <w:sz w:val="18"/>
          <w:szCs w:val="18"/>
        </w:rPr>
        <w:t>Vidi</w:t>
      </w:r>
      <w:proofErr w:type="spellEnd"/>
      <w:r>
        <w:rPr>
          <w:i/>
          <w:iCs/>
          <w:sz w:val="18"/>
          <w:szCs w:val="18"/>
        </w:rPr>
        <w:t xml:space="preserve"> et al. 2017:</w:t>
      </w:r>
      <w:r w:rsidR="00780B34">
        <w:rPr>
          <w:i/>
          <w:iCs/>
          <w:sz w:val="18"/>
          <w:szCs w:val="18"/>
        </w:rPr>
        <w:t xml:space="preserve"> </w:t>
      </w:r>
      <w:r w:rsidR="00780B34">
        <w:rPr>
          <w:sz w:val="18"/>
          <w:szCs w:val="18"/>
        </w:rPr>
        <w:t>Latin</w:t>
      </w:r>
      <w:r w:rsidR="00B82BB7">
        <w:rPr>
          <w:sz w:val="18"/>
          <w:szCs w:val="18"/>
        </w:rPr>
        <w:t>o</w:t>
      </w:r>
      <w:r w:rsidR="00780B34">
        <w:rPr>
          <w:sz w:val="18"/>
          <w:szCs w:val="18"/>
        </w:rPr>
        <w:t xml:space="preserve"> children of farmworkers in North Carolina, USA (</w:t>
      </w:r>
      <w:r w:rsidR="00780B34">
        <w:rPr>
          <w:i/>
          <w:iCs/>
          <w:sz w:val="18"/>
          <w:szCs w:val="18"/>
        </w:rPr>
        <w:t>n</w:t>
      </w:r>
      <w:r w:rsidR="00780B34">
        <w:rPr>
          <w:sz w:val="18"/>
          <w:szCs w:val="18"/>
        </w:rPr>
        <w:t>=10; wristbands worn for 7 days although there was a range</w:t>
      </w:r>
      <w:r w:rsidR="00854A0F">
        <w:rPr>
          <w:sz w:val="18"/>
          <w:szCs w:val="18"/>
        </w:rPr>
        <w:t xml:space="preserve"> for some participants</w:t>
      </w:r>
      <w:r w:rsidR="00780B34">
        <w:rPr>
          <w:sz w:val="18"/>
          <w:szCs w:val="18"/>
        </w:rPr>
        <w:t xml:space="preserve">). </w:t>
      </w:r>
    </w:p>
    <w:p w14:paraId="4620CC19" w14:textId="77777777" w:rsidR="00CB1FD3" w:rsidRDefault="00CB1FD3">
      <w:pPr>
        <w:rPr>
          <w:b/>
          <w:bCs/>
          <w:sz w:val="22"/>
          <w:szCs w:val="22"/>
        </w:rPr>
      </w:pPr>
      <w:r>
        <w:rPr>
          <w:b/>
          <w:bCs/>
          <w:sz w:val="22"/>
          <w:szCs w:val="22"/>
        </w:rPr>
        <w:br w:type="page"/>
      </w:r>
    </w:p>
    <w:p w14:paraId="618B2425" w14:textId="4806F170" w:rsidR="00CB1FD3" w:rsidRDefault="00CB1FD3" w:rsidP="00CB1FD3">
      <w:pPr>
        <w:rPr>
          <w:sz w:val="22"/>
          <w:szCs w:val="22"/>
        </w:rPr>
      </w:pPr>
      <w:r>
        <w:rPr>
          <w:b/>
          <w:bCs/>
          <w:sz w:val="22"/>
          <w:szCs w:val="22"/>
        </w:rPr>
        <w:lastRenderedPageBreak/>
        <w:t xml:space="preserve">Figure S12. </w:t>
      </w:r>
      <w:r>
        <w:rPr>
          <w:sz w:val="22"/>
          <w:szCs w:val="22"/>
        </w:rPr>
        <w:t>Comparison of geometric mean concentrations of polycyclic aromatic hydrocarbons in silicone wristbands from our study in the USA, UK, China, and India (</w:t>
      </w:r>
      <w:r>
        <w:rPr>
          <w:i/>
          <w:iCs/>
          <w:sz w:val="22"/>
          <w:szCs w:val="22"/>
        </w:rPr>
        <w:t>n</w:t>
      </w:r>
      <w:r>
        <w:rPr>
          <w:sz w:val="22"/>
          <w:szCs w:val="22"/>
        </w:rPr>
        <w:t>=243) to central tendency (geometric mean</w:t>
      </w:r>
      <w:r w:rsidR="002802CE">
        <w:rPr>
          <w:sz w:val="22"/>
          <w:szCs w:val="22"/>
        </w:rPr>
        <w:t xml:space="preserve"> or</w:t>
      </w:r>
      <w:r>
        <w:rPr>
          <w:sz w:val="22"/>
          <w:szCs w:val="22"/>
        </w:rPr>
        <w:t xml:space="preserve"> median) previous studies of wristbands where we scaled their concentrations to our 32 hours of exposure sampling duration.</w:t>
      </w:r>
    </w:p>
    <w:p w14:paraId="07C2BB7E" w14:textId="77777777" w:rsidR="004F595C" w:rsidRDefault="004F595C" w:rsidP="00CB1FD3">
      <w:pPr>
        <w:rPr>
          <w:sz w:val="22"/>
          <w:szCs w:val="22"/>
        </w:rPr>
      </w:pPr>
    </w:p>
    <w:p w14:paraId="25729940" w14:textId="2A6C2D1C" w:rsidR="004F595C" w:rsidRDefault="004F595C" w:rsidP="00CB1FD3">
      <w:pPr>
        <w:rPr>
          <w:sz w:val="22"/>
          <w:szCs w:val="22"/>
        </w:rPr>
      </w:pPr>
      <w:r>
        <w:rPr>
          <w:noProof/>
          <w:sz w:val="22"/>
          <w:szCs w:val="22"/>
        </w:rPr>
        <w:drawing>
          <wp:inline distT="0" distB="0" distL="0" distR="0" wp14:anchorId="130B6071" wp14:editId="389A704A">
            <wp:extent cx="5943600" cy="4629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5943600" cy="4629785"/>
                    </a:xfrm>
                    <a:prstGeom prst="rect">
                      <a:avLst/>
                    </a:prstGeom>
                  </pic:spPr>
                </pic:pic>
              </a:graphicData>
            </a:graphic>
          </wp:inline>
        </w:drawing>
      </w:r>
    </w:p>
    <w:p w14:paraId="6B40A7D3" w14:textId="77777777" w:rsidR="004F595C" w:rsidRDefault="004F595C" w:rsidP="00CB1FD3">
      <w:pPr>
        <w:rPr>
          <w:sz w:val="22"/>
          <w:szCs w:val="22"/>
        </w:rPr>
      </w:pPr>
    </w:p>
    <w:p w14:paraId="2E241B27" w14:textId="17F83D1A" w:rsidR="00E224C6" w:rsidRPr="00B214E0" w:rsidRDefault="00E224C6" w:rsidP="00E224C6">
      <w:pPr>
        <w:rPr>
          <w:i/>
          <w:iCs/>
          <w:sz w:val="18"/>
          <w:szCs w:val="18"/>
        </w:rPr>
      </w:pPr>
      <w:r w:rsidRPr="00B214E0">
        <w:rPr>
          <w:i/>
          <w:iCs/>
          <w:sz w:val="18"/>
          <w:szCs w:val="18"/>
        </w:rPr>
        <w:t xml:space="preserve">Caution: </w:t>
      </w:r>
      <w:r>
        <w:rPr>
          <w:i/>
          <w:iCs/>
          <w:sz w:val="18"/>
          <w:szCs w:val="18"/>
        </w:rPr>
        <w:t>These</w:t>
      </w:r>
      <w:r w:rsidRPr="00B214E0">
        <w:rPr>
          <w:i/>
          <w:iCs/>
          <w:sz w:val="18"/>
          <w:szCs w:val="18"/>
        </w:rPr>
        <w:t xml:space="preserve"> previous studies did not employ the same lab analysis methods. </w:t>
      </w:r>
    </w:p>
    <w:p w14:paraId="3A326A28" w14:textId="703CDC65" w:rsidR="00E224C6" w:rsidRDefault="00E224C6" w:rsidP="00E224C6">
      <w:pPr>
        <w:rPr>
          <w:sz w:val="18"/>
          <w:szCs w:val="18"/>
        </w:rPr>
      </w:pPr>
      <w:r>
        <w:rPr>
          <w:i/>
          <w:iCs/>
          <w:sz w:val="18"/>
          <w:szCs w:val="18"/>
        </w:rPr>
        <w:t xml:space="preserve">Doherty et al. 2020: </w:t>
      </w:r>
      <w:r>
        <w:rPr>
          <w:sz w:val="18"/>
          <w:szCs w:val="18"/>
        </w:rPr>
        <w:t>pregnant moms in New Hampshire, USA (</w:t>
      </w:r>
      <w:r>
        <w:rPr>
          <w:i/>
          <w:iCs/>
          <w:sz w:val="18"/>
          <w:szCs w:val="18"/>
        </w:rPr>
        <w:t>n</w:t>
      </w:r>
      <w:r>
        <w:rPr>
          <w:sz w:val="18"/>
          <w:szCs w:val="18"/>
        </w:rPr>
        <w:t>=255; sampled 2017-8; wristbands worn for 7 days; we substituted 0s with 0.001).</w:t>
      </w:r>
    </w:p>
    <w:p w14:paraId="69E00287" w14:textId="5DE1B99B" w:rsidR="005464A9" w:rsidRPr="005464A9" w:rsidRDefault="005464A9" w:rsidP="00E224C6">
      <w:pPr>
        <w:rPr>
          <w:sz w:val="18"/>
          <w:szCs w:val="18"/>
        </w:rPr>
      </w:pPr>
      <w:proofErr w:type="spellStart"/>
      <w:r>
        <w:rPr>
          <w:i/>
          <w:iCs/>
          <w:sz w:val="18"/>
          <w:szCs w:val="18"/>
        </w:rPr>
        <w:t>Paulik</w:t>
      </w:r>
      <w:proofErr w:type="spellEnd"/>
      <w:r>
        <w:rPr>
          <w:i/>
          <w:iCs/>
          <w:sz w:val="18"/>
          <w:szCs w:val="18"/>
        </w:rPr>
        <w:t xml:space="preserve"> et al. 2018: </w:t>
      </w:r>
      <w:r>
        <w:rPr>
          <w:sz w:val="18"/>
          <w:szCs w:val="18"/>
        </w:rPr>
        <w:t>people living near natural gas extraction in Ohio, USA (</w:t>
      </w:r>
      <w:r>
        <w:rPr>
          <w:i/>
          <w:iCs/>
          <w:sz w:val="18"/>
          <w:szCs w:val="18"/>
        </w:rPr>
        <w:t>n</w:t>
      </w:r>
      <w:r>
        <w:rPr>
          <w:sz w:val="18"/>
          <w:szCs w:val="18"/>
        </w:rPr>
        <w:t xml:space="preserve">=19; sampled 2014; wristbands worn for 21 days; we </w:t>
      </w:r>
      <w:r w:rsidR="00AD73BE">
        <w:rPr>
          <w:sz w:val="18"/>
          <w:szCs w:val="18"/>
        </w:rPr>
        <w:t xml:space="preserve">were able to </w:t>
      </w:r>
      <w:r>
        <w:rPr>
          <w:sz w:val="18"/>
          <w:szCs w:val="18"/>
        </w:rPr>
        <w:t xml:space="preserve">calculate </w:t>
      </w:r>
      <w:r w:rsidR="00AD73BE">
        <w:rPr>
          <w:sz w:val="18"/>
          <w:szCs w:val="18"/>
        </w:rPr>
        <w:t>medians</w:t>
      </w:r>
      <w:r>
        <w:rPr>
          <w:sz w:val="18"/>
          <w:szCs w:val="18"/>
        </w:rPr>
        <w:t xml:space="preserve"> from raw concentrations</w:t>
      </w:r>
      <w:r w:rsidR="00AD73BE">
        <w:rPr>
          <w:sz w:val="18"/>
          <w:szCs w:val="18"/>
        </w:rPr>
        <w:t xml:space="preserve"> </w:t>
      </w:r>
      <w:r w:rsidR="002E0DAA">
        <w:rPr>
          <w:sz w:val="18"/>
          <w:szCs w:val="18"/>
        </w:rPr>
        <w:t xml:space="preserve">or non-detects </w:t>
      </w:r>
      <w:r w:rsidR="00AD73BE">
        <w:rPr>
          <w:sz w:val="18"/>
          <w:szCs w:val="18"/>
        </w:rPr>
        <w:t>provided</w:t>
      </w:r>
      <w:r>
        <w:rPr>
          <w:sz w:val="18"/>
          <w:szCs w:val="18"/>
        </w:rPr>
        <w:t>).</w:t>
      </w:r>
    </w:p>
    <w:p w14:paraId="3C446EC0" w14:textId="77777777" w:rsidR="00E224C6" w:rsidRPr="00D10710" w:rsidRDefault="00E224C6" w:rsidP="00E224C6">
      <w:pPr>
        <w:rPr>
          <w:sz w:val="18"/>
          <w:szCs w:val="18"/>
        </w:rPr>
      </w:pPr>
      <w:r>
        <w:rPr>
          <w:i/>
          <w:iCs/>
          <w:sz w:val="18"/>
          <w:szCs w:val="18"/>
        </w:rPr>
        <w:t xml:space="preserve">Wang et al. 2020: </w:t>
      </w:r>
      <w:r w:rsidRPr="00D10710">
        <w:rPr>
          <w:sz w:val="18"/>
          <w:szCs w:val="18"/>
        </w:rPr>
        <w:t>older adults in France</w:t>
      </w:r>
      <w:r>
        <w:rPr>
          <w:sz w:val="18"/>
          <w:szCs w:val="18"/>
        </w:rPr>
        <w:t xml:space="preserve"> (</w:t>
      </w:r>
      <w:r>
        <w:rPr>
          <w:i/>
          <w:iCs/>
          <w:sz w:val="18"/>
          <w:szCs w:val="18"/>
        </w:rPr>
        <w:t>n</w:t>
      </w:r>
      <w:r>
        <w:rPr>
          <w:sz w:val="18"/>
          <w:szCs w:val="18"/>
        </w:rPr>
        <w:t>=40; sampled 2018-2019; wristbands worn for 5 days).</w:t>
      </w:r>
    </w:p>
    <w:p w14:paraId="28599464" w14:textId="77777777" w:rsidR="00E224C6" w:rsidRDefault="00E224C6" w:rsidP="00E224C6">
      <w:pPr>
        <w:rPr>
          <w:sz w:val="18"/>
          <w:szCs w:val="18"/>
        </w:rPr>
      </w:pPr>
      <w:r>
        <w:rPr>
          <w:i/>
          <w:iCs/>
          <w:sz w:val="18"/>
          <w:szCs w:val="18"/>
        </w:rPr>
        <w:t>Wang et al. 2020.:</w:t>
      </w:r>
      <w:r w:rsidRPr="00D10710">
        <w:rPr>
          <w:sz w:val="18"/>
          <w:szCs w:val="18"/>
        </w:rPr>
        <w:t xml:space="preserve"> </w:t>
      </w:r>
      <w:r>
        <w:rPr>
          <w:sz w:val="18"/>
          <w:szCs w:val="18"/>
        </w:rPr>
        <w:t>young adults in Italy (</w:t>
      </w:r>
      <w:r>
        <w:rPr>
          <w:i/>
          <w:iCs/>
          <w:sz w:val="18"/>
          <w:szCs w:val="18"/>
        </w:rPr>
        <w:t>n</w:t>
      </w:r>
      <w:r>
        <w:rPr>
          <w:sz w:val="18"/>
          <w:szCs w:val="18"/>
        </w:rPr>
        <w:t>=32; sampled 2018-2019; wristbands worn for 5 days).</w:t>
      </w:r>
    </w:p>
    <w:p w14:paraId="6EDC540B" w14:textId="61C0AEF4" w:rsidR="001A5184" w:rsidRDefault="001A5184">
      <w:pPr>
        <w:rPr>
          <w:b/>
          <w:bCs/>
          <w:sz w:val="22"/>
          <w:szCs w:val="22"/>
        </w:rPr>
      </w:pPr>
      <w:r>
        <w:rPr>
          <w:b/>
          <w:bCs/>
          <w:sz w:val="22"/>
          <w:szCs w:val="22"/>
        </w:rPr>
        <w:br w:type="page"/>
      </w:r>
    </w:p>
    <w:p w14:paraId="7DFDD275" w14:textId="6305F550" w:rsidR="001A5184" w:rsidRDefault="001A5184">
      <w:pPr>
        <w:rPr>
          <w:sz w:val="22"/>
          <w:szCs w:val="22"/>
        </w:rPr>
      </w:pPr>
      <w:r>
        <w:rPr>
          <w:b/>
          <w:bCs/>
          <w:sz w:val="22"/>
          <w:szCs w:val="22"/>
        </w:rPr>
        <w:lastRenderedPageBreak/>
        <w:t xml:space="preserve">Figure S13. </w:t>
      </w:r>
      <w:r w:rsidRPr="00A57661">
        <w:rPr>
          <w:sz w:val="22"/>
          <w:szCs w:val="22"/>
        </w:rPr>
        <w:t>Spearman</w:t>
      </w:r>
      <w:r>
        <w:rPr>
          <w:sz w:val="22"/>
          <w:szCs w:val="22"/>
        </w:rPr>
        <w:t xml:space="preserve"> correlation coefficients for chemicals detected in at least one-third of silicone wristband samples by country (</w:t>
      </w:r>
      <w:r w:rsidRPr="001A5184">
        <w:rPr>
          <w:sz w:val="22"/>
          <w:szCs w:val="22"/>
        </w:rPr>
        <w:t>USA</w:t>
      </w:r>
      <w:r>
        <w:rPr>
          <w:sz w:val="22"/>
          <w:szCs w:val="22"/>
        </w:rPr>
        <w:t xml:space="preserve">: </w:t>
      </w:r>
      <w:r>
        <w:rPr>
          <w:i/>
          <w:iCs/>
          <w:sz w:val="22"/>
          <w:szCs w:val="22"/>
        </w:rPr>
        <w:t>n</w:t>
      </w:r>
      <w:r>
        <w:rPr>
          <w:sz w:val="22"/>
          <w:szCs w:val="22"/>
        </w:rPr>
        <w:t xml:space="preserve">=85; UK: </w:t>
      </w:r>
      <w:r>
        <w:rPr>
          <w:i/>
          <w:iCs/>
          <w:sz w:val="22"/>
          <w:szCs w:val="22"/>
        </w:rPr>
        <w:t>n</w:t>
      </w:r>
      <w:r>
        <w:rPr>
          <w:sz w:val="22"/>
          <w:szCs w:val="22"/>
        </w:rPr>
        <w:t xml:space="preserve">=42; China: </w:t>
      </w:r>
      <w:r>
        <w:rPr>
          <w:i/>
          <w:iCs/>
          <w:sz w:val="22"/>
          <w:szCs w:val="22"/>
        </w:rPr>
        <w:t>n</w:t>
      </w:r>
      <w:r>
        <w:rPr>
          <w:sz w:val="22"/>
          <w:szCs w:val="22"/>
        </w:rPr>
        <w:t xml:space="preserve">=70; India: </w:t>
      </w:r>
      <w:r>
        <w:rPr>
          <w:i/>
          <w:iCs/>
          <w:sz w:val="22"/>
          <w:szCs w:val="22"/>
        </w:rPr>
        <w:t>n</w:t>
      </w:r>
      <w:r>
        <w:rPr>
          <w:sz w:val="22"/>
          <w:szCs w:val="22"/>
        </w:rPr>
        <w:t xml:space="preserve">=54), with only significant relationships presented based on the </w:t>
      </w:r>
      <w:proofErr w:type="spellStart"/>
      <w:r>
        <w:rPr>
          <w:sz w:val="22"/>
          <w:szCs w:val="22"/>
        </w:rPr>
        <w:t>Benjamini</w:t>
      </w:r>
      <w:proofErr w:type="spellEnd"/>
      <w:r>
        <w:rPr>
          <w:sz w:val="22"/>
          <w:szCs w:val="22"/>
        </w:rPr>
        <w:t>-Hochberg procedure by country.</w:t>
      </w:r>
    </w:p>
    <w:p w14:paraId="76A0E157" w14:textId="77777777" w:rsidR="001A5184" w:rsidRDefault="001A5184">
      <w:pPr>
        <w:rPr>
          <w:sz w:val="22"/>
          <w:szCs w:val="22"/>
        </w:rPr>
      </w:pPr>
    </w:p>
    <w:p w14:paraId="7BFCC74C" w14:textId="022042A8" w:rsidR="001A5184" w:rsidRDefault="001A5184">
      <w:pPr>
        <w:rPr>
          <w:sz w:val="22"/>
          <w:szCs w:val="22"/>
        </w:rPr>
      </w:pPr>
      <w:r>
        <w:rPr>
          <w:noProof/>
          <w:sz w:val="22"/>
          <w:szCs w:val="22"/>
        </w:rPr>
        <w:drawing>
          <wp:inline distT="0" distB="0" distL="0" distR="0" wp14:anchorId="2AA9D2CA" wp14:editId="1BF948AB">
            <wp:extent cx="6148873" cy="5250192"/>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49253" cy="5250516"/>
                    </a:xfrm>
                    <a:prstGeom prst="rect">
                      <a:avLst/>
                    </a:prstGeom>
                  </pic:spPr>
                </pic:pic>
              </a:graphicData>
            </a:graphic>
          </wp:inline>
        </w:drawing>
      </w:r>
    </w:p>
    <w:p w14:paraId="55C318AA" w14:textId="0D7FD436" w:rsidR="00232E20" w:rsidRDefault="00232E20">
      <w:pPr>
        <w:rPr>
          <w:b/>
          <w:bCs/>
          <w:sz w:val="22"/>
          <w:szCs w:val="22"/>
        </w:rPr>
      </w:pPr>
      <w:r>
        <w:rPr>
          <w:b/>
          <w:bCs/>
          <w:sz w:val="22"/>
          <w:szCs w:val="22"/>
        </w:rPr>
        <w:br w:type="page"/>
      </w:r>
    </w:p>
    <w:p w14:paraId="36A8B317" w14:textId="6D8C81E3" w:rsidR="003F0A53" w:rsidRPr="002A6CA5" w:rsidRDefault="003F0A53" w:rsidP="003F0A53">
      <w:pPr>
        <w:rPr>
          <w:sz w:val="22"/>
          <w:szCs w:val="22"/>
        </w:rPr>
      </w:pPr>
      <w:r w:rsidRPr="00A57661">
        <w:rPr>
          <w:b/>
          <w:bCs/>
          <w:sz w:val="22"/>
          <w:szCs w:val="22"/>
        </w:rPr>
        <w:lastRenderedPageBreak/>
        <w:t>Figure S1</w:t>
      </w:r>
      <w:r w:rsidR="002A6CA5">
        <w:rPr>
          <w:b/>
          <w:bCs/>
          <w:sz w:val="22"/>
          <w:szCs w:val="22"/>
        </w:rPr>
        <w:t>4</w:t>
      </w:r>
      <w:r w:rsidRPr="00A57661">
        <w:rPr>
          <w:b/>
          <w:bCs/>
          <w:sz w:val="22"/>
          <w:szCs w:val="22"/>
        </w:rPr>
        <w:t xml:space="preserve">. </w:t>
      </w:r>
      <w:r w:rsidR="002A6CA5">
        <w:rPr>
          <w:sz w:val="22"/>
          <w:szCs w:val="22"/>
        </w:rPr>
        <w:t>Results of latent class analysis of product user types based on any reported use of personal care products during the sampling days, where we distinguished and interpreted class 2 as minimal product users, class 1 as deodorant users, and class 3 as perfume and makeup users.</w:t>
      </w:r>
    </w:p>
    <w:p w14:paraId="7F950BB9" w14:textId="13EFC3A7" w:rsidR="002A6CA5" w:rsidRDefault="002A6CA5" w:rsidP="003F0A53">
      <w:pPr>
        <w:rPr>
          <w:b/>
          <w:bCs/>
          <w:sz w:val="22"/>
          <w:szCs w:val="22"/>
        </w:rPr>
      </w:pPr>
    </w:p>
    <w:p w14:paraId="7031927D" w14:textId="50A0D58C" w:rsidR="002A6CA5" w:rsidRDefault="002A6CA5" w:rsidP="003F0A53">
      <w:pPr>
        <w:rPr>
          <w:sz w:val="22"/>
          <w:szCs w:val="22"/>
        </w:rPr>
      </w:pPr>
      <w:r>
        <w:rPr>
          <w:noProof/>
          <w:sz w:val="22"/>
          <w:szCs w:val="22"/>
        </w:rPr>
        <w:drawing>
          <wp:inline distT="0" distB="0" distL="0" distR="0" wp14:anchorId="452D3493" wp14:editId="3F514C0B">
            <wp:extent cx="5943600" cy="30289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28A05C77" w14:textId="77777777" w:rsidR="003E5BB4" w:rsidRDefault="003E5BB4">
      <w:pPr>
        <w:rPr>
          <w:b/>
          <w:bCs/>
          <w:sz w:val="22"/>
          <w:szCs w:val="22"/>
        </w:rPr>
      </w:pPr>
      <w:r>
        <w:rPr>
          <w:b/>
          <w:bCs/>
          <w:sz w:val="22"/>
          <w:szCs w:val="22"/>
        </w:rPr>
        <w:br w:type="page"/>
      </w:r>
    </w:p>
    <w:p w14:paraId="26F46544" w14:textId="77777777" w:rsidR="003E5BB4" w:rsidRDefault="003E5BB4">
      <w:pPr>
        <w:rPr>
          <w:b/>
          <w:bCs/>
          <w:sz w:val="22"/>
          <w:szCs w:val="22"/>
        </w:rPr>
        <w:sectPr w:rsidR="003E5BB4" w:rsidSect="0068642B">
          <w:footerReference w:type="even" r:id="rId23"/>
          <w:footerReference w:type="default" r:id="rId24"/>
          <w:pgSz w:w="12240" w:h="15840"/>
          <w:pgMar w:top="1440" w:right="1440" w:bottom="1440" w:left="1440" w:header="720" w:footer="720" w:gutter="0"/>
          <w:cols w:space="720"/>
          <w:docGrid w:linePitch="360"/>
        </w:sectPr>
      </w:pPr>
    </w:p>
    <w:p w14:paraId="7CFA9826" w14:textId="3EC30346" w:rsidR="003E5BB4" w:rsidRPr="00936DB8" w:rsidRDefault="003E5BB4">
      <w:pPr>
        <w:rPr>
          <w:sz w:val="22"/>
          <w:szCs w:val="22"/>
        </w:rPr>
      </w:pPr>
      <w:r>
        <w:rPr>
          <w:b/>
          <w:bCs/>
          <w:sz w:val="22"/>
          <w:szCs w:val="22"/>
        </w:rPr>
        <w:lastRenderedPageBreak/>
        <w:t xml:space="preserve">Figure S15. </w:t>
      </w:r>
      <w:r w:rsidR="00936DB8">
        <w:rPr>
          <w:sz w:val="22"/>
          <w:szCs w:val="22"/>
        </w:rPr>
        <w:t xml:space="preserve">Boxplots (excluding outliers) of log concentrations (ng/g-wristband) of modeled chemicals within each building by country. </w:t>
      </w:r>
    </w:p>
    <w:p w14:paraId="43681306" w14:textId="77777777" w:rsidR="003E5BB4" w:rsidRDefault="003E5BB4">
      <w:pPr>
        <w:rPr>
          <w:sz w:val="22"/>
          <w:szCs w:val="22"/>
        </w:rPr>
      </w:pPr>
    </w:p>
    <w:p w14:paraId="49936579" w14:textId="5FE5167E" w:rsidR="003F0A53" w:rsidRDefault="003E5BB4">
      <w:pPr>
        <w:rPr>
          <w:b/>
          <w:bCs/>
          <w:sz w:val="22"/>
          <w:szCs w:val="22"/>
        </w:rPr>
      </w:pPr>
      <w:r>
        <w:rPr>
          <w:b/>
          <w:bCs/>
          <w:noProof/>
          <w:sz w:val="22"/>
          <w:szCs w:val="22"/>
        </w:rPr>
        <w:drawing>
          <wp:inline distT="0" distB="0" distL="0" distR="0" wp14:anchorId="729CD57C" wp14:editId="3E694BE6">
            <wp:extent cx="8417490" cy="5461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8425148" cy="5466444"/>
                    </a:xfrm>
                    <a:prstGeom prst="rect">
                      <a:avLst/>
                    </a:prstGeom>
                  </pic:spPr>
                </pic:pic>
              </a:graphicData>
            </a:graphic>
          </wp:inline>
        </w:drawing>
      </w:r>
      <w:r w:rsidR="003F0A53">
        <w:rPr>
          <w:b/>
          <w:bCs/>
          <w:sz w:val="22"/>
          <w:szCs w:val="22"/>
        </w:rPr>
        <w:br w:type="page"/>
      </w:r>
    </w:p>
    <w:p w14:paraId="25EAA0C7" w14:textId="77777777" w:rsidR="003E5BB4" w:rsidRDefault="003E5BB4">
      <w:pPr>
        <w:rPr>
          <w:b/>
          <w:bCs/>
          <w:sz w:val="22"/>
          <w:szCs w:val="22"/>
        </w:rPr>
        <w:sectPr w:rsidR="003E5BB4" w:rsidSect="003E5BB4">
          <w:pgSz w:w="15840" w:h="12240" w:orient="landscape"/>
          <w:pgMar w:top="1440" w:right="1440" w:bottom="1440" w:left="1440" w:header="720" w:footer="720" w:gutter="0"/>
          <w:cols w:space="720"/>
          <w:docGrid w:linePitch="360"/>
        </w:sectPr>
      </w:pPr>
    </w:p>
    <w:p w14:paraId="734FC290" w14:textId="77777777" w:rsidR="00B8231A" w:rsidRDefault="00B8231A" w:rsidP="00B8231A">
      <w:pPr>
        <w:rPr>
          <w:sz w:val="22"/>
          <w:szCs w:val="22"/>
        </w:rPr>
      </w:pPr>
      <w:r w:rsidRPr="00014465">
        <w:rPr>
          <w:b/>
          <w:bCs/>
          <w:sz w:val="22"/>
          <w:szCs w:val="22"/>
        </w:rPr>
        <w:lastRenderedPageBreak/>
        <w:t>Table S</w:t>
      </w:r>
      <w:r>
        <w:rPr>
          <w:b/>
          <w:bCs/>
          <w:sz w:val="22"/>
          <w:szCs w:val="22"/>
        </w:rPr>
        <w:t>1</w:t>
      </w:r>
      <w:r>
        <w:rPr>
          <w:sz w:val="22"/>
          <w:szCs w:val="22"/>
        </w:rPr>
        <w:t xml:space="preserve">. </w:t>
      </w:r>
      <w:r w:rsidRPr="00014465">
        <w:rPr>
          <w:sz w:val="22"/>
          <w:szCs w:val="22"/>
        </w:rPr>
        <w:t xml:space="preserve">Summary of information, when available, on </w:t>
      </w:r>
      <w:r>
        <w:rPr>
          <w:sz w:val="22"/>
          <w:szCs w:val="22"/>
        </w:rPr>
        <w:t>individual</w:t>
      </w:r>
      <w:r w:rsidRPr="00014465">
        <w:rPr>
          <w:sz w:val="22"/>
          <w:szCs w:val="22"/>
        </w:rPr>
        <w:t xml:space="preserve">, workstation, and building </w:t>
      </w:r>
      <w:r>
        <w:rPr>
          <w:sz w:val="22"/>
          <w:szCs w:val="22"/>
        </w:rPr>
        <w:t>factors</w:t>
      </w:r>
      <w:r w:rsidRPr="00014465">
        <w:rPr>
          <w:sz w:val="22"/>
          <w:szCs w:val="22"/>
        </w:rPr>
        <w:t xml:space="preserve"> overall and by country (USA: n=85; UK: n=42; China: n=70; India: n=54).</w:t>
      </w:r>
    </w:p>
    <w:p w14:paraId="55E80A8B" w14:textId="70FD5CB1" w:rsidR="00B8231A" w:rsidRDefault="00B8231A" w:rsidP="00B8231A">
      <w:pPr>
        <w:rPr>
          <w:b/>
          <w:bCs/>
          <w:sz w:val="22"/>
          <w:szCs w:val="22"/>
        </w:rPr>
      </w:pPr>
    </w:p>
    <w:p w14:paraId="42D9D954" w14:textId="4B520D79" w:rsidR="00086F19" w:rsidRDefault="00086F19" w:rsidP="00B8231A">
      <w:pPr>
        <w:rPr>
          <w:b/>
          <w:bCs/>
          <w:sz w:val="22"/>
          <w:szCs w:val="22"/>
        </w:rPr>
      </w:pPr>
      <w:r>
        <w:rPr>
          <w:b/>
          <w:bCs/>
          <w:noProof/>
          <w:sz w:val="22"/>
          <w:szCs w:val="22"/>
        </w:rPr>
        <w:drawing>
          <wp:inline distT="0" distB="0" distL="0" distR="0" wp14:anchorId="25DBAD28" wp14:editId="39AFE87F">
            <wp:extent cx="6269459" cy="3831336"/>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274573" cy="3834461"/>
                    </a:xfrm>
                    <a:prstGeom prst="rect">
                      <a:avLst/>
                    </a:prstGeom>
                  </pic:spPr>
                </pic:pic>
              </a:graphicData>
            </a:graphic>
          </wp:inline>
        </w:drawing>
      </w:r>
    </w:p>
    <w:p w14:paraId="71D415C4" w14:textId="77777777" w:rsidR="00086F19" w:rsidRDefault="00086F19" w:rsidP="00B8231A">
      <w:pPr>
        <w:rPr>
          <w:b/>
          <w:bCs/>
          <w:sz w:val="22"/>
          <w:szCs w:val="22"/>
        </w:rPr>
      </w:pPr>
    </w:p>
    <w:p w14:paraId="3A5A69F3" w14:textId="77777777" w:rsidR="00317578" w:rsidRDefault="00317578" w:rsidP="00317578">
      <w:pPr>
        <w:rPr>
          <w:i/>
          <w:iCs/>
          <w:sz w:val="16"/>
          <w:szCs w:val="16"/>
        </w:rPr>
      </w:pPr>
      <w:r>
        <w:rPr>
          <w:i/>
          <w:iCs/>
          <w:sz w:val="16"/>
          <w:szCs w:val="16"/>
        </w:rPr>
        <w:t>CONTINUED ON NEXT PAGE:</w:t>
      </w:r>
    </w:p>
    <w:p w14:paraId="6635C09E" w14:textId="77777777" w:rsidR="00317578" w:rsidRDefault="00317578" w:rsidP="00B8231A">
      <w:pPr>
        <w:rPr>
          <w:b/>
          <w:bCs/>
          <w:sz w:val="22"/>
          <w:szCs w:val="22"/>
        </w:rPr>
      </w:pPr>
    </w:p>
    <w:p w14:paraId="3311FB43" w14:textId="77777777" w:rsidR="00317578" w:rsidRDefault="00317578">
      <w:pPr>
        <w:rPr>
          <w:sz w:val="16"/>
          <w:szCs w:val="16"/>
          <w:vertAlign w:val="superscript"/>
        </w:rPr>
      </w:pPr>
      <w:r>
        <w:rPr>
          <w:sz w:val="16"/>
          <w:szCs w:val="16"/>
          <w:vertAlign w:val="superscript"/>
        </w:rPr>
        <w:br w:type="page"/>
      </w:r>
    </w:p>
    <w:p w14:paraId="1DE7B11D" w14:textId="77777777" w:rsidR="00317578" w:rsidRDefault="00317578" w:rsidP="00B8231A">
      <w:pPr>
        <w:rPr>
          <w:sz w:val="22"/>
          <w:szCs w:val="22"/>
        </w:rPr>
      </w:pPr>
      <w:r w:rsidRPr="00014465">
        <w:rPr>
          <w:b/>
          <w:bCs/>
          <w:sz w:val="22"/>
          <w:szCs w:val="22"/>
        </w:rPr>
        <w:lastRenderedPageBreak/>
        <w:t>Table S</w:t>
      </w:r>
      <w:r>
        <w:rPr>
          <w:b/>
          <w:bCs/>
          <w:sz w:val="22"/>
          <w:szCs w:val="22"/>
        </w:rPr>
        <w:t>1</w:t>
      </w:r>
      <w:r>
        <w:rPr>
          <w:b/>
          <w:bCs/>
          <w:sz w:val="22"/>
          <w:szCs w:val="22"/>
        </w:rPr>
        <w:t xml:space="preserve"> continued</w:t>
      </w:r>
      <w:r>
        <w:rPr>
          <w:sz w:val="22"/>
          <w:szCs w:val="22"/>
        </w:rPr>
        <w:t>.</w:t>
      </w:r>
    </w:p>
    <w:p w14:paraId="112D27CA" w14:textId="77777777" w:rsidR="00317578" w:rsidRDefault="00317578" w:rsidP="00B8231A">
      <w:pPr>
        <w:rPr>
          <w:sz w:val="22"/>
          <w:szCs w:val="22"/>
        </w:rPr>
      </w:pPr>
    </w:p>
    <w:p w14:paraId="462BDCD8" w14:textId="27C9CF75" w:rsidR="00317578" w:rsidRDefault="00ED598A" w:rsidP="00B8231A">
      <w:pPr>
        <w:rPr>
          <w:sz w:val="22"/>
          <w:szCs w:val="22"/>
        </w:rPr>
      </w:pPr>
      <w:r>
        <w:rPr>
          <w:noProof/>
          <w:sz w:val="22"/>
          <w:szCs w:val="22"/>
        </w:rPr>
        <w:drawing>
          <wp:inline distT="0" distB="0" distL="0" distR="0" wp14:anchorId="042888FC" wp14:editId="26AA9AB6">
            <wp:extent cx="6287414" cy="52395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6289577" cy="5241315"/>
                    </a:xfrm>
                    <a:prstGeom prst="rect">
                      <a:avLst/>
                    </a:prstGeom>
                  </pic:spPr>
                </pic:pic>
              </a:graphicData>
            </a:graphic>
          </wp:inline>
        </w:drawing>
      </w:r>
    </w:p>
    <w:p w14:paraId="65F2CDF8" w14:textId="36FD34DD" w:rsidR="00317578" w:rsidRDefault="00317578" w:rsidP="00B8231A">
      <w:pPr>
        <w:rPr>
          <w:sz w:val="22"/>
          <w:szCs w:val="22"/>
        </w:rPr>
      </w:pPr>
    </w:p>
    <w:p w14:paraId="41E956A1" w14:textId="2DDF2DF5" w:rsidR="00B8231A" w:rsidRPr="00143D37" w:rsidRDefault="00B8231A" w:rsidP="00B8231A">
      <w:pPr>
        <w:rPr>
          <w:sz w:val="16"/>
          <w:szCs w:val="16"/>
        </w:rPr>
      </w:pPr>
      <w:r w:rsidRPr="00143D37">
        <w:rPr>
          <w:sz w:val="16"/>
          <w:szCs w:val="16"/>
          <w:vertAlign w:val="superscript"/>
        </w:rPr>
        <w:t>1</w:t>
      </w:r>
      <w:r w:rsidRPr="00143D37">
        <w:rPr>
          <w:sz w:val="16"/>
          <w:szCs w:val="16"/>
        </w:rPr>
        <w:t>These demographic questions were only asked in the parent Global CogFx Study, so the degree of missing data is different.</w:t>
      </w:r>
    </w:p>
    <w:p w14:paraId="45980049" w14:textId="2FAD3A0D" w:rsidR="00B8231A" w:rsidRDefault="00B8231A" w:rsidP="00B8231A">
      <w:pPr>
        <w:rPr>
          <w:b/>
          <w:bCs/>
          <w:sz w:val="22"/>
          <w:szCs w:val="22"/>
        </w:rPr>
      </w:pPr>
      <w:r w:rsidRPr="00143D37">
        <w:rPr>
          <w:sz w:val="16"/>
          <w:szCs w:val="16"/>
          <w:vertAlign w:val="superscript"/>
        </w:rPr>
        <w:t>2</w:t>
      </w:r>
      <w:r w:rsidRPr="00143D37">
        <w:rPr>
          <w:sz w:val="16"/>
          <w:szCs w:val="16"/>
        </w:rPr>
        <w:t>Including makeup foundation, blush, or eyeshadow</w:t>
      </w:r>
      <w:r>
        <w:rPr>
          <w:b/>
          <w:bCs/>
          <w:sz w:val="22"/>
          <w:szCs w:val="22"/>
        </w:rPr>
        <w:br w:type="page"/>
      </w:r>
    </w:p>
    <w:p w14:paraId="540F21D6" w14:textId="475FE9C5" w:rsidR="00D33028" w:rsidRDefault="00D33028">
      <w:pPr>
        <w:rPr>
          <w:sz w:val="22"/>
          <w:szCs w:val="22"/>
        </w:rPr>
      </w:pPr>
      <w:r>
        <w:rPr>
          <w:b/>
          <w:bCs/>
          <w:sz w:val="22"/>
          <w:szCs w:val="22"/>
        </w:rPr>
        <w:lastRenderedPageBreak/>
        <w:t>Table S</w:t>
      </w:r>
      <w:r w:rsidR="00B8231A">
        <w:rPr>
          <w:b/>
          <w:bCs/>
          <w:sz w:val="22"/>
          <w:szCs w:val="22"/>
        </w:rPr>
        <w:t>2</w:t>
      </w:r>
      <w:r>
        <w:rPr>
          <w:b/>
          <w:bCs/>
          <w:sz w:val="22"/>
          <w:szCs w:val="22"/>
        </w:rPr>
        <w:t xml:space="preserve">. </w:t>
      </w:r>
      <w:r>
        <w:rPr>
          <w:sz w:val="22"/>
          <w:szCs w:val="22"/>
        </w:rPr>
        <w:t>Method detection limits for chemical analytes across three batches of samples.</w:t>
      </w:r>
    </w:p>
    <w:p w14:paraId="6FD96AB2" w14:textId="1A610109" w:rsidR="00D33028" w:rsidRDefault="00F83529">
      <w:pPr>
        <w:rPr>
          <w:sz w:val="22"/>
          <w:szCs w:val="22"/>
        </w:rPr>
      </w:pPr>
      <w:r>
        <w:rPr>
          <w:noProof/>
          <w:sz w:val="22"/>
          <w:szCs w:val="22"/>
        </w:rPr>
        <w:drawing>
          <wp:inline distT="0" distB="0" distL="0" distR="0" wp14:anchorId="16717C68" wp14:editId="636301FD">
            <wp:extent cx="5803085" cy="77455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808255" cy="7752407"/>
                    </a:xfrm>
                    <a:prstGeom prst="rect">
                      <a:avLst/>
                    </a:prstGeom>
                  </pic:spPr>
                </pic:pic>
              </a:graphicData>
            </a:graphic>
          </wp:inline>
        </w:drawing>
      </w:r>
    </w:p>
    <w:p w14:paraId="6657C34E" w14:textId="7FB143AC" w:rsidR="005E6336" w:rsidRDefault="005E6336">
      <w:pPr>
        <w:rPr>
          <w:b/>
          <w:bCs/>
          <w:i/>
          <w:iCs/>
          <w:sz w:val="22"/>
          <w:szCs w:val="22"/>
        </w:rPr>
      </w:pPr>
    </w:p>
    <w:p w14:paraId="5C8D4A96" w14:textId="4753D126" w:rsidR="00E14DF9" w:rsidRDefault="00D44AF9">
      <w:pPr>
        <w:rPr>
          <w:i/>
          <w:iCs/>
          <w:sz w:val="16"/>
          <w:szCs w:val="16"/>
        </w:rPr>
      </w:pPr>
      <w:r>
        <w:rPr>
          <w:i/>
          <w:iCs/>
          <w:sz w:val="16"/>
          <w:szCs w:val="16"/>
        </w:rPr>
        <w:t>CONTINUED ON NEXT PAGE:</w:t>
      </w:r>
    </w:p>
    <w:p w14:paraId="4BFB5FA6" w14:textId="7CB177D7" w:rsidR="00793EFB" w:rsidRDefault="00793EFB">
      <w:pPr>
        <w:rPr>
          <w:sz w:val="22"/>
          <w:szCs w:val="22"/>
        </w:rPr>
      </w:pPr>
      <w:r>
        <w:rPr>
          <w:b/>
          <w:bCs/>
          <w:sz w:val="22"/>
          <w:szCs w:val="22"/>
        </w:rPr>
        <w:lastRenderedPageBreak/>
        <w:t>Table S</w:t>
      </w:r>
      <w:r w:rsidR="00B8231A">
        <w:rPr>
          <w:b/>
          <w:bCs/>
          <w:sz w:val="22"/>
          <w:szCs w:val="22"/>
        </w:rPr>
        <w:t>2</w:t>
      </w:r>
      <w:r>
        <w:rPr>
          <w:b/>
          <w:bCs/>
          <w:sz w:val="22"/>
          <w:szCs w:val="22"/>
        </w:rPr>
        <w:t xml:space="preserve"> continued. </w:t>
      </w:r>
    </w:p>
    <w:p w14:paraId="0012D5E8" w14:textId="4063216E" w:rsidR="00515B0A" w:rsidRDefault="00515B0A">
      <w:pPr>
        <w:rPr>
          <w:b/>
          <w:bCs/>
          <w:sz w:val="22"/>
          <w:szCs w:val="22"/>
        </w:rPr>
      </w:pPr>
    </w:p>
    <w:p w14:paraId="0E289ACA" w14:textId="2B3C08EC" w:rsidR="00E14DF9" w:rsidRDefault="00F4083C">
      <w:pPr>
        <w:rPr>
          <w:i/>
          <w:iCs/>
          <w:sz w:val="22"/>
          <w:szCs w:val="22"/>
        </w:rPr>
      </w:pPr>
      <w:r>
        <w:rPr>
          <w:i/>
          <w:iCs/>
          <w:noProof/>
          <w:sz w:val="22"/>
          <w:szCs w:val="22"/>
        </w:rPr>
        <w:drawing>
          <wp:inline distT="0" distB="0" distL="0" distR="0" wp14:anchorId="392F227F" wp14:editId="2F8CE961">
            <wp:extent cx="5943600" cy="6498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943600" cy="6498590"/>
                    </a:xfrm>
                    <a:prstGeom prst="rect">
                      <a:avLst/>
                    </a:prstGeom>
                  </pic:spPr>
                </pic:pic>
              </a:graphicData>
            </a:graphic>
          </wp:inline>
        </w:drawing>
      </w:r>
    </w:p>
    <w:p w14:paraId="03AC09B6" w14:textId="77777777" w:rsidR="00E14DF9" w:rsidRDefault="00E14DF9" w:rsidP="00E14DF9">
      <w:pPr>
        <w:rPr>
          <w:i/>
          <w:iCs/>
          <w:sz w:val="16"/>
          <w:szCs w:val="16"/>
        </w:rPr>
      </w:pPr>
    </w:p>
    <w:p w14:paraId="46C6E131" w14:textId="4F839ADE" w:rsidR="00E14DF9" w:rsidRDefault="00E14DF9" w:rsidP="00E14DF9">
      <w:pPr>
        <w:rPr>
          <w:i/>
          <w:iCs/>
          <w:sz w:val="16"/>
          <w:szCs w:val="16"/>
        </w:rPr>
      </w:pPr>
      <w:r w:rsidRPr="005E6336">
        <w:rPr>
          <w:i/>
          <w:iCs/>
          <w:sz w:val="16"/>
          <w:szCs w:val="16"/>
        </w:rPr>
        <w:t>NA = not measured.</w:t>
      </w:r>
    </w:p>
    <w:p w14:paraId="06D919B5" w14:textId="04D150CA" w:rsidR="007F698D" w:rsidRPr="007F698D" w:rsidRDefault="007F698D" w:rsidP="00E14DF9">
      <w:pPr>
        <w:rPr>
          <w:sz w:val="16"/>
          <w:szCs w:val="16"/>
        </w:rPr>
      </w:pPr>
      <w:r>
        <w:rPr>
          <w:sz w:val="16"/>
          <w:szCs w:val="16"/>
        </w:rPr>
        <w:t>Note: I</w:t>
      </w:r>
      <w:r w:rsidR="00D53389">
        <w:rPr>
          <w:sz w:val="16"/>
          <w:szCs w:val="16"/>
        </w:rPr>
        <w:t>n t</w:t>
      </w:r>
      <w:r>
        <w:rPr>
          <w:sz w:val="16"/>
          <w:szCs w:val="16"/>
        </w:rPr>
        <w:t>otal, 21 field blanks were measured in batch 1 (n=1), batch 2 (n=10), and batch 3 (n=10).</w:t>
      </w:r>
    </w:p>
    <w:p w14:paraId="4254051F" w14:textId="56B9FC47" w:rsidR="00D33028" w:rsidRPr="005E6336" w:rsidRDefault="00D33028">
      <w:pPr>
        <w:rPr>
          <w:rFonts w:eastAsiaTheme="minorHAnsi" w:cstheme="minorBidi"/>
          <w:color w:val="000000" w:themeColor="text1"/>
          <w:sz w:val="22"/>
          <w:szCs w:val="22"/>
        </w:rPr>
      </w:pPr>
      <w:r w:rsidRPr="005E6336">
        <w:rPr>
          <w:i/>
          <w:iCs/>
          <w:sz w:val="22"/>
          <w:szCs w:val="22"/>
        </w:rPr>
        <w:br w:type="page"/>
      </w:r>
    </w:p>
    <w:p w14:paraId="3E0270ED" w14:textId="62F3D2E1" w:rsidR="00F83529" w:rsidRDefault="00F83529">
      <w:pPr>
        <w:rPr>
          <w:sz w:val="22"/>
          <w:szCs w:val="22"/>
        </w:rPr>
      </w:pPr>
      <w:r>
        <w:rPr>
          <w:b/>
          <w:bCs/>
          <w:sz w:val="22"/>
          <w:szCs w:val="22"/>
        </w:rPr>
        <w:lastRenderedPageBreak/>
        <w:t>Table S</w:t>
      </w:r>
      <w:r w:rsidR="00B8231A">
        <w:rPr>
          <w:b/>
          <w:bCs/>
          <w:sz w:val="22"/>
          <w:szCs w:val="22"/>
        </w:rPr>
        <w:t>3</w:t>
      </w:r>
      <w:r>
        <w:rPr>
          <w:b/>
          <w:bCs/>
          <w:sz w:val="22"/>
          <w:szCs w:val="22"/>
        </w:rPr>
        <w:t xml:space="preserve">. </w:t>
      </w:r>
      <w:r w:rsidR="002C2608">
        <w:rPr>
          <w:sz w:val="22"/>
          <w:szCs w:val="22"/>
        </w:rPr>
        <w:t>Information on internal standards and percent recoveries for the wristband samples.</w:t>
      </w:r>
    </w:p>
    <w:p w14:paraId="15F63EB2" w14:textId="77777777" w:rsidR="002C2608" w:rsidRPr="002C2608" w:rsidRDefault="002C2608">
      <w:pPr>
        <w:rPr>
          <w:sz w:val="22"/>
          <w:szCs w:val="22"/>
        </w:rPr>
      </w:pPr>
    </w:p>
    <w:p w14:paraId="2F82149C" w14:textId="3545872F" w:rsidR="00014465" w:rsidRPr="00B8231A" w:rsidRDefault="002C2608" w:rsidP="00143D37">
      <w:pPr>
        <w:rPr>
          <w:rFonts w:eastAsiaTheme="minorHAnsi" w:cstheme="minorBidi"/>
          <w:b/>
          <w:bCs/>
          <w:color w:val="000000" w:themeColor="text1"/>
          <w:sz w:val="22"/>
          <w:szCs w:val="22"/>
        </w:rPr>
      </w:pPr>
      <w:r>
        <w:rPr>
          <w:b/>
          <w:bCs/>
          <w:i/>
          <w:iCs/>
          <w:noProof/>
          <w:sz w:val="22"/>
          <w:szCs w:val="22"/>
        </w:rPr>
        <w:drawing>
          <wp:inline distT="0" distB="0" distL="0" distR="0" wp14:anchorId="0AF5695C" wp14:editId="41076CC1">
            <wp:extent cx="5943600" cy="2849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5943600" cy="2849880"/>
                    </a:xfrm>
                    <a:prstGeom prst="rect">
                      <a:avLst/>
                    </a:prstGeom>
                  </pic:spPr>
                </pic:pic>
              </a:graphicData>
            </a:graphic>
          </wp:inline>
        </w:drawing>
      </w:r>
      <w:r w:rsidR="00014465">
        <w:rPr>
          <w:b/>
          <w:bCs/>
          <w:sz w:val="22"/>
          <w:szCs w:val="22"/>
        </w:rPr>
        <w:br w:type="page"/>
      </w:r>
    </w:p>
    <w:p w14:paraId="158A17AB" w14:textId="77777777" w:rsidR="002070EA" w:rsidRDefault="002070EA" w:rsidP="00EA3AB3">
      <w:pPr>
        <w:rPr>
          <w:b/>
          <w:bCs/>
          <w:sz w:val="22"/>
          <w:szCs w:val="22"/>
        </w:rPr>
        <w:sectPr w:rsidR="002070EA" w:rsidSect="0068642B">
          <w:pgSz w:w="12240" w:h="15840"/>
          <w:pgMar w:top="1440" w:right="1440" w:bottom="1440" w:left="1440" w:header="720" w:footer="720" w:gutter="0"/>
          <w:cols w:space="720"/>
          <w:docGrid w:linePitch="360"/>
        </w:sectPr>
      </w:pPr>
    </w:p>
    <w:p w14:paraId="7DFE0DEB" w14:textId="4C66142F" w:rsidR="00EA3AB3" w:rsidRDefault="00EA3AB3" w:rsidP="00EA3AB3">
      <w:pPr>
        <w:rPr>
          <w:sz w:val="22"/>
          <w:szCs w:val="22"/>
        </w:rPr>
      </w:pPr>
      <w:r>
        <w:rPr>
          <w:b/>
          <w:bCs/>
          <w:sz w:val="22"/>
          <w:szCs w:val="22"/>
        </w:rPr>
        <w:lastRenderedPageBreak/>
        <w:t>Table S</w:t>
      </w:r>
      <w:r w:rsidR="00014465">
        <w:rPr>
          <w:b/>
          <w:bCs/>
          <w:sz w:val="22"/>
          <w:szCs w:val="22"/>
        </w:rPr>
        <w:t>4</w:t>
      </w:r>
      <w:r>
        <w:rPr>
          <w:b/>
          <w:bCs/>
          <w:sz w:val="22"/>
          <w:szCs w:val="22"/>
        </w:rPr>
        <w:t xml:space="preserve">. </w:t>
      </w:r>
      <w:r>
        <w:rPr>
          <w:sz w:val="22"/>
          <w:szCs w:val="22"/>
        </w:rPr>
        <w:t xml:space="preserve">Summary of </w:t>
      </w:r>
      <w:r w:rsidR="002070EA">
        <w:rPr>
          <w:sz w:val="22"/>
          <w:szCs w:val="22"/>
        </w:rPr>
        <w:t>detection</w:t>
      </w:r>
      <w:r w:rsidR="0001199A">
        <w:rPr>
          <w:sz w:val="22"/>
          <w:szCs w:val="22"/>
        </w:rPr>
        <w:t xml:space="preserve"> frequencies</w:t>
      </w:r>
      <w:r w:rsidR="002070EA">
        <w:rPr>
          <w:sz w:val="22"/>
          <w:szCs w:val="22"/>
        </w:rPr>
        <w:t xml:space="preserve"> and </w:t>
      </w:r>
      <w:r>
        <w:rPr>
          <w:sz w:val="22"/>
          <w:szCs w:val="22"/>
        </w:rPr>
        <w:t xml:space="preserve">concentrations (ng per g wristband, </w:t>
      </w:r>
      <w:r w:rsidR="002F299A">
        <w:t xml:space="preserve">scaled </w:t>
      </w:r>
      <w:r>
        <w:rPr>
          <w:sz w:val="22"/>
          <w:szCs w:val="22"/>
        </w:rPr>
        <w:t xml:space="preserve">to </w:t>
      </w:r>
      <w:r w:rsidRPr="002070EA">
        <w:rPr>
          <w:b/>
          <w:bCs/>
          <w:sz w:val="22"/>
          <w:szCs w:val="22"/>
          <w:u w:val="single"/>
        </w:rPr>
        <w:t>32 hours</w:t>
      </w:r>
      <w:r>
        <w:rPr>
          <w:sz w:val="22"/>
          <w:szCs w:val="22"/>
        </w:rPr>
        <w:t xml:space="preserve"> of sampling) of chemical analytes in wristbands worn by </w:t>
      </w:r>
      <w:r w:rsidR="009F2B52">
        <w:rPr>
          <w:sz w:val="22"/>
          <w:szCs w:val="22"/>
        </w:rPr>
        <w:t>251</w:t>
      </w:r>
      <w:r>
        <w:rPr>
          <w:sz w:val="22"/>
          <w:szCs w:val="22"/>
        </w:rPr>
        <w:t xml:space="preserve"> office workers in the USA, UK, China, and India. </w:t>
      </w:r>
    </w:p>
    <w:p w14:paraId="5FC4197F" w14:textId="68C694CF" w:rsidR="004E458F" w:rsidRDefault="002070EA" w:rsidP="00EA3AB3">
      <w:pPr>
        <w:rPr>
          <w:sz w:val="22"/>
          <w:szCs w:val="22"/>
        </w:rPr>
      </w:pPr>
      <w:r>
        <w:rPr>
          <w:noProof/>
          <w:sz w:val="22"/>
          <w:szCs w:val="22"/>
        </w:rPr>
        <w:drawing>
          <wp:inline distT="0" distB="0" distL="0" distR="0" wp14:anchorId="2547A596" wp14:editId="1857A766">
            <wp:extent cx="8546468" cy="52341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1">
                      <a:extLst>
                        <a:ext uri="{28A0092B-C50C-407E-A947-70E740481C1C}">
                          <a14:useLocalDpi xmlns:a14="http://schemas.microsoft.com/office/drawing/2010/main" val="0"/>
                        </a:ext>
                      </a:extLst>
                    </a:blip>
                    <a:srcRect l="6705" t="5809" r="8379" b="54003"/>
                    <a:stretch/>
                  </pic:blipFill>
                  <pic:spPr bwMode="auto">
                    <a:xfrm>
                      <a:off x="0" y="0"/>
                      <a:ext cx="8571054" cy="5249209"/>
                    </a:xfrm>
                    <a:prstGeom prst="rect">
                      <a:avLst/>
                    </a:prstGeom>
                    <a:ln>
                      <a:noFill/>
                    </a:ln>
                    <a:extLst>
                      <a:ext uri="{53640926-AAD7-44D8-BBD7-CCE9431645EC}">
                        <a14:shadowObscured xmlns:a14="http://schemas.microsoft.com/office/drawing/2010/main"/>
                      </a:ext>
                    </a:extLst>
                  </pic:spPr>
                </pic:pic>
              </a:graphicData>
            </a:graphic>
          </wp:inline>
        </w:drawing>
      </w:r>
    </w:p>
    <w:p w14:paraId="2F42160F" w14:textId="77777777" w:rsidR="002070EA" w:rsidRDefault="002070EA" w:rsidP="002070EA">
      <w:pPr>
        <w:rPr>
          <w:i/>
          <w:iCs/>
          <w:sz w:val="16"/>
          <w:szCs w:val="16"/>
        </w:rPr>
      </w:pPr>
      <w:r>
        <w:rPr>
          <w:i/>
          <w:iCs/>
          <w:sz w:val="16"/>
          <w:szCs w:val="16"/>
        </w:rPr>
        <w:t>CONTINUED ON NEXT PAGE:</w:t>
      </w:r>
    </w:p>
    <w:p w14:paraId="1668FB71" w14:textId="2EB9B847" w:rsidR="00EA3AB3" w:rsidRDefault="00EA3AB3" w:rsidP="00EA3AB3">
      <w:pPr>
        <w:rPr>
          <w:sz w:val="21"/>
          <w:szCs w:val="21"/>
        </w:rPr>
      </w:pPr>
    </w:p>
    <w:p w14:paraId="501F8C5F" w14:textId="21812AEB" w:rsidR="00561D07" w:rsidRDefault="00561D07" w:rsidP="00EA3AB3"/>
    <w:p w14:paraId="636CED35" w14:textId="77777777" w:rsidR="002070EA" w:rsidRDefault="002070EA" w:rsidP="00EA3AB3">
      <w:pPr>
        <w:rPr>
          <w:b/>
          <w:bCs/>
          <w:sz w:val="22"/>
          <w:szCs w:val="22"/>
        </w:rPr>
      </w:pPr>
      <w:r>
        <w:rPr>
          <w:b/>
          <w:bCs/>
          <w:sz w:val="22"/>
          <w:szCs w:val="22"/>
        </w:rPr>
        <w:t>Table S4 continued.</w:t>
      </w:r>
    </w:p>
    <w:p w14:paraId="7767AA05" w14:textId="2493A9FE" w:rsidR="002070EA" w:rsidRDefault="002070EA" w:rsidP="00EA3AB3">
      <w:pPr>
        <w:rPr>
          <w:b/>
          <w:bCs/>
          <w:sz w:val="22"/>
          <w:szCs w:val="22"/>
        </w:rPr>
      </w:pPr>
      <w:r>
        <w:rPr>
          <w:b/>
          <w:bCs/>
          <w:sz w:val="22"/>
          <w:szCs w:val="22"/>
        </w:rPr>
        <w:t xml:space="preserve"> </w:t>
      </w:r>
      <w:r w:rsidR="00F4083C">
        <w:rPr>
          <w:b/>
          <w:bCs/>
          <w:noProof/>
          <w:sz w:val="22"/>
          <w:szCs w:val="22"/>
        </w:rPr>
        <w:drawing>
          <wp:inline distT="0" distB="0" distL="0" distR="0" wp14:anchorId="4FED2DFE" wp14:editId="3E4B67FC">
            <wp:extent cx="8540068" cy="4119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8548094" cy="4123198"/>
                    </a:xfrm>
                    <a:prstGeom prst="rect">
                      <a:avLst/>
                    </a:prstGeom>
                  </pic:spPr>
                </pic:pic>
              </a:graphicData>
            </a:graphic>
          </wp:inline>
        </w:drawing>
      </w:r>
    </w:p>
    <w:p w14:paraId="0ED1FE25" w14:textId="77777777" w:rsidR="002070EA" w:rsidRPr="002070EA" w:rsidRDefault="002070EA" w:rsidP="002070EA">
      <w:pPr>
        <w:rPr>
          <w:color w:val="000000"/>
          <w:sz w:val="16"/>
          <w:szCs w:val="16"/>
        </w:rPr>
      </w:pPr>
      <w:r w:rsidRPr="002070EA">
        <w:rPr>
          <w:i/>
          <w:iCs/>
          <w:color w:val="000000"/>
          <w:sz w:val="16"/>
          <w:szCs w:val="16"/>
        </w:rPr>
        <w:t xml:space="preserve">Note: </w:t>
      </w:r>
      <w:r w:rsidRPr="002070EA">
        <w:rPr>
          <w:color w:val="000000"/>
          <w:sz w:val="16"/>
          <w:szCs w:val="16"/>
        </w:rPr>
        <w:t>Medians, GMs, and GSDs are shown as "&lt;MDL" if there were no detected concentrations of that chemical.</w:t>
      </w:r>
    </w:p>
    <w:p w14:paraId="4A3560AD" w14:textId="5EF28311" w:rsidR="007444D2" w:rsidRDefault="00EA3AB3" w:rsidP="00EA3AB3">
      <w:r>
        <w:br w:type="page"/>
      </w:r>
    </w:p>
    <w:p w14:paraId="6DE35BA4" w14:textId="078C879A" w:rsidR="002070EA" w:rsidRDefault="002070EA" w:rsidP="002070EA">
      <w:pPr>
        <w:rPr>
          <w:sz w:val="22"/>
          <w:szCs w:val="22"/>
        </w:rPr>
      </w:pPr>
      <w:r>
        <w:rPr>
          <w:b/>
          <w:bCs/>
          <w:sz w:val="22"/>
          <w:szCs w:val="22"/>
        </w:rPr>
        <w:lastRenderedPageBreak/>
        <w:t xml:space="preserve">Table S5. </w:t>
      </w:r>
      <w:r>
        <w:rPr>
          <w:sz w:val="22"/>
          <w:szCs w:val="22"/>
        </w:rPr>
        <w:t xml:space="preserve">Summary of concentrations (ng per g wristband, </w:t>
      </w:r>
      <w:r w:rsidR="002F299A">
        <w:t xml:space="preserve">scaled </w:t>
      </w:r>
      <w:r>
        <w:rPr>
          <w:sz w:val="22"/>
          <w:szCs w:val="22"/>
        </w:rPr>
        <w:t xml:space="preserve">to </w:t>
      </w:r>
      <w:r w:rsidRPr="002070EA">
        <w:rPr>
          <w:b/>
          <w:bCs/>
          <w:sz w:val="22"/>
          <w:szCs w:val="22"/>
          <w:u w:val="single"/>
        </w:rPr>
        <w:t>7</w:t>
      </w:r>
      <w:r w:rsidR="00524612">
        <w:rPr>
          <w:b/>
          <w:bCs/>
          <w:sz w:val="22"/>
          <w:szCs w:val="22"/>
          <w:u w:val="single"/>
        </w:rPr>
        <w:t xml:space="preserve"> full</w:t>
      </w:r>
      <w:r w:rsidRPr="002070EA">
        <w:rPr>
          <w:b/>
          <w:bCs/>
          <w:sz w:val="22"/>
          <w:szCs w:val="22"/>
          <w:u w:val="single"/>
        </w:rPr>
        <w:t xml:space="preserve"> days</w:t>
      </w:r>
      <w:r>
        <w:rPr>
          <w:sz w:val="22"/>
          <w:szCs w:val="22"/>
        </w:rPr>
        <w:t xml:space="preserve"> </w:t>
      </w:r>
      <w:r w:rsidR="00524612">
        <w:rPr>
          <w:sz w:val="22"/>
          <w:szCs w:val="22"/>
        </w:rPr>
        <w:t xml:space="preserve">[168 hours] </w:t>
      </w:r>
      <w:r>
        <w:rPr>
          <w:sz w:val="22"/>
          <w:szCs w:val="22"/>
        </w:rPr>
        <w:t xml:space="preserve">of sampling time) of chemical analytes in wristbands worn by 251 office workers in the USA, UK, China, and India. </w:t>
      </w:r>
    </w:p>
    <w:p w14:paraId="077787F2" w14:textId="7A243E9E" w:rsidR="002070EA" w:rsidRDefault="002070EA" w:rsidP="00EA3AB3"/>
    <w:p w14:paraId="5B8336D3" w14:textId="468FDB16" w:rsidR="002070EA" w:rsidRDefault="002070EA" w:rsidP="00EA3AB3">
      <w:r>
        <w:rPr>
          <w:noProof/>
        </w:rPr>
        <w:drawing>
          <wp:inline distT="0" distB="0" distL="0" distR="0" wp14:anchorId="17D4AE51" wp14:editId="1882CBE5">
            <wp:extent cx="7725747" cy="5286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7738749" cy="5295733"/>
                    </a:xfrm>
                    <a:prstGeom prst="rect">
                      <a:avLst/>
                    </a:prstGeom>
                  </pic:spPr>
                </pic:pic>
              </a:graphicData>
            </a:graphic>
          </wp:inline>
        </w:drawing>
      </w:r>
    </w:p>
    <w:p w14:paraId="58030AFD" w14:textId="77777777" w:rsidR="002070EA" w:rsidRDefault="002070EA" w:rsidP="00EA3AB3">
      <w:pPr>
        <w:rPr>
          <w:i/>
          <w:iCs/>
          <w:sz w:val="16"/>
          <w:szCs w:val="16"/>
        </w:rPr>
      </w:pPr>
      <w:r>
        <w:rPr>
          <w:i/>
          <w:iCs/>
          <w:sz w:val="16"/>
          <w:szCs w:val="16"/>
        </w:rPr>
        <w:t>CONTINUED ON NEXT PAGE:</w:t>
      </w:r>
    </w:p>
    <w:p w14:paraId="73D7F29E" w14:textId="4B916BA3" w:rsidR="002070EA" w:rsidRPr="00F4083C" w:rsidRDefault="002070EA" w:rsidP="00EA3AB3">
      <w:pPr>
        <w:rPr>
          <w:i/>
          <w:iCs/>
          <w:sz w:val="16"/>
          <w:szCs w:val="16"/>
        </w:rPr>
      </w:pPr>
      <w:r>
        <w:rPr>
          <w:b/>
          <w:bCs/>
          <w:sz w:val="22"/>
          <w:szCs w:val="22"/>
        </w:rPr>
        <w:lastRenderedPageBreak/>
        <w:t>Table S5 continued</w:t>
      </w:r>
      <w:r w:rsidR="007C76B4">
        <w:rPr>
          <w:b/>
          <w:bCs/>
          <w:sz w:val="22"/>
          <w:szCs w:val="22"/>
        </w:rPr>
        <w:t>.</w:t>
      </w:r>
    </w:p>
    <w:p w14:paraId="16FC3204" w14:textId="77777777" w:rsidR="002070EA" w:rsidRDefault="002070EA" w:rsidP="00EA3AB3"/>
    <w:p w14:paraId="3634A88F" w14:textId="77777777" w:rsidR="002070EA" w:rsidRDefault="00F4083C" w:rsidP="00EA3AB3">
      <w:r>
        <w:rPr>
          <w:noProof/>
        </w:rPr>
        <w:drawing>
          <wp:inline distT="0" distB="0" distL="0" distR="0" wp14:anchorId="40947ABA" wp14:editId="37E626B8">
            <wp:extent cx="8651857" cy="474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663510" cy="4750406"/>
                    </a:xfrm>
                    <a:prstGeom prst="rect">
                      <a:avLst/>
                    </a:prstGeom>
                  </pic:spPr>
                </pic:pic>
              </a:graphicData>
            </a:graphic>
          </wp:inline>
        </w:drawing>
      </w:r>
    </w:p>
    <w:p w14:paraId="09C95753" w14:textId="77777777" w:rsidR="00C65E41" w:rsidRPr="002070EA" w:rsidRDefault="00C65E41" w:rsidP="00C65E41">
      <w:pPr>
        <w:rPr>
          <w:color w:val="000000"/>
          <w:sz w:val="16"/>
          <w:szCs w:val="16"/>
        </w:rPr>
      </w:pPr>
      <w:r w:rsidRPr="002070EA">
        <w:rPr>
          <w:i/>
          <w:iCs/>
          <w:color w:val="000000"/>
          <w:sz w:val="16"/>
          <w:szCs w:val="16"/>
        </w:rPr>
        <w:t xml:space="preserve">Note: </w:t>
      </w:r>
      <w:r w:rsidRPr="002070EA">
        <w:rPr>
          <w:color w:val="000000"/>
          <w:sz w:val="16"/>
          <w:szCs w:val="16"/>
        </w:rPr>
        <w:t>Medians, GMs, and GSDs are shown as "&lt;MDL" if there were no detected concentrations of that chemical.</w:t>
      </w:r>
    </w:p>
    <w:p w14:paraId="3A64F170" w14:textId="553DE1E8" w:rsidR="00C65E41" w:rsidRPr="002070EA" w:rsidRDefault="00C65E41" w:rsidP="00EA3AB3">
      <w:pPr>
        <w:sectPr w:rsidR="00C65E41" w:rsidRPr="002070EA" w:rsidSect="002070EA">
          <w:pgSz w:w="15840" w:h="12240" w:orient="landscape"/>
          <w:pgMar w:top="1440" w:right="1440" w:bottom="1440" w:left="1440" w:header="720" w:footer="720" w:gutter="0"/>
          <w:cols w:space="720"/>
          <w:docGrid w:linePitch="360"/>
        </w:sectPr>
      </w:pPr>
    </w:p>
    <w:p w14:paraId="2BE35C2E" w14:textId="6CA91A77" w:rsidR="00EA2959" w:rsidRDefault="00EA2959">
      <w:pPr>
        <w:rPr>
          <w:sz w:val="22"/>
          <w:szCs w:val="22"/>
        </w:rPr>
      </w:pPr>
      <w:r>
        <w:rPr>
          <w:b/>
          <w:bCs/>
          <w:sz w:val="22"/>
          <w:szCs w:val="22"/>
        </w:rPr>
        <w:lastRenderedPageBreak/>
        <w:t xml:space="preserve">Table S6. </w:t>
      </w:r>
      <w:r>
        <w:rPr>
          <w:sz w:val="22"/>
          <w:szCs w:val="22"/>
        </w:rPr>
        <w:t>Percent of variability in log chemical concentrations explained by differences between buildings, as opposed to differences between individuals within buildings, in multilevel regression models (Tables 1-3).</w:t>
      </w:r>
    </w:p>
    <w:p w14:paraId="53953908" w14:textId="77777777" w:rsidR="00EA2959" w:rsidRDefault="00EA2959">
      <w:pPr>
        <w:rPr>
          <w:sz w:val="22"/>
          <w:szCs w:val="22"/>
        </w:rPr>
      </w:pPr>
    </w:p>
    <w:p w14:paraId="743DB16F" w14:textId="29821508" w:rsidR="002E2FBA" w:rsidRDefault="00297723">
      <w:r>
        <w:rPr>
          <w:noProof/>
        </w:rPr>
        <w:drawing>
          <wp:inline distT="0" distB="0" distL="0" distR="0" wp14:anchorId="7E6DA786" wp14:editId="1E887C1A">
            <wp:extent cx="2924696" cy="4936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2927221" cy="4940328"/>
                    </a:xfrm>
                    <a:prstGeom prst="rect">
                      <a:avLst/>
                    </a:prstGeom>
                  </pic:spPr>
                </pic:pic>
              </a:graphicData>
            </a:graphic>
          </wp:inline>
        </w:drawing>
      </w:r>
    </w:p>
    <w:p w14:paraId="20B68472" w14:textId="77777777" w:rsidR="00297723" w:rsidRDefault="00297723"/>
    <w:p w14:paraId="61308DFB" w14:textId="699095E7" w:rsidR="00EA2959" w:rsidRPr="002E2FBA" w:rsidRDefault="002E2FBA">
      <w:pPr>
        <w:rPr>
          <w:b/>
          <w:bCs/>
          <w:sz w:val="16"/>
          <w:szCs w:val="16"/>
        </w:rPr>
      </w:pPr>
      <w:r w:rsidRPr="002E2FBA">
        <w:rPr>
          <w:sz w:val="18"/>
          <w:szCs w:val="18"/>
          <w:vertAlign w:val="superscript"/>
        </w:rPr>
        <w:t>1</w:t>
      </w:r>
      <w:r w:rsidRPr="002E2FBA">
        <w:rPr>
          <w:sz w:val="18"/>
          <w:szCs w:val="18"/>
        </w:rPr>
        <w:t xml:space="preserve"> Note that some countries often had to be excluded in the pesticide models.</w:t>
      </w:r>
      <w:r w:rsidR="00EA2959" w:rsidRPr="002E2FBA">
        <w:rPr>
          <w:b/>
          <w:bCs/>
          <w:sz w:val="16"/>
          <w:szCs w:val="16"/>
        </w:rPr>
        <w:br w:type="page"/>
      </w:r>
    </w:p>
    <w:p w14:paraId="223CC769" w14:textId="63DAEFDB" w:rsidR="00611D97" w:rsidRDefault="00611D97" w:rsidP="00611D97">
      <w:pPr>
        <w:rPr>
          <w:sz w:val="22"/>
          <w:szCs w:val="22"/>
        </w:rPr>
      </w:pPr>
      <w:r>
        <w:rPr>
          <w:b/>
          <w:bCs/>
          <w:sz w:val="22"/>
          <w:szCs w:val="22"/>
        </w:rPr>
        <w:lastRenderedPageBreak/>
        <w:t>Table S</w:t>
      </w:r>
      <w:r w:rsidR="00AF39CE">
        <w:rPr>
          <w:b/>
          <w:bCs/>
          <w:sz w:val="22"/>
          <w:szCs w:val="22"/>
        </w:rPr>
        <w:t>7</w:t>
      </w:r>
      <w:r>
        <w:rPr>
          <w:b/>
          <w:bCs/>
          <w:sz w:val="22"/>
          <w:szCs w:val="22"/>
        </w:rPr>
        <w:t xml:space="preserve">. </w:t>
      </w:r>
      <w:r>
        <w:rPr>
          <w:sz w:val="22"/>
          <w:szCs w:val="22"/>
        </w:rPr>
        <w:t>Results of multilevel regression models from the sensitivity analyses adjusted for building indoor air quality measurements compared to the primary analyses presented in the main manuscript (Tables 1-3).</w:t>
      </w:r>
      <w:r>
        <w:rPr>
          <w:b/>
          <w:bCs/>
          <w:noProof/>
          <w:sz w:val="22"/>
          <w:szCs w:val="22"/>
        </w:rPr>
        <w:drawing>
          <wp:inline distT="0" distB="0" distL="0" distR="0" wp14:anchorId="3026940B" wp14:editId="530A4961">
            <wp:extent cx="6316824" cy="6691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6320298" cy="6695059"/>
                    </a:xfrm>
                    <a:prstGeom prst="rect">
                      <a:avLst/>
                    </a:prstGeom>
                  </pic:spPr>
                </pic:pic>
              </a:graphicData>
            </a:graphic>
          </wp:inline>
        </w:drawing>
      </w:r>
    </w:p>
    <w:p w14:paraId="10BAC9C2" w14:textId="77777777" w:rsidR="00611D97" w:rsidRDefault="00611D97" w:rsidP="00611D97">
      <w:pPr>
        <w:rPr>
          <w:sz w:val="18"/>
          <w:szCs w:val="18"/>
        </w:rPr>
      </w:pPr>
      <w:r>
        <w:rPr>
          <w:sz w:val="18"/>
          <w:szCs w:val="18"/>
        </w:rPr>
        <w:t xml:space="preserve">*** </w:t>
      </w:r>
      <w:r>
        <w:rPr>
          <w:i/>
          <w:iCs/>
          <w:sz w:val="18"/>
          <w:szCs w:val="18"/>
        </w:rPr>
        <w:t>p</w:t>
      </w:r>
      <w:r>
        <w:rPr>
          <w:sz w:val="18"/>
          <w:szCs w:val="18"/>
        </w:rPr>
        <w:t>&lt;0.001</w:t>
      </w:r>
    </w:p>
    <w:p w14:paraId="68DADD4F" w14:textId="77777777" w:rsidR="00611D97" w:rsidRDefault="00611D97" w:rsidP="00611D97">
      <w:pPr>
        <w:rPr>
          <w:sz w:val="18"/>
          <w:szCs w:val="18"/>
        </w:rPr>
      </w:pPr>
      <w:r>
        <w:rPr>
          <w:sz w:val="18"/>
          <w:szCs w:val="18"/>
        </w:rPr>
        <w:t xml:space="preserve">** </w:t>
      </w:r>
      <w:r>
        <w:rPr>
          <w:i/>
          <w:iCs/>
          <w:sz w:val="18"/>
          <w:szCs w:val="18"/>
        </w:rPr>
        <w:t>p</w:t>
      </w:r>
      <w:r>
        <w:rPr>
          <w:sz w:val="18"/>
          <w:szCs w:val="18"/>
        </w:rPr>
        <w:t>&lt;0.01</w:t>
      </w:r>
    </w:p>
    <w:p w14:paraId="2F6904A1" w14:textId="77777777" w:rsidR="00611D97" w:rsidRDefault="00611D97" w:rsidP="00611D97">
      <w:pPr>
        <w:rPr>
          <w:sz w:val="18"/>
          <w:szCs w:val="18"/>
        </w:rPr>
      </w:pPr>
      <w:r>
        <w:rPr>
          <w:sz w:val="18"/>
          <w:szCs w:val="18"/>
        </w:rPr>
        <w:t>*</w:t>
      </w:r>
      <w:r w:rsidRPr="00F90CA1">
        <w:rPr>
          <w:i/>
          <w:iCs/>
          <w:sz w:val="18"/>
          <w:szCs w:val="18"/>
        </w:rPr>
        <w:t xml:space="preserve"> </w:t>
      </w:r>
      <w:r>
        <w:rPr>
          <w:i/>
          <w:iCs/>
          <w:sz w:val="18"/>
          <w:szCs w:val="18"/>
        </w:rPr>
        <w:t>p</w:t>
      </w:r>
      <w:r>
        <w:rPr>
          <w:sz w:val="18"/>
          <w:szCs w:val="18"/>
        </w:rPr>
        <w:t>&lt;0.05</w:t>
      </w:r>
    </w:p>
    <w:p w14:paraId="279FD940" w14:textId="2FF88749" w:rsidR="00B04C70" w:rsidRDefault="00356589" w:rsidP="00356589">
      <w:pPr>
        <w:rPr>
          <w:sz w:val="18"/>
          <w:szCs w:val="18"/>
        </w:rPr>
      </w:pPr>
      <w:r>
        <w:rPr>
          <w:sz w:val="18"/>
          <w:szCs w:val="18"/>
        </w:rPr>
        <w:t xml:space="preserve">. </w:t>
      </w:r>
      <w:r>
        <w:rPr>
          <w:i/>
          <w:iCs/>
          <w:sz w:val="18"/>
          <w:szCs w:val="18"/>
        </w:rPr>
        <w:t>p</w:t>
      </w:r>
      <w:r>
        <w:rPr>
          <w:sz w:val="18"/>
          <w:szCs w:val="18"/>
        </w:rPr>
        <w:t>&lt;0.10</w:t>
      </w:r>
    </w:p>
    <w:p w14:paraId="6C6ADA14" w14:textId="5A3D1F72" w:rsidR="004E5EBA" w:rsidRDefault="004E5EBA" w:rsidP="00356589">
      <w:pPr>
        <w:rPr>
          <w:sz w:val="18"/>
          <w:szCs w:val="18"/>
        </w:rPr>
      </w:pPr>
    </w:p>
    <w:p w14:paraId="75EC497A" w14:textId="04CBD133" w:rsidR="004E5EBA" w:rsidRDefault="004E5EBA">
      <w:pPr>
        <w:rPr>
          <w:sz w:val="18"/>
          <w:szCs w:val="18"/>
        </w:rPr>
      </w:pPr>
      <w:r>
        <w:rPr>
          <w:sz w:val="18"/>
          <w:szCs w:val="18"/>
        </w:rPr>
        <w:br w:type="page"/>
      </w:r>
    </w:p>
    <w:p w14:paraId="75C64926" w14:textId="77777777" w:rsidR="004E5EBA" w:rsidRPr="00EA5DF7" w:rsidRDefault="004E5EBA" w:rsidP="004E5EBA">
      <w:pPr>
        <w:pStyle w:val="Heading3"/>
        <w:numPr>
          <w:ilvl w:val="0"/>
          <w:numId w:val="0"/>
        </w:numPr>
      </w:pPr>
      <w:r>
        <w:rPr>
          <w:bCs/>
          <w:sz w:val="28"/>
          <w:szCs w:val="28"/>
        </w:rPr>
        <w:lastRenderedPageBreak/>
        <w:t>References</w:t>
      </w:r>
    </w:p>
    <w:p w14:paraId="52F13C2D" w14:textId="77777777" w:rsidR="004E5EBA" w:rsidRPr="004E5EBA" w:rsidRDefault="004E5EBA" w:rsidP="004E5EBA">
      <w:pPr>
        <w:widowControl w:val="0"/>
        <w:autoSpaceDE w:val="0"/>
        <w:autoSpaceDN w:val="0"/>
        <w:adjustRightInd w:val="0"/>
        <w:spacing w:after="120"/>
        <w:ind w:left="480" w:hanging="480"/>
        <w:rPr>
          <w:noProof/>
        </w:rPr>
      </w:pPr>
      <w:r>
        <w:fldChar w:fldCharType="begin" w:fldLock="1"/>
      </w:r>
      <w:r>
        <w:instrText xml:space="preserve">ADDIN Mendeley Bibliography CSL_BIBLIOGRAPHY </w:instrText>
      </w:r>
      <w:r>
        <w:fldChar w:fldCharType="separate"/>
      </w:r>
      <w:r w:rsidRPr="004E5EBA">
        <w:rPr>
          <w:noProof/>
        </w:rPr>
        <w:t>Sühring, R., Wolschke, H., Diamond, M.L., Jantunen, L.M., Scheringer, M., 2016. Distribution of Organophosphate Esters between the Gas and Particle Phase–Model Predictions vs Measured Data. Environ. Sci. Technol. 50, 6644–6651. https://doi.org/10.1021/acs.est.6b00199</w:t>
      </w:r>
    </w:p>
    <w:p w14:paraId="0B9E707A" w14:textId="77777777" w:rsidR="004E5EBA" w:rsidRPr="004E5EBA" w:rsidRDefault="004E5EBA" w:rsidP="004E5EBA">
      <w:pPr>
        <w:widowControl w:val="0"/>
        <w:autoSpaceDE w:val="0"/>
        <w:autoSpaceDN w:val="0"/>
        <w:adjustRightInd w:val="0"/>
        <w:spacing w:after="120"/>
        <w:ind w:left="480" w:hanging="480"/>
        <w:rPr>
          <w:noProof/>
        </w:rPr>
      </w:pPr>
      <w:r w:rsidRPr="004E5EBA">
        <w:rPr>
          <w:noProof/>
        </w:rPr>
        <w:t>Yaman, B., Dumanoglu, Y., Odabasi, M., 2020. Measurement and Modeling the Phase Partitioning of Organophosphate Esters Using Their Temperature-Dependent Octanol–Air Partition Coefficients and Vapor Pressures. Environ. Sci. Technol. 54, 8133–8143. https://doi.org/10.1021/acs.est.0c02823</w:t>
      </w:r>
    </w:p>
    <w:p w14:paraId="584DC1E6" w14:textId="77777777" w:rsidR="004E5EBA" w:rsidRDefault="004E5EBA" w:rsidP="004E5EBA">
      <w:pPr>
        <w:spacing w:after="120"/>
      </w:pPr>
      <w:r>
        <w:fldChar w:fldCharType="end"/>
      </w:r>
    </w:p>
    <w:p w14:paraId="3A147CA1" w14:textId="77777777" w:rsidR="004E5EBA" w:rsidRDefault="004E5EBA" w:rsidP="004E5EBA">
      <w:pPr>
        <w:spacing w:line="480" w:lineRule="auto"/>
        <w:ind w:firstLine="720"/>
      </w:pPr>
    </w:p>
    <w:p w14:paraId="1A253904" w14:textId="77777777" w:rsidR="004E5EBA" w:rsidRPr="00356589" w:rsidRDefault="004E5EBA" w:rsidP="00356589">
      <w:pPr>
        <w:rPr>
          <w:b/>
          <w:bCs/>
          <w:sz w:val="22"/>
          <w:szCs w:val="22"/>
        </w:rPr>
      </w:pPr>
    </w:p>
    <w:sectPr w:rsidR="004E5EBA" w:rsidRPr="00356589" w:rsidSect="006208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045EA" w14:textId="77777777" w:rsidR="001E7A70" w:rsidRDefault="001E7A70" w:rsidP="007F38F2">
      <w:r>
        <w:separator/>
      </w:r>
    </w:p>
  </w:endnote>
  <w:endnote w:type="continuationSeparator" w:id="0">
    <w:p w14:paraId="02B6F9D1" w14:textId="77777777" w:rsidR="001E7A70" w:rsidRDefault="001E7A70" w:rsidP="007F3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6741503"/>
      <w:docPartObj>
        <w:docPartGallery w:val="Page Numbers (Bottom of Page)"/>
        <w:docPartUnique/>
      </w:docPartObj>
    </w:sdtPr>
    <w:sdtEndPr>
      <w:rPr>
        <w:rStyle w:val="PageNumber"/>
      </w:rPr>
    </w:sdtEndPr>
    <w:sdtContent>
      <w:p w14:paraId="6DF5C66A" w14:textId="3D61F597" w:rsidR="00D36233" w:rsidRDefault="00D36233" w:rsidP="007732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4089DD" w14:textId="77777777" w:rsidR="00D36233" w:rsidRDefault="00D36233" w:rsidP="00D36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1606334"/>
      <w:docPartObj>
        <w:docPartGallery w:val="Page Numbers (Bottom of Page)"/>
        <w:docPartUnique/>
      </w:docPartObj>
    </w:sdtPr>
    <w:sdtEndPr>
      <w:rPr>
        <w:rStyle w:val="PageNumber"/>
      </w:rPr>
    </w:sdtEndPr>
    <w:sdtContent>
      <w:p w14:paraId="3F204333" w14:textId="4C037967" w:rsidR="00D36233" w:rsidRDefault="00D36233" w:rsidP="007732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6E2221" w14:textId="77777777" w:rsidR="00D36233" w:rsidRDefault="00D36233" w:rsidP="00D362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57E56" w14:textId="77777777" w:rsidR="001E7A70" w:rsidRDefault="001E7A70" w:rsidP="007F38F2">
      <w:r>
        <w:separator/>
      </w:r>
    </w:p>
  </w:footnote>
  <w:footnote w:type="continuationSeparator" w:id="0">
    <w:p w14:paraId="78A4B6F3" w14:textId="77777777" w:rsidR="001E7A70" w:rsidRDefault="001E7A70" w:rsidP="007F3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D80093"/>
    <w:multiLevelType w:val="multilevel"/>
    <w:tmpl w:val="BC328464"/>
    <w:styleLink w:val="chapternum"/>
    <w:lvl w:ilvl="0">
      <w:start w:val="1"/>
      <w:numFmt w:val="decimal"/>
      <w:pStyle w:val="Heading1"/>
      <w:suff w:val="space"/>
      <w:lvlText w:val="CHAPTER %1:"/>
      <w:lvlJc w:val="left"/>
      <w:pPr>
        <w:ind w:left="0" w:firstLine="0"/>
      </w:pPr>
      <w:rPr>
        <w:rFonts w:ascii="Times New Roman" w:hAnsi="Times New Roman" w:hint="default"/>
        <w:b/>
        <w:sz w:val="24"/>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42D222BB"/>
    <w:multiLevelType w:val="hybridMultilevel"/>
    <w:tmpl w:val="1BA29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91F08"/>
    <w:multiLevelType w:val="multilevel"/>
    <w:tmpl w:val="BC328464"/>
    <w:numStyleLink w:val="chapternum"/>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B3"/>
    <w:rsid w:val="0001199A"/>
    <w:rsid w:val="00014465"/>
    <w:rsid w:val="00035B33"/>
    <w:rsid w:val="00050721"/>
    <w:rsid w:val="00086F19"/>
    <w:rsid w:val="00090777"/>
    <w:rsid w:val="000D25F6"/>
    <w:rsid w:val="00116AA2"/>
    <w:rsid w:val="00127D7E"/>
    <w:rsid w:val="0013037F"/>
    <w:rsid w:val="00143D37"/>
    <w:rsid w:val="001450A2"/>
    <w:rsid w:val="0014783D"/>
    <w:rsid w:val="00194EE5"/>
    <w:rsid w:val="001A5184"/>
    <w:rsid w:val="001B3116"/>
    <w:rsid w:val="001B457E"/>
    <w:rsid w:val="001C3D8A"/>
    <w:rsid w:val="001C4E14"/>
    <w:rsid w:val="001E7A70"/>
    <w:rsid w:val="002070EA"/>
    <w:rsid w:val="00232E20"/>
    <w:rsid w:val="00252905"/>
    <w:rsid w:val="002802CE"/>
    <w:rsid w:val="00297723"/>
    <w:rsid w:val="002A0C33"/>
    <w:rsid w:val="002A6CA5"/>
    <w:rsid w:val="002A75A2"/>
    <w:rsid w:val="002B6CD6"/>
    <w:rsid w:val="002C2608"/>
    <w:rsid w:val="002D2474"/>
    <w:rsid w:val="002E0DAA"/>
    <w:rsid w:val="002E2FBA"/>
    <w:rsid w:val="002F299A"/>
    <w:rsid w:val="00317578"/>
    <w:rsid w:val="00356589"/>
    <w:rsid w:val="00393645"/>
    <w:rsid w:val="00393C00"/>
    <w:rsid w:val="003E150F"/>
    <w:rsid w:val="003E545F"/>
    <w:rsid w:val="003E5BB4"/>
    <w:rsid w:val="003F0A53"/>
    <w:rsid w:val="003F1929"/>
    <w:rsid w:val="0044126F"/>
    <w:rsid w:val="00442DBF"/>
    <w:rsid w:val="00443B3C"/>
    <w:rsid w:val="004448EA"/>
    <w:rsid w:val="00450304"/>
    <w:rsid w:val="00471615"/>
    <w:rsid w:val="004741D9"/>
    <w:rsid w:val="0047523F"/>
    <w:rsid w:val="004A53E5"/>
    <w:rsid w:val="004B3048"/>
    <w:rsid w:val="004E458F"/>
    <w:rsid w:val="004E5EBA"/>
    <w:rsid w:val="004F595C"/>
    <w:rsid w:val="00506A71"/>
    <w:rsid w:val="00515B0A"/>
    <w:rsid w:val="00524612"/>
    <w:rsid w:val="005464A9"/>
    <w:rsid w:val="00561D07"/>
    <w:rsid w:val="0056314A"/>
    <w:rsid w:val="0056398D"/>
    <w:rsid w:val="005677E3"/>
    <w:rsid w:val="00583393"/>
    <w:rsid w:val="00583A63"/>
    <w:rsid w:val="005B3C65"/>
    <w:rsid w:val="005E6336"/>
    <w:rsid w:val="00602CAC"/>
    <w:rsid w:val="00606F43"/>
    <w:rsid w:val="006072C1"/>
    <w:rsid w:val="00611D97"/>
    <w:rsid w:val="006166B3"/>
    <w:rsid w:val="006208F6"/>
    <w:rsid w:val="00670CCB"/>
    <w:rsid w:val="00673953"/>
    <w:rsid w:val="00673A51"/>
    <w:rsid w:val="00694607"/>
    <w:rsid w:val="006A4BCA"/>
    <w:rsid w:val="006C64FB"/>
    <w:rsid w:val="006E3738"/>
    <w:rsid w:val="006F5F36"/>
    <w:rsid w:val="007111BC"/>
    <w:rsid w:val="007444D2"/>
    <w:rsid w:val="0075050D"/>
    <w:rsid w:val="007539C1"/>
    <w:rsid w:val="007721DA"/>
    <w:rsid w:val="00780B34"/>
    <w:rsid w:val="00793EFB"/>
    <w:rsid w:val="007C5E8F"/>
    <w:rsid w:val="007C76B4"/>
    <w:rsid w:val="007F2DF2"/>
    <w:rsid w:val="007F311F"/>
    <w:rsid w:val="007F38F2"/>
    <w:rsid w:val="007F698D"/>
    <w:rsid w:val="00853E85"/>
    <w:rsid w:val="00854A0F"/>
    <w:rsid w:val="008F7380"/>
    <w:rsid w:val="00900576"/>
    <w:rsid w:val="00905386"/>
    <w:rsid w:val="00912B23"/>
    <w:rsid w:val="00936DB8"/>
    <w:rsid w:val="009458E4"/>
    <w:rsid w:val="00952ABE"/>
    <w:rsid w:val="0099733A"/>
    <w:rsid w:val="009A7147"/>
    <w:rsid w:val="009B6EC8"/>
    <w:rsid w:val="009C1A80"/>
    <w:rsid w:val="009C3BD7"/>
    <w:rsid w:val="009E38EB"/>
    <w:rsid w:val="009E4615"/>
    <w:rsid w:val="009F2B52"/>
    <w:rsid w:val="009F4C1F"/>
    <w:rsid w:val="00A021F4"/>
    <w:rsid w:val="00A50CA9"/>
    <w:rsid w:val="00A57661"/>
    <w:rsid w:val="00A72FA3"/>
    <w:rsid w:val="00A87CD0"/>
    <w:rsid w:val="00AD73BE"/>
    <w:rsid w:val="00AF39CE"/>
    <w:rsid w:val="00AF64A8"/>
    <w:rsid w:val="00AF6529"/>
    <w:rsid w:val="00B0429E"/>
    <w:rsid w:val="00B33D89"/>
    <w:rsid w:val="00B3500F"/>
    <w:rsid w:val="00B44DA7"/>
    <w:rsid w:val="00B5443E"/>
    <w:rsid w:val="00B72480"/>
    <w:rsid w:val="00B77B6D"/>
    <w:rsid w:val="00B822CD"/>
    <w:rsid w:val="00B8231A"/>
    <w:rsid w:val="00B82BB7"/>
    <w:rsid w:val="00B8467A"/>
    <w:rsid w:val="00B8615A"/>
    <w:rsid w:val="00B879D3"/>
    <w:rsid w:val="00BB4069"/>
    <w:rsid w:val="00BF2113"/>
    <w:rsid w:val="00C4713C"/>
    <w:rsid w:val="00C47AA3"/>
    <w:rsid w:val="00C65A23"/>
    <w:rsid w:val="00C65E41"/>
    <w:rsid w:val="00CB1FD3"/>
    <w:rsid w:val="00CB4D10"/>
    <w:rsid w:val="00CC2323"/>
    <w:rsid w:val="00CC4142"/>
    <w:rsid w:val="00CD0836"/>
    <w:rsid w:val="00CE7BCC"/>
    <w:rsid w:val="00CF5FFF"/>
    <w:rsid w:val="00D10710"/>
    <w:rsid w:val="00D15D39"/>
    <w:rsid w:val="00D305E0"/>
    <w:rsid w:val="00D33028"/>
    <w:rsid w:val="00D36233"/>
    <w:rsid w:val="00D44AF9"/>
    <w:rsid w:val="00D53389"/>
    <w:rsid w:val="00D55856"/>
    <w:rsid w:val="00D66364"/>
    <w:rsid w:val="00D70143"/>
    <w:rsid w:val="00D9770E"/>
    <w:rsid w:val="00DE62F9"/>
    <w:rsid w:val="00DE7CC5"/>
    <w:rsid w:val="00E14DF9"/>
    <w:rsid w:val="00E224C6"/>
    <w:rsid w:val="00E313A3"/>
    <w:rsid w:val="00E52833"/>
    <w:rsid w:val="00E857CC"/>
    <w:rsid w:val="00EA1F3B"/>
    <w:rsid w:val="00EA2959"/>
    <w:rsid w:val="00EA3AB3"/>
    <w:rsid w:val="00EA5DF7"/>
    <w:rsid w:val="00ED08E0"/>
    <w:rsid w:val="00ED3A4A"/>
    <w:rsid w:val="00ED598A"/>
    <w:rsid w:val="00F225E7"/>
    <w:rsid w:val="00F32F2E"/>
    <w:rsid w:val="00F4083C"/>
    <w:rsid w:val="00F52053"/>
    <w:rsid w:val="00F83529"/>
    <w:rsid w:val="00F90CA1"/>
    <w:rsid w:val="00FB02DF"/>
    <w:rsid w:val="00FB20A9"/>
    <w:rsid w:val="00FD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CC9C4"/>
  <w15:chartTrackingRefBased/>
  <w15:docId w15:val="{2FFFDE28-4537-9247-A9B5-43AE9D29E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AB3"/>
    <w:rPr>
      <w:rFonts w:ascii="Times New Roman" w:eastAsia="Times New Roman" w:hAnsi="Times New Roman" w:cs="Times New Roman"/>
    </w:rPr>
  </w:style>
  <w:style w:type="paragraph" w:styleId="Heading1">
    <w:name w:val="heading 1"/>
    <w:basedOn w:val="Normal"/>
    <w:next w:val="Normal"/>
    <w:link w:val="Heading1Char"/>
    <w:uiPriority w:val="9"/>
    <w:qFormat/>
    <w:rsid w:val="00AF64A8"/>
    <w:pPr>
      <w:keepNext/>
      <w:keepLines/>
      <w:numPr>
        <w:numId w:val="3"/>
      </w:numPr>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AF64A8"/>
    <w:pPr>
      <w:numPr>
        <w:ilvl w:val="1"/>
        <w:numId w:val="3"/>
      </w:numPr>
      <w:spacing w:line="480" w:lineRule="auto"/>
      <w:outlineLvl w:val="1"/>
    </w:pPr>
    <w:rPr>
      <w:rFonts w:eastAsiaTheme="minorHAnsi"/>
      <w:b/>
      <w:bCs/>
      <w:sz w:val="28"/>
    </w:rPr>
  </w:style>
  <w:style w:type="paragraph" w:styleId="Heading3">
    <w:name w:val="heading 3"/>
    <w:basedOn w:val="Normal"/>
    <w:next w:val="Normal"/>
    <w:link w:val="Heading3Char"/>
    <w:uiPriority w:val="9"/>
    <w:unhideWhenUsed/>
    <w:qFormat/>
    <w:rsid w:val="00AF64A8"/>
    <w:pPr>
      <w:numPr>
        <w:ilvl w:val="2"/>
        <w:numId w:val="3"/>
      </w:numPr>
      <w:spacing w:line="480" w:lineRule="auto"/>
      <w:outlineLvl w:val="2"/>
    </w:pPr>
    <w:rPr>
      <w:rFonts w:eastAsiaTheme="minorHAnsi"/>
      <w:b/>
      <w:i/>
      <w:iCs/>
    </w:rPr>
  </w:style>
  <w:style w:type="paragraph" w:styleId="Heading5">
    <w:name w:val="heading 5"/>
    <w:basedOn w:val="Normal"/>
    <w:next w:val="Normal"/>
    <w:link w:val="Heading5Char"/>
    <w:uiPriority w:val="9"/>
    <w:semiHidden/>
    <w:unhideWhenUsed/>
    <w:qFormat/>
    <w:rsid w:val="00AF64A8"/>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F64A8"/>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F64A8"/>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F64A8"/>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64A8"/>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444D2"/>
    <w:pPr>
      <w:spacing w:after="200"/>
    </w:pPr>
    <w:rPr>
      <w:rFonts w:eastAsiaTheme="minorHAnsi" w:cstheme="minorBidi"/>
      <w:i/>
      <w:iCs/>
      <w:color w:val="000000" w:themeColor="text1"/>
      <w:sz w:val="18"/>
      <w:szCs w:val="18"/>
    </w:rPr>
  </w:style>
  <w:style w:type="paragraph" w:styleId="BalloonText">
    <w:name w:val="Balloon Text"/>
    <w:basedOn w:val="Normal"/>
    <w:link w:val="BalloonTextChar"/>
    <w:uiPriority w:val="99"/>
    <w:semiHidden/>
    <w:unhideWhenUsed/>
    <w:rsid w:val="0044126F"/>
    <w:rPr>
      <w:sz w:val="18"/>
      <w:szCs w:val="18"/>
    </w:rPr>
  </w:style>
  <w:style w:type="character" w:customStyle="1" w:styleId="BalloonTextChar">
    <w:name w:val="Balloon Text Char"/>
    <w:basedOn w:val="DefaultParagraphFont"/>
    <w:link w:val="BalloonText"/>
    <w:uiPriority w:val="99"/>
    <w:semiHidden/>
    <w:rsid w:val="0044126F"/>
    <w:rPr>
      <w:rFonts w:ascii="Times New Roman" w:eastAsia="Times New Roman" w:hAnsi="Times New Roman" w:cs="Times New Roman"/>
      <w:sz w:val="18"/>
      <w:szCs w:val="18"/>
    </w:rPr>
  </w:style>
  <w:style w:type="paragraph" w:styleId="ListParagraph">
    <w:name w:val="List Paragraph"/>
    <w:basedOn w:val="Normal"/>
    <w:uiPriority w:val="34"/>
    <w:qFormat/>
    <w:rsid w:val="001B3116"/>
    <w:pPr>
      <w:ind w:left="720"/>
      <w:contextualSpacing/>
    </w:pPr>
  </w:style>
  <w:style w:type="paragraph" w:styleId="Header">
    <w:name w:val="header"/>
    <w:basedOn w:val="Normal"/>
    <w:link w:val="HeaderChar"/>
    <w:uiPriority w:val="99"/>
    <w:unhideWhenUsed/>
    <w:rsid w:val="007F38F2"/>
    <w:pPr>
      <w:tabs>
        <w:tab w:val="center" w:pos="4680"/>
        <w:tab w:val="right" w:pos="9360"/>
      </w:tabs>
    </w:pPr>
  </w:style>
  <w:style w:type="character" w:customStyle="1" w:styleId="HeaderChar">
    <w:name w:val="Header Char"/>
    <w:basedOn w:val="DefaultParagraphFont"/>
    <w:link w:val="Header"/>
    <w:uiPriority w:val="99"/>
    <w:rsid w:val="007F38F2"/>
    <w:rPr>
      <w:rFonts w:ascii="Times New Roman" w:eastAsia="Times New Roman" w:hAnsi="Times New Roman" w:cs="Times New Roman"/>
    </w:rPr>
  </w:style>
  <w:style w:type="paragraph" w:styleId="Footer">
    <w:name w:val="footer"/>
    <w:basedOn w:val="Normal"/>
    <w:link w:val="FooterChar"/>
    <w:uiPriority w:val="99"/>
    <w:unhideWhenUsed/>
    <w:rsid w:val="007F38F2"/>
    <w:pPr>
      <w:tabs>
        <w:tab w:val="center" w:pos="4680"/>
        <w:tab w:val="right" w:pos="9360"/>
      </w:tabs>
    </w:pPr>
  </w:style>
  <w:style w:type="character" w:customStyle="1" w:styleId="FooterChar">
    <w:name w:val="Footer Char"/>
    <w:basedOn w:val="DefaultParagraphFont"/>
    <w:link w:val="Footer"/>
    <w:uiPriority w:val="99"/>
    <w:rsid w:val="007F38F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F64A8"/>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AF64A8"/>
    <w:rPr>
      <w:rFonts w:ascii="Times New Roman" w:hAnsi="Times New Roman" w:cs="Times New Roman"/>
      <w:b/>
      <w:bCs/>
      <w:sz w:val="28"/>
    </w:rPr>
  </w:style>
  <w:style w:type="character" w:customStyle="1" w:styleId="Heading3Char">
    <w:name w:val="Heading 3 Char"/>
    <w:basedOn w:val="DefaultParagraphFont"/>
    <w:link w:val="Heading3"/>
    <w:uiPriority w:val="9"/>
    <w:rsid w:val="00AF64A8"/>
    <w:rPr>
      <w:rFonts w:ascii="Times New Roman" w:hAnsi="Times New Roman" w:cs="Times New Roman"/>
      <w:b/>
      <w:i/>
      <w:iCs/>
    </w:rPr>
  </w:style>
  <w:style w:type="character" w:customStyle="1" w:styleId="Heading5Char">
    <w:name w:val="Heading 5 Char"/>
    <w:basedOn w:val="DefaultParagraphFont"/>
    <w:link w:val="Heading5"/>
    <w:uiPriority w:val="9"/>
    <w:semiHidden/>
    <w:rsid w:val="00AF64A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F64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F64A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F64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F64A8"/>
    <w:rPr>
      <w:rFonts w:asciiTheme="majorHAnsi" w:eastAsiaTheme="majorEastAsia" w:hAnsiTheme="majorHAnsi" w:cstheme="majorBidi"/>
      <w:i/>
      <w:iCs/>
      <w:color w:val="272727" w:themeColor="text1" w:themeTint="D8"/>
      <w:sz w:val="21"/>
      <w:szCs w:val="21"/>
    </w:rPr>
  </w:style>
  <w:style w:type="numbering" w:customStyle="1" w:styleId="chapternum">
    <w:name w:val="chapter num"/>
    <w:uiPriority w:val="99"/>
    <w:rsid w:val="00AF64A8"/>
    <w:pPr>
      <w:numPr>
        <w:numId w:val="2"/>
      </w:numPr>
    </w:pPr>
  </w:style>
  <w:style w:type="character" w:styleId="PageNumber">
    <w:name w:val="page number"/>
    <w:basedOn w:val="DefaultParagraphFont"/>
    <w:uiPriority w:val="99"/>
    <w:semiHidden/>
    <w:unhideWhenUsed/>
    <w:rsid w:val="00D36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9234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21" Type="http://schemas.openxmlformats.org/officeDocument/2006/relationships/image" Target="media/image14.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13093-8588-B541-A900-7F7CADD4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35</Pages>
  <Words>4291</Words>
  <Characters>24459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Anna</dc:creator>
  <cp:keywords/>
  <dc:description/>
  <cp:lastModifiedBy>Young, Anna</cp:lastModifiedBy>
  <cp:revision>165</cp:revision>
  <dcterms:created xsi:type="dcterms:W3CDTF">2020-09-28T16:08:00Z</dcterms:created>
  <dcterms:modified xsi:type="dcterms:W3CDTF">2021-05-12T15:17:00Z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b7c1997b-5cb3-313f-a1a2-6b47d3797f3f</vt:lpwstr>
  </property>
  <property fmtid="{D5CDD505-2E9C-101B-9397-08002B2CF9AE}" pid="4" name="Mendeley Citation Style_1">
    <vt:lpwstr>http://www.zotero.org/styles/environment-international</vt:lpwstr>
  </property>
  <property fmtid="{D5CDD505-2E9C-101B-9397-08002B2CF9AE}" pid="5" name="Mendeley Recent Style Id 0_1">
    <vt:lpwstr>http://www.zotero.org/styles/environment-international</vt:lpwstr>
  </property>
  <property fmtid="{D5CDD505-2E9C-101B-9397-08002B2CF9AE}" pid="6" name="Mendeley Recent Style Name 0_1">
    <vt:lpwstr>Environment International</vt:lpwstr>
  </property>
  <property fmtid="{D5CDD505-2E9C-101B-9397-08002B2CF9AE}" pid="7" name="Mendeley Recent Style Id 1_1">
    <vt:lpwstr>http://www.zotero.org/styles/environmental-health-perspectives</vt:lpwstr>
  </property>
  <property fmtid="{D5CDD505-2E9C-101B-9397-08002B2CF9AE}" pid="8" name="Mendeley Recent Style Name 1_1">
    <vt:lpwstr>Environmental Health Perspectives</vt:lpwstr>
  </property>
  <property fmtid="{D5CDD505-2E9C-101B-9397-08002B2CF9AE}" pid="9" name="Mendeley Recent Style Id 2_1">
    <vt:lpwstr>http://www.zotero.org/styles/environmental-science-and-technology</vt:lpwstr>
  </property>
  <property fmtid="{D5CDD505-2E9C-101B-9397-08002B2CF9AE}" pid="10" name="Mendeley Recent Style Name 2_1">
    <vt:lpwstr>Environmental Science &amp; Technology</vt:lpwstr>
  </property>
  <property fmtid="{D5CDD505-2E9C-101B-9397-08002B2CF9AE}" pid="11" name="Mendeley Recent Style Id 3_1">
    <vt:lpwstr>http://www.zotero.org/styles/international-journal-of-hygiene-and-environmental-health</vt:lpwstr>
  </property>
  <property fmtid="{D5CDD505-2E9C-101B-9397-08002B2CF9AE}" pid="12" name="Mendeley Recent Style Name 3_1">
    <vt:lpwstr>International Journal of Hygiene and Environmental Health</vt:lpwstr>
  </property>
  <property fmtid="{D5CDD505-2E9C-101B-9397-08002B2CF9AE}" pid="13" name="Mendeley Recent Style Id 4_1">
    <vt:lpwstr>http://www.zotero.org/styles/journal-of-exposure-science-and-environmental-epidemiology</vt:lpwstr>
  </property>
  <property fmtid="{D5CDD505-2E9C-101B-9397-08002B2CF9AE}" pid="14" name="Mendeley Recent Style Name 4_1">
    <vt:lpwstr>Journal of Exposure Science and Environmental Epidemiology</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http://csl.mendeley.com/styles/510459361/NIEHSgrant</vt:lpwstr>
  </property>
  <property fmtid="{D5CDD505-2E9C-101B-9397-08002B2CF9AE}" pid="18" name="Mendeley Recent Style Name 6_1">
    <vt:lpwstr>Nature - A Y</vt:lpwstr>
  </property>
  <property fmtid="{D5CDD505-2E9C-101B-9397-08002B2CF9AE}" pid="19" name="Mendeley Recent Style Id 7_1">
    <vt:lpwstr>http://www.zotero.org/styles/science</vt:lpwstr>
  </property>
  <property fmtid="{D5CDD505-2E9C-101B-9397-08002B2CF9AE}" pid="20" name="Mendeley Recent Style Name 7_1">
    <vt:lpwstr>Science</vt:lpwstr>
  </property>
  <property fmtid="{D5CDD505-2E9C-101B-9397-08002B2CF9AE}" pid="21" name="Mendeley Recent Style Id 8_1">
    <vt:lpwstr>http://www.zotero.org/styles/taylor-and-francis-council-of-science-editors-author-date</vt:lpwstr>
  </property>
  <property fmtid="{D5CDD505-2E9C-101B-9397-08002B2CF9AE}" pid="22" name="Mendeley Recent Style Name 8_1">
    <vt:lpwstr>Taylor &amp; Francis - Council of Science Editors (author-date)</vt:lpwstr>
  </property>
  <property fmtid="{D5CDD505-2E9C-101B-9397-08002B2CF9AE}" pid="23" name="Mendeley Recent Style Id 9_1">
    <vt:lpwstr>http://www.zotero.org/styles/journal-of-biological-chemistry</vt:lpwstr>
  </property>
  <property fmtid="{D5CDD505-2E9C-101B-9397-08002B2CF9AE}" pid="24" name="Mendeley Recent Style Name 9_1">
    <vt:lpwstr>The Journal of Biological Chemistry</vt:lpwstr>
  </property>
</Properties>
</file>