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4E" w:rsidRDefault="00C9602B" w:rsidP="009D3FC3">
      <w:pPr>
        <w:spacing w:line="480" w:lineRule="auto"/>
        <w:rPr>
          <w:lang w:val="en-GB"/>
        </w:rPr>
      </w:pPr>
      <w:r>
        <w:rPr>
          <w:b/>
          <w:lang w:val="en-GB"/>
        </w:rPr>
        <w:t>T</w:t>
      </w:r>
      <w:r w:rsidR="009D3FC3" w:rsidRPr="00770921">
        <w:rPr>
          <w:b/>
          <w:lang w:val="en-GB"/>
        </w:rPr>
        <w:t xml:space="preserve">able </w:t>
      </w:r>
      <w:r>
        <w:rPr>
          <w:b/>
          <w:lang w:val="en-GB"/>
        </w:rPr>
        <w:t>S</w:t>
      </w:r>
      <w:bookmarkStart w:id="0" w:name="_GoBack"/>
      <w:bookmarkEnd w:id="0"/>
      <w:r w:rsidR="008517C0">
        <w:rPr>
          <w:b/>
          <w:lang w:val="en-GB"/>
        </w:rPr>
        <w:t>2</w:t>
      </w:r>
      <w:r w:rsidR="009D3FC3">
        <w:rPr>
          <w:lang w:val="en-GB"/>
        </w:rPr>
        <w:t xml:space="preserve">. </w:t>
      </w:r>
      <w:r w:rsidR="000F39A4" w:rsidRPr="00900655">
        <w:rPr>
          <w:lang w:val="en-GB"/>
        </w:rPr>
        <w:t xml:space="preserve">Characteristics of </w:t>
      </w:r>
      <w:r w:rsidR="000F39A4">
        <w:rPr>
          <w:lang w:val="en-GB"/>
        </w:rPr>
        <w:t xml:space="preserve">carriage study </w:t>
      </w:r>
      <w:r w:rsidR="000F39A4" w:rsidRPr="00900655">
        <w:rPr>
          <w:lang w:val="en-GB"/>
        </w:rPr>
        <w:t xml:space="preserve">participants </w:t>
      </w:r>
      <w:r w:rsidR="000F39A4">
        <w:rPr>
          <w:lang w:val="en-GB"/>
        </w:rPr>
        <w:t>aged 1 month to 39 years (N=519)</w:t>
      </w:r>
      <w:r w:rsidR="000F39A4" w:rsidRPr="00900655">
        <w:rPr>
          <w:lang w:val="en-GB"/>
        </w:rPr>
        <w:t xml:space="preserve">, by nasopharyngeal pneumococcal carriage status. </w:t>
      </w:r>
      <w:r w:rsidR="000F39A4">
        <w:rPr>
          <w:lang w:val="en-GB"/>
        </w:rPr>
        <w:t>Bobo-Dioulasso, February 2008.</w:t>
      </w:r>
      <w:r w:rsidR="008517C0">
        <w:rPr>
          <w:lang w:val="en-GB"/>
        </w:rPr>
        <w:t xml:space="preserve"> </w:t>
      </w:r>
    </w:p>
    <w:tbl>
      <w:tblPr>
        <w:tblW w:w="14328" w:type="dxa"/>
        <w:tblLook w:val="04A0" w:firstRow="1" w:lastRow="0" w:firstColumn="1" w:lastColumn="0" w:noHBand="0" w:noVBand="1"/>
      </w:tblPr>
      <w:tblGrid>
        <w:gridCol w:w="5688"/>
        <w:gridCol w:w="3150"/>
        <w:gridCol w:w="2970"/>
        <w:gridCol w:w="2520"/>
      </w:tblGrid>
      <w:tr w:rsidR="0087250F" w:rsidRPr="00352C52" w:rsidTr="0087250F">
        <w:trPr>
          <w:trHeight w:val="893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7250F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 xml:space="preserve">Non-carrier (N=353*) </w:t>
            </w:r>
          </w:p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Number (%) in category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7250F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 xml:space="preserve">Carrier (N=166*) </w:t>
            </w:r>
          </w:p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Number (%) in category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Age-adjusted</w:t>
            </w:r>
          </w:p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i/>
                <w:lang w:val="en-GB"/>
              </w:rPr>
              <w:t>P</w:t>
            </w:r>
            <w:r w:rsidRPr="00352C52">
              <w:rPr>
                <w:lang w:val="en-GB"/>
              </w:rPr>
              <w:t>-value</w:t>
            </w:r>
          </w:p>
        </w:tc>
      </w:tr>
      <w:tr w:rsidR="0087250F" w:rsidRPr="00352C52" w:rsidTr="0087250F">
        <w:trPr>
          <w:trHeight w:val="448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Female sex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202 (43%)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90 (46%)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0.99</w:t>
            </w:r>
          </w:p>
        </w:tc>
      </w:tr>
      <w:tr w:rsidR="0087250F" w:rsidRPr="00352C52" w:rsidTr="0087250F">
        <w:trPr>
          <w:trHeight w:val="448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 xml:space="preserve">Malnutrition among </w:t>
            </w:r>
            <w:r>
              <w:rPr>
                <w:lang w:val="en-GB"/>
              </w:rPr>
              <w:t xml:space="preserve">children </w:t>
            </w:r>
            <w:r w:rsidRPr="00352C52">
              <w:rPr>
                <w:lang w:val="en-GB"/>
              </w:rPr>
              <w:t>&lt;9 years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15/59 (25%)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18/92 (20%)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0.40</w:t>
            </w:r>
          </w:p>
        </w:tc>
      </w:tr>
      <w:tr w:rsidR="0087250F" w:rsidRPr="00352C52" w:rsidTr="0087250F">
        <w:trPr>
          <w:trHeight w:val="419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 xml:space="preserve">Smoking </w:t>
            </w:r>
            <w:r>
              <w:rPr>
                <w:lang w:val="en-GB"/>
              </w:rPr>
              <w:t>among persons &gt;14 years of age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21/219 (10%)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1/42 (2%)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0.18</w:t>
            </w:r>
          </w:p>
        </w:tc>
      </w:tr>
      <w:tr w:rsidR="0087250F" w:rsidRPr="00352C52" w:rsidTr="0087250F">
        <w:trPr>
          <w:trHeight w:val="448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Reported</w:t>
            </w:r>
            <w:r w:rsidRPr="00352C52">
              <w:rPr>
                <w:lang w:val="en-GB"/>
              </w:rPr>
              <w:t xml:space="preserve"> previous meningitis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2 (1%)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N/A</w:t>
            </w:r>
          </w:p>
        </w:tc>
      </w:tr>
      <w:tr w:rsidR="0087250F" w:rsidRPr="00352C52" w:rsidTr="0087250F">
        <w:trPr>
          <w:trHeight w:val="448"/>
        </w:trPr>
        <w:tc>
          <w:tcPr>
            <w:tcW w:w="5688" w:type="dxa"/>
          </w:tcPr>
          <w:p w:rsidR="0087250F" w:rsidRPr="00352C52" w:rsidRDefault="0087250F" w:rsidP="0087250F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 xml:space="preserve">Ever </w:t>
            </w:r>
            <w:r>
              <w:rPr>
                <w:lang w:val="en-GB"/>
              </w:rPr>
              <w:t>attended school</w:t>
            </w:r>
            <w:r w:rsidRPr="00352C52">
              <w:rPr>
                <w:lang w:val="en-GB"/>
              </w:rPr>
              <w:t xml:space="preserve"> </w:t>
            </w:r>
            <w:r>
              <w:rPr>
                <w:lang w:val="en-GB"/>
              </w:rPr>
              <w:t>among persons &gt;9 years of age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200/264 (76%)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56/62 (90%)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0.92</w:t>
            </w:r>
          </w:p>
        </w:tc>
      </w:tr>
      <w:tr w:rsidR="0087250F" w:rsidRPr="00352C52" w:rsidTr="0087250F">
        <w:trPr>
          <w:trHeight w:val="448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 xml:space="preserve">Basic literacy 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157/264 (60%)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35/62 (57%)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0.68</w:t>
            </w:r>
          </w:p>
        </w:tc>
      </w:tr>
      <w:tr w:rsidR="0087250F" w:rsidRPr="00352C52" w:rsidTr="0087250F">
        <w:trPr>
          <w:trHeight w:val="419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Television</w:t>
            </w:r>
            <w:r w:rsidRPr="00352C52">
              <w:rPr>
                <w:lang w:val="en-GB"/>
              </w:rPr>
              <w:t xml:space="preserve"> in the compound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239 (69%)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108 (65%)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0.21</w:t>
            </w:r>
          </w:p>
        </w:tc>
      </w:tr>
      <w:tr w:rsidR="0087250F" w:rsidRPr="00352C52" w:rsidTr="0087250F">
        <w:trPr>
          <w:trHeight w:val="593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>Kitchen outside the house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300 (85%)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143 (87%)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0.68</w:t>
            </w:r>
          </w:p>
        </w:tc>
      </w:tr>
      <w:tr w:rsidR="0087250F" w:rsidRPr="00352C52" w:rsidTr="0087250F">
        <w:trPr>
          <w:trHeight w:val="448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>≥7</w:t>
            </w:r>
            <w:r>
              <w:rPr>
                <w:lang w:val="en-GB"/>
              </w:rPr>
              <w:t xml:space="preserve"> p</w:t>
            </w:r>
            <w:r w:rsidRPr="00352C52">
              <w:rPr>
                <w:lang w:val="en-GB"/>
              </w:rPr>
              <w:t xml:space="preserve">ersons living in compound 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323 (92%)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162 (98%)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0.16</w:t>
            </w:r>
          </w:p>
        </w:tc>
      </w:tr>
      <w:tr w:rsidR="0087250F" w:rsidRPr="00352C52" w:rsidTr="0087250F">
        <w:trPr>
          <w:trHeight w:val="448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>≥3</w:t>
            </w:r>
            <w:r>
              <w:rPr>
                <w:lang w:val="en-GB"/>
              </w:rPr>
              <w:t xml:space="preserve"> p</w:t>
            </w:r>
            <w:r w:rsidRPr="00352C52">
              <w:rPr>
                <w:lang w:val="en-GB"/>
              </w:rPr>
              <w:t>ersons sharing sleeping room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156 (44%)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97 (58%)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0.15</w:t>
            </w:r>
          </w:p>
        </w:tc>
      </w:tr>
      <w:tr w:rsidR="0087250F" w:rsidRPr="00352C52" w:rsidTr="0087250F">
        <w:trPr>
          <w:trHeight w:val="477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>Coughing observed by ENT nurse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12 (3%)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 xml:space="preserve">17 (10%) 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0.092</w:t>
            </w:r>
          </w:p>
        </w:tc>
      </w:tr>
      <w:tr w:rsidR="0087250F" w:rsidRPr="00352C52" w:rsidTr="0087250F">
        <w:trPr>
          <w:trHeight w:val="477"/>
        </w:trPr>
        <w:tc>
          <w:tcPr>
            <w:tcW w:w="5688" w:type="dxa"/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>Tonsillitis/pharyngitis observed by ENT nurse</w:t>
            </w:r>
          </w:p>
        </w:tc>
        <w:tc>
          <w:tcPr>
            <w:tcW w:w="315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7 (2%)</w:t>
            </w:r>
          </w:p>
        </w:tc>
        <w:tc>
          <w:tcPr>
            <w:tcW w:w="297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1 (1%)</w:t>
            </w:r>
          </w:p>
        </w:tc>
        <w:tc>
          <w:tcPr>
            <w:tcW w:w="2520" w:type="dxa"/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0.24</w:t>
            </w:r>
          </w:p>
        </w:tc>
      </w:tr>
      <w:tr w:rsidR="0087250F" w:rsidRPr="00352C52" w:rsidTr="0087250F">
        <w:trPr>
          <w:trHeight w:val="477"/>
        </w:trPr>
        <w:tc>
          <w:tcPr>
            <w:tcW w:w="5688" w:type="dxa"/>
            <w:tcBorders>
              <w:bottom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Rhinorrhea</w:t>
            </w:r>
            <w:proofErr w:type="spellEnd"/>
            <w:r>
              <w:rPr>
                <w:lang w:val="en-GB"/>
              </w:rPr>
              <w:t xml:space="preserve"> </w:t>
            </w:r>
            <w:r w:rsidRPr="00352C52">
              <w:rPr>
                <w:lang w:val="en-GB"/>
              </w:rPr>
              <w:t>observed by ENT nurse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41 (12%)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39 (23%)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0.13</w:t>
            </w:r>
          </w:p>
        </w:tc>
      </w:tr>
      <w:tr w:rsidR="0087250F" w:rsidRPr="00352C52" w:rsidTr="0087250F">
        <w:trPr>
          <w:trHeight w:val="419"/>
        </w:trPr>
        <w:tc>
          <w:tcPr>
            <w:tcW w:w="5688" w:type="dxa"/>
            <w:tcBorders>
              <w:top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rPr>
                <w:lang w:val="en-GB"/>
              </w:rPr>
            </w:pPr>
            <w:r w:rsidRPr="00352C52">
              <w:rPr>
                <w:lang w:val="en-GB"/>
              </w:rPr>
              <w:t>Age</w:t>
            </w:r>
            <w:r>
              <w:rPr>
                <w:lang w:val="en-GB"/>
              </w:rPr>
              <w:t>: mean (standard deviation)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 xml:space="preserve">18.2 (10.6) years 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87250F" w:rsidRPr="00352C52" w:rsidRDefault="0087250F" w:rsidP="004E628E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9.1 (10.6) years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7250F" w:rsidRPr="00352C52" w:rsidRDefault="0087250F" w:rsidP="007259C0">
            <w:pPr>
              <w:spacing w:line="480" w:lineRule="auto"/>
              <w:jc w:val="center"/>
              <w:rPr>
                <w:lang w:val="en-GB"/>
              </w:rPr>
            </w:pPr>
            <w:r w:rsidRPr="00352C52">
              <w:rPr>
                <w:lang w:val="en-GB"/>
              </w:rPr>
              <w:t>&lt;0.001 (</w:t>
            </w:r>
            <w:r>
              <w:rPr>
                <w:lang w:val="en-GB"/>
              </w:rPr>
              <w:t>t-test</w:t>
            </w:r>
            <w:r w:rsidRPr="00352C52">
              <w:rPr>
                <w:lang w:val="en-GB"/>
              </w:rPr>
              <w:t>)</w:t>
            </w:r>
          </w:p>
        </w:tc>
      </w:tr>
    </w:tbl>
    <w:p w:rsidR="000F39A4" w:rsidRDefault="000F39A4" w:rsidP="000F39A4">
      <w:pPr>
        <w:spacing w:line="480" w:lineRule="auto"/>
        <w:rPr>
          <w:lang w:val="en-GB"/>
        </w:rPr>
      </w:pPr>
      <w:r>
        <w:rPr>
          <w:lang w:val="en-GB"/>
        </w:rPr>
        <w:t>N (%)</w:t>
      </w:r>
    </w:p>
    <w:p w:rsidR="000F39A4" w:rsidRDefault="000F39A4" w:rsidP="000F39A4">
      <w:pPr>
        <w:spacing w:line="480" w:lineRule="auto"/>
        <w:rPr>
          <w:lang w:val="en-GB"/>
        </w:rPr>
      </w:pPr>
      <w:r>
        <w:rPr>
          <w:lang w:val="en-GB"/>
        </w:rPr>
        <w:t xml:space="preserve">* </w:t>
      </w:r>
      <w:proofErr w:type="gramStart"/>
      <w:r>
        <w:rPr>
          <w:lang w:val="en-GB"/>
        </w:rPr>
        <w:t>minor</w:t>
      </w:r>
      <w:proofErr w:type="gramEnd"/>
      <w:r>
        <w:rPr>
          <w:lang w:val="en-GB"/>
        </w:rPr>
        <w:t xml:space="preserve"> variations may occur due to missing values</w:t>
      </w:r>
    </w:p>
    <w:p w:rsidR="009D3FC3" w:rsidRDefault="000F39A4" w:rsidP="0087250F">
      <w:pPr>
        <w:spacing w:line="480" w:lineRule="auto"/>
        <w:rPr>
          <w:lang w:val="en-GB"/>
        </w:rPr>
      </w:pPr>
      <w:r w:rsidRPr="00C92F01">
        <w:rPr>
          <w:i/>
          <w:lang w:val="en-GB"/>
        </w:rPr>
        <w:t>P</w:t>
      </w:r>
      <w:r>
        <w:rPr>
          <w:lang w:val="en-GB"/>
        </w:rPr>
        <w:t>-values obtained from linear or logistic regression models, accounting for design effect and adjusting for age (&lt;1y, 1-4y, 5-14yn 15-24y, 25-39y)</w:t>
      </w:r>
    </w:p>
    <w:sectPr w:rsidR="009D3FC3" w:rsidSect="000F39A4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1E" w:rsidRDefault="00BD211E">
      <w:r>
        <w:separator/>
      </w:r>
    </w:p>
  </w:endnote>
  <w:endnote w:type="continuationSeparator" w:id="0">
    <w:p w:rsidR="00BD211E" w:rsidRDefault="00BD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6F" w:rsidRDefault="00FA39D0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02B">
      <w:rPr>
        <w:noProof/>
      </w:rPr>
      <w:t>1</w:t>
    </w:r>
    <w:r>
      <w:rPr>
        <w:noProof/>
      </w:rPr>
      <w:fldChar w:fldCharType="end"/>
    </w:r>
  </w:p>
  <w:p w:rsidR="00FF646F" w:rsidRDefault="00FF64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1E" w:rsidRDefault="00BD211E">
      <w:r>
        <w:separator/>
      </w:r>
    </w:p>
  </w:footnote>
  <w:footnote w:type="continuationSeparator" w:id="0">
    <w:p w:rsidR="00BD211E" w:rsidRDefault="00BD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C3"/>
    <w:rsid w:val="000172A5"/>
    <w:rsid w:val="000301A8"/>
    <w:rsid w:val="0005170F"/>
    <w:rsid w:val="00066696"/>
    <w:rsid w:val="000B3D52"/>
    <w:rsid w:val="000F39A4"/>
    <w:rsid w:val="0014372D"/>
    <w:rsid w:val="001849CF"/>
    <w:rsid w:val="00190F8C"/>
    <w:rsid w:val="001A10C6"/>
    <w:rsid w:val="001A1112"/>
    <w:rsid w:val="001A1261"/>
    <w:rsid w:val="002237DC"/>
    <w:rsid w:val="00257A01"/>
    <w:rsid w:val="002C5F98"/>
    <w:rsid w:val="002D69D4"/>
    <w:rsid w:val="002D754E"/>
    <w:rsid w:val="0030006D"/>
    <w:rsid w:val="0032131E"/>
    <w:rsid w:val="00332C11"/>
    <w:rsid w:val="00352C52"/>
    <w:rsid w:val="00395B0A"/>
    <w:rsid w:val="003971F1"/>
    <w:rsid w:val="003B6FBA"/>
    <w:rsid w:val="003F7512"/>
    <w:rsid w:val="00430EB3"/>
    <w:rsid w:val="00445954"/>
    <w:rsid w:val="0049385F"/>
    <w:rsid w:val="004A42E0"/>
    <w:rsid w:val="00510C93"/>
    <w:rsid w:val="005421AA"/>
    <w:rsid w:val="005539EB"/>
    <w:rsid w:val="00586C2D"/>
    <w:rsid w:val="00591F07"/>
    <w:rsid w:val="005C208A"/>
    <w:rsid w:val="005C5A3B"/>
    <w:rsid w:val="005D3EBC"/>
    <w:rsid w:val="005D484F"/>
    <w:rsid w:val="0060503D"/>
    <w:rsid w:val="006349ED"/>
    <w:rsid w:val="00636022"/>
    <w:rsid w:val="00640EC3"/>
    <w:rsid w:val="00657AA4"/>
    <w:rsid w:val="006F64DA"/>
    <w:rsid w:val="00701B87"/>
    <w:rsid w:val="00716F15"/>
    <w:rsid w:val="007259C0"/>
    <w:rsid w:val="00742ACF"/>
    <w:rsid w:val="00770921"/>
    <w:rsid w:val="00777E26"/>
    <w:rsid w:val="008474DE"/>
    <w:rsid w:val="008500CA"/>
    <w:rsid w:val="008517C0"/>
    <w:rsid w:val="00861841"/>
    <w:rsid w:val="008641B6"/>
    <w:rsid w:val="0087250F"/>
    <w:rsid w:val="009D3FC3"/>
    <w:rsid w:val="00A1244A"/>
    <w:rsid w:val="00A47108"/>
    <w:rsid w:val="00A549BA"/>
    <w:rsid w:val="00A5641B"/>
    <w:rsid w:val="00A745FE"/>
    <w:rsid w:val="00A86419"/>
    <w:rsid w:val="00AB16FF"/>
    <w:rsid w:val="00B21831"/>
    <w:rsid w:val="00BA6F20"/>
    <w:rsid w:val="00BD211E"/>
    <w:rsid w:val="00C17A32"/>
    <w:rsid w:val="00C64482"/>
    <w:rsid w:val="00C9602B"/>
    <w:rsid w:val="00CA20F8"/>
    <w:rsid w:val="00CA7E4B"/>
    <w:rsid w:val="00CD0104"/>
    <w:rsid w:val="00CE359F"/>
    <w:rsid w:val="00D5108D"/>
    <w:rsid w:val="00D67AEB"/>
    <w:rsid w:val="00DA215A"/>
    <w:rsid w:val="00E42612"/>
    <w:rsid w:val="00E75433"/>
    <w:rsid w:val="00E923B6"/>
    <w:rsid w:val="00E95E58"/>
    <w:rsid w:val="00EB2E7E"/>
    <w:rsid w:val="00EF24A5"/>
    <w:rsid w:val="00F229C4"/>
    <w:rsid w:val="00F26974"/>
    <w:rsid w:val="00F50B14"/>
    <w:rsid w:val="00F53FE6"/>
    <w:rsid w:val="00F772E9"/>
    <w:rsid w:val="00F82C6F"/>
    <w:rsid w:val="00FA39D0"/>
    <w:rsid w:val="00FC7FCB"/>
    <w:rsid w:val="00FD68A3"/>
    <w:rsid w:val="00FF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C3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D3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3FC3"/>
    <w:rPr>
      <w:rFonts w:eastAsia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F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FC3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A564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C3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D3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3FC3"/>
    <w:rPr>
      <w:rFonts w:eastAsia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F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FC3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A564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jmueller</cp:lastModifiedBy>
  <cp:revision>3</cp:revision>
  <dcterms:created xsi:type="dcterms:W3CDTF">2012-11-22T17:08:00Z</dcterms:created>
  <dcterms:modified xsi:type="dcterms:W3CDTF">2012-11-22T17:08:00Z</dcterms:modified>
</cp:coreProperties>
</file>