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CF" w:rsidRPr="00244C61" w:rsidRDefault="00223DCF" w:rsidP="00223DCF">
      <w:pPr>
        <w:autoSpaceDE w:val="0"/>
        <w:autoSpaceDN w:val="0"/>
        <w:adjustRightInd w:val="0"/>
        <w:spacing w:after="0" w:line="360" w:lineRule="auto"/>
        <w:jc w:val="both"/>
        <w:rPr>
          <w:rFonts w:cs="Calibri"/>
          <w:b/>
          <w:sz w:val="24"/>
          <w:szCs w:val="24"/>
          <w:lang w:val="en-GB"/>
        </w:rPr>
      </w:pPr>
      <w:r w:rsidRPr="00244C61">
        <w:rPr>
          <w:rFonts w:cs="Calibri"/>
          <w:b/>
          <w:sz w:val="24"/>
          <w:szCs w:val="24"/>
          <w:lang w:val="en-GB"/>
        </w:rPr>
        <w:t>Supplement 1: Hepatitis E virus Diagnostic Testing Site Survey</w:t>
      </w:r>
    </w:p>
    <w:p w:rsidR="00223DCF" w:rsidRPr="00244C61" w:rsidRDefault="00223DCF" w:rsidP="00223DCF">
      <w:pPr>
        <w:spacing w:after="0" w:line="360" w:lineRule="auto"/>
        <w:jc w:val="both"/>
        <w:rPr>
          <w:rFonts w:cs="Calibri"/>
          <w:b/>
          <w:sz w:val="24"/>
          <w:szCs w:val="24"/>
          <w:lang w:val="en-GB"/>
        </w:rPr>
      </w:pPr>
    </w:p>
    <w:p w:rsidR="00223DCF" w:rsidRPr="00244C61" w:rsidRDefault="00223DCF" w:rsidP="00223DCF">
      <w:pPr>
        <w:spacing w:after="0" w:line="360" w:lineRule="auto"/>
        <w:jc w:val="both"/>
        <w:rPr>
          <w:rFonts w:cs="Calibri"/>
          <w:sz w:val="24"/>
          <w:szCs w:val="24"/>
          <w:lang w:val="en-GB"/>
        </w:rPr>
      </w:pPr>
      <w:r w:rsidRPr="00244C61">
        <w:rPr>
          <w:rFonts w:cs="Calibri"/>
          <w:b/>
          <w:sz w:val="24"/>
          <w:szCs w:val="24"/>
          <w:lang w:val="en-GB"/>
        </w:rPr>
        <w:t>Survey goals:</w:t>
      </w:r>
      <w:r w:rsidRPr="00244C61">
        <w:rPr>
          <w:rFonts w:cs="Calibri"/>
          <w:sz w:val="24"/>
          <w:szCs w:val="24"/>
          <w:lang w:val="en-GB"/>
        </w:rPr>
        <w:t xml:space="preserve"> The objective of this survey is to assess the availability, accessibility, and utilization of hepatitis E virus (HEV) diagnostic tests at each of the </w:t>
      </w:r>
      <w:proofErr w:type="spellStart"/>
      <w:r w:rsidRPr="00244C61">
        <w:rPr>
          <w:rFonts w:cs="Calibri"/>
          <w:sz w:val="24"/>
          <w:szCs w:val="24"/>
          <w:lang w:val="en-GB"/>
        </w:rPr>
        <w:t>GeoSentinel</w:t>
      </w:r>
      <w:proofErr w:type="spellEnd"/>
      <w:r w:rsidRPr="00244C61">
        <w:rPr>
          <w:rFonts w:cs="Calibri"/>
          <w:sz w:val="24"/>
          <w:szCs w:val="24"/>
          <w:lang w:val="en-GB"/>
        </w:rPr>
        <w:t xml:space="preserve"> sites.  In the survey questions below that refer to ‘your laboratory’, this refers to the laboratory that tests your specimens, not necessarily an on-site laboratory.</w:t>
      </w:r>
    </w:p>
    <w:p w:rsidR="00223DCF" w:rsidRPr="00244C61" w:rsidRDefault="00223DCF" w:rsidP="00223DCF">
      <w:pPr>
        <w:spacing w:after="0" w:line="360" w:lineRule="auto"/>
        <w:jc w:val="both"/>
        <w:rPr>
          <w:rFonts w:cs="Calibri"/>
          <w:sz w:val="24"/>
          <w:szCs w:val="24"/>
          <w:lang w:val="en-GB"/>
        </w:rPr>
      </w:pPr>
    </w:p>
    <w:p w:rsidR="00223DCF" w:rsidRPr="00244C61" w:rsidRDefault="00223DCF" w:rsidP="00223DCF">
      <w:pPr>
        <w:spacing w:after="0" w:line="360" w:lineRule="auto"/>
        <w:jc w:val="both"/>
        <w:outlineLvl w:val="0"/>
        <w:rPr>
          <w:rFonts w:cs="Calibri"/>
          <w:b/>
          <w:sz w:val="24"/>
          <w:szCs w:val="24"/>
          <w:u w:val="single"/>
          <w:lang w:val="en-GB"/>
        </w:rPr>
      </w:pPr>
      <w:r w:rsidRPr="00244C61">
        <w:rPr>
          <w:rFonts w:cs="Calibri"/>
          <w:b/>
          <w:sz w:val="24"/>
          <w:szCs w:val="24"/>
          <w:u w:val="single"/>
          <w:lang w:val="en-GB"/>
        </w:rPr>
        <w:t>Survey questions</w:t>
      </w:r>
    </w:p>
    <w:p w:rsidR="00223DCF" w:rsidRPr="00244C61" w:rsidRDefault="00223DCF" w:rsidP="00223DCF">
      <w:pPr>
        <w:spacing w:after="0" w:line="360" w:lineRule="auto"/>
        <w:jc w:val="both"/>
        <w:rPr>
          <w:rFonts w:cs="Calibri"/>
          <w:sz w:val="24"/>
          <w:szCs w:val="24"/>
          <w:lang w:val="en-GB"/>
        </w:rPr>
      </w:pP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proofErr w:type="spellStart"/>
      <w:r w:rsidRPr="00244C61">
        <w:rPr>
          <w:rFonts w:cs="Calibri"/>
          <w:sz w:val="24"/>
          <w:szCs w:val="24"/>
          <w:lang w:val="en-GB"/>
        </w:rPr>
        <w:t>GeoS</w:t>
      </w:r>
      <w:proofErr w:type="spellEnd"/>
      <w:r w:rsidRPr="00244C61">
        <w:rPr>
          <w:rFonts w:cs="Calibri"/>
          <w:sz w:val="24"/>
          <w:szCs w:val="24"/>
          <w:lang w:val="en-GB"/>
        </w:rPr>
        <w:t xml:space="preserve"> Site Code: (text) </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Do you use a hospital or research laboratory at your site to do HEV diagnostic testing or are samples sent to a reference laboratory? Responses (more than one may apply):</w:t>
      </w:r>
    </w:p>
    <w:p w:rsidR="00223DCF" w:rsidRPr="00244C61" w:rsidRDefault="00223DCF" w:rsidP="00223DCF">
      <w:pPr>
        <w:pStyle w:val="Elencoacolori-Colore11"/>
        <w:numPr>
          <w:ilvl w:val="0"/>
          <w:numId w:val="2"/>
        </w:numPr>
        <w:spacing w:after="160" w:line="360" w:lineRule="auto"/>
        <w:jc w:val="both"/>
        <w:rPr>
          <w:rFonts w:cs="Calibri"/>
          <w:sz w:val="24"/>
          <w:szCs w:val="24"/>
          <w:lang w:val="en-GB"/>
        </w:rPr>
      </w:pPr>
      <w:r w:rsidRPr="00244C61">
        <w:rPr>
          <w:rFonts w:cs="Calibri"/>
          <w:sz w:val="24"/>
          <w:szCs w:val="24"/>
          <w:lang w:val="en-GB"/>
        </w:rPr>
        <w:t>Hospital lab</w:t>
      </w:r>
    </w:p>
    <w:p w:rsidR="00223DCF" w:rsidRPr="00244C61" w:rsidRDefault="00223DCF" w:rsidP="00223DCF">
      <w:pPr>
        <w:pStyle w:val="Elencoacolori-Colore11"/>
        <w:numPr>
          <w:ilvl w:val="0"/>
          <w:numId w:val="2"/>
        </w:numPr>
        <w:spacing w:after="160" w:line="360" w:lineRule="auto"/>
        <w:jc w:val="both"/>
        <w:rPr>
          <w:rFonts w:cs="Calibri"/>
          <w:sz w:val="24"/>
          <w:szCs w:val="24"/>
          <w:lang w:val="en-GB"/>
        </w:rPr>
      </w:pPr>
      <w:r w:rsidRPr="00244C61">
        <w:rPr>
          <w:rFonts w:cs="Calibri"/>
          <w:sz w:val="24"/>
          <w:szCs w:val="24"/>
          <w:lang w:val="en-GB"/>
        </w:rPr>
        <w:t>Special academic research lab</w:t>
      </w:r>
    </w:p>
    <w:p w:rsidR="00223DCF" w:rsidRPr="00244C61" w:rsidRDefault="00223DCF" w:rsidP="00223DCF">
      <w:pPr>
        <w:pStyle w:val="Elencoacolori-Colore11"/>
        <w:numPr>
          <w:ilvl w:val="0"/>
          <w:numId w:val="2"/>
        </w:numPr>
        <w:spacing w:after="160" w:line="360" w:lineRule="auto"/>
        <w:jc w:val="both"/>
        <w:rPr>
          <w:rFonts w:cs="Calibri"/>
          <w:sz w:val="24"/>
          <w:szCs w:val="24"/>
          <w:lang w:val="en-GB"/>
        </w:rPr>
      </w:pPr>
      <w:r w:rsidRPr="00244C61">
        <w:rPr>
          <w:rFonts w:cs="Calibri"/>
          <w:sz w:val="24"/>
          <w:szCs w:val="24"/>
          <w:lang w:val="en-GB"/>
        </w:rPr>
        <w:t>Private reference lab</w:t>
      </w:r>
    </w:p>
    <w:p w:rsidR="00223DCF" w:rsidRPr="00244C61" w:rsidRDefault="00223DCF" w:rsidP="00223DCF">
      <w:pPr>
        <w:pStyle w:val="Elencoacolori-Colore11"/>
        <w:numPr>
          <w:ilvl w:val="0"/>
          <w:numId w:val="2"/>
        </w:numPr>
        <w:spacing w:after="160" w:line="360" w:lineRule="auto"/>
        <w:jc w:val="both"/>
        <w:rPr>
          <w:rFonts w:cs="Calibri"/>
          <w:sz w:val="24"/>
          <w:szCs w:val="24"/>
          <w:lang w:val="en-GB"/>
        </w:rPr>
      </w:pPr>
      <w:r w:rsidRPr="00244C61">
        <w:rPr>
          <w:rFonts w:cs="Calibri"/>
          <w:sz w:val="24"/>
          <w:szCs w:val="24"/>
          <w:lang w:val="en-GB"/>
        </w:rPr>
        <w:t>Public reference lab (e.g. state, provincial or national lab)</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Which HEV diagnostic tests does ‘your laboratory’ (defined as the highest level lab that is engaged in the care of the patient) have the capacity to conduct? (more than one may apply):</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 xml:space="preserve">HEV IgG </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 xml:space="preserve">HEV IgM </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 xml:space="preserve">HEV RNA </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If your laboratory may tests HEV antibodies, what is the HEV serology assay that you use at present time? (text)</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proofErr w:type="spellStart"/>
      <w:r w:rsidRPr="00244C61">
        <w:rPr>
          <w:rFonts w:cs="Calibri"/>
          <w:sz w:val="24"/>
          <w:szCs w:val="24"/>
          <w:lang w:val="en-GB"/>
        </w:rPr>
        <w:t>Wantai</w:t>
      </w:r>
      <w:proofErr w:type="spellEnd"/>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Dia.pro</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proofErr w:type="spellStart"/>
      <w:r w:rsidRPr="00244C61">
        <w:rPr>
          <w:rFonts w:cs="Calibri"/>
          <w:sz w:val="24"/>
          <w:szCs w:val="24"/>
          <w:lang w:val="en-GB"/>
        </w:rPr>
        <w:t>Mikrogen</w:t>
      </w:r>
      <w:proofErr w:type="spellEnd"/>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Other (please specify)</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If your laboratory may tests HEV antibodies, did your laboratory change HEV serology assay in recent years? (yes/no; if yes, specify the year and previous HEV assay) (text)</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 xml:space="preserve">If your laboratory is able to test HEV-RNA, what is the molecular HEV assay that you use at present time? </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i/>
          <w:sz w:val="24"/>
          <w:szCs w:val="24"/>
          <w:lang w:val="en-GB"/>
        </w:rPr>
        <w:lastRenderedPageBreak/>
        <w:t>in-house</w:t>
      </w:r>
      <w:r w:rsidRPr="00244C61">
        <w:rPr>
          <w:rFonts w:cs="Calibri"/>
          <w:sz w:val="24"/>
          <w:szCs w:val="24"/>
          <w:lang w:val="en-GB"/>
        </w:rPr>
        <w:t xml:space="preserve"> assay</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commercially available assay (please specify):</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If your laboratory is able to test HEV-RNA, did your laboratory change molecular HEV assay in recent years? (yes/no; if yes, specify the year and previous HEV assay)</w:t>
      </w:r>
    </w:p>
    <w:p w:rsidR="00223DCF" w:rsidRPr="00244C61" w:rsidRDefault="00223DCF" w:rsidP="00223DCF">
      <w:pPr>
        <w:pStyle w:val="Elencoacolori-Colore11"/>
        <w:numPr>
          <w:ilvl w:val="0"/>
          <w:numId w:val="1"/>
        </w:numPr>
        <w:spacing w:after="160" w:line="360" w:lineRule="auto"/>
        <w:jc w:val="both"/>
        <w:rPr>
          <w:rFonts w:cs="Calibri"/>
          <w:sz w:val="24"/>
          <w:szCs w:val="24"/>
          <w:lang w:val="en-GB"/>
        </w:rPr>
      </w:pPr>
      <w:r w:rsidRPr="00244C61">
        <w:rPr>
          <w:rFonts w:cs="Calibri"/>
          <w:sz w:val="24"/>
          <w:szCs w:val="24"/>
          <w:lang w:val="en-GB"/>
        </w:rPr>
        <w:t xml:space="preserve">What type of samples can be </w:t>
      </w:r>
      <w:r w:rsidRPr="00244C61">
        <w:rPr>
          <w:rFonts w:cs="Calibri"/>
          <w:b/>
          <w:sz w:val="24"/>
          <w:szCs w:val="24"/>
          <w:lang w:val="en-GB"/>
        </w:rPr>
        <w:t>potentially</w:t>
      </w:r>
      <w:r w:rsidRPr="00244C61">
        <w:rPr>
          <w:rFonts w:cs="Calibri"/>
          <w:sz w:val="24"/>
          <w:szCs w:val="24"/>
          <w:lang w:val="en-GB"/>
        </w:rPr>
        <w:t xml:space="preserve"> tested for HEV at your site using molecular assays? </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Blood (plasma, serum, whole blood)</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Stools</w:t>
      </w:r>
    </w:p>
    <w:p w:rsidR="00223DCF" w:rsidRPr="00244C61" w:rsidRDefault="00223DCF" w:rsidP="00223DCF">
      <w:pPr>
        <w:pStyle w:val="Elencoacolori-Colore11"/>
        <w:numPr>
          <w:ilvl w:val="1"/>
          <w:numId w:val="1"/>
        </w:numPr>
        <w:spacing w:after="160" w:line="360" w:lineRule="auto"/>
        <w:jc w:val="both"/>
        <w:rPr>
          <w:rFonts w:cs="Calibri"/>
          <w:sz w:val="24"/>
          <w:szCs w:val="24"/>
          <w:lang w:val="en-GB"/>
        </w:rPr>
      </w:pPr>
      <w:r w:rsidRPr="00244C61">
        <w:rPr>
          <w:rFonts w:cs="Calibri"/>
          <w:sz w:val="24"/>
          <w:szCs w:val="24"/>
          <w:lang w:val="en-GB"/>
        </w:rPr>
        <w:t>Other (please specify)</w:t>
      </w:r>
    </w:p>
    <w:p w:rsidR="00505291" w:rsidRDefault="00505291">
      <w:bookmarkStart w:id="0" w:name="_GoBack"/>
      <w:bookmarkEnd w:id="0"/>
    </w:p>
    <w:sectPr w:rsidR="00505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42BD"/>
    <w:multiLevelType w:val="hybridMultilevel"/>
    <w:tmpl w:val="2B747A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F57050"/>
    <w:multiLevelType w:val="hybridMultilevel"/>
    <w:tmpl w:val="EBC81A68"/>
    <w:lvl w:ilvl="0" w:tplc="0410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CF"/>
    <w:rsid w:val="00223DCF"/>
    <w:rsid w:val="00505291"/>
    <w:rsid w:val="00B57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DC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22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DC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22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Ambra Nicolini</dc:creator>
  <cp:lastModifiedBy>Laura Ambra Nicolini</cp:lastModifiedBy>
  <cp:revision>1</cp:revision>
  <dcterms:created xsi:type="dcterms:W3CDTF">2020-06-26T10:57:00Z</dcterms:created>
  <dcterms:modified xsi:type="dcterms:W3CDTF">2020-06-26T10:57:00Z</dcterms:modified>
</cp:coreProperties>
</file>