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C23FA" w14:textId="6327255E" w:rsidR="00231C4D" w:rsidRDefault="00901762" w:rsidP="00901762">
      <w:pPr>
        <w:pStyle w:val="BodyText"/>
        <w:rPr>
          <w:rFonts w:ascii="Arial" w:hAnsi="Arial" w:cs="Arial"/>
          <w:b/>
        </w:rPr>
      </w:pPr>
      <w:bookmarkStart w:id="0" w:name="supplement"/>
      <w:bookmarkEnd w:id="0"/>
      <w:r>
        <w:rPr>
          <w:rFonts w:ascii="Arial" w:hAnsi="Arial" w:cs="Arial"/>
          <w:b/>
        </w:rPr>
        <w:t>SUPPLEMENT</w:t>
      </w:r>
    </w:p>
    <w:p w14:paraId="6FD1657B" w14:textId="66F36C1F" w:rsidR="0098069F" w:rsidRDefault="0098069F" w:rsidP="00901762">
      <w:pPr>
        <w:pStyle w:val="BodyText"/>
        <w:rPr>
          <w:rFonts w:ascii="Arial" w:hAnsi="Arial" w:cs="Arial"/>
          <w:b/>
        </w:rPr>
      </w:pPr>
      <w:r>
        <w:rPr>
          <w:rFonts w:ascii="Arial" w:hAnsi="Arial" w:cs="Arial"/>
          <w:b/>
        </w:rPr>
        <w:t>Supplemental Methods</w:t>
      </w:r>
    </w:p>
    <w:p w14:paraId="2965C786" w14:textId="6CAFE707" w:rsidR="00D77C7C" w:rsidRPr="00D77C7C" w:rsidRDefault="008374BB" w:rsidP="00D77C7C">
      <w:pPr>
        <w:pStyle w:val="BodyText"/>
        <w:rPr>
          <w:rFonts w:ascii="Arial" w:hAnsi="Arial" w:cs="Arial"/>
        </w:rPr>
      </w:pPr>
      <w:r>
        <w:rPr>
          <w:rFonts w:ascii="Arial" w:hAnsi="Arial" w:cs="Arial"/>
        </w:rPr>
        <w:t>We used a</w:t>
      </w:r>
      <w:r w:rsidRPr="00A50D49">
        <w:rPr>
          <w:rFonts w:ascii="Arial" w:hAnsi="Arial" w:cs="Arial"/>
        </w:rPr>
        <w:t xml:space="preserve"> model, adapted from Shioda et al., </w:t>
      </w:r>
      <w:r>
        <w:rPr>
          <w:rFonts w:ascii="Arial" w:hAnsi="Arial" w:cs="Arial"/>
        </w:rPr>
        <w:t>to estimate</w:t>
      </w:r>
      <w:r w:rsidRPr="00A50D49">
        <w:rPr>
          <w:rFonts w:ascii="Arial" w:hAnsi="Arial" w:cs="Arial"/>
        </w:rPr>
        <w:t xml:space="preserve"> </w:t>
      </w:r>
      <w:r w:rsidR="003C6D6C">
        <w:rPr>
          <w:rFonts w:ascii="Arial" w:hAnsi="Arial" w:cs="Arial"/>
        </w:rPr>
        <w:t xml:space="preserve">the true </w:t>
      </w:r>
      <w:r w:rsidRPr="00A50D49">
        <w:rPr>
          <w:rFonts w:ascii="Arial" w:hAnsi="Arial" w:cs="Arial"/>
        </w:rPr>
        <w:t>cumulative incidence of infection</w:t>
      </w:r>
      <w:r w:rsidR="003C6D6C">
        <w:rPr>
          <w:rFonts w:ascii="Arial" w:hAnsi="Arial" w:cs="Arial"/>
        </w:rPr>
        <w:t xml:space="preserve"> using COVID-19 case data reported to the </w:t>
      </w:r>
      <w:r w:rsidR="003C6D6C" w:rsidRPr="00A50D49">
        <w:rPr>
          <w:rFonts w:ascii="Arial" w:hAnsi="Arial" w:cs="Arial"/>
        </w:rPr>
        <w:t>Michigan Disease Surveillance System (MDSS)</w:t>
      </w:r>
      <w:r w:rsidRPr="00A50D49">
        <w:rPr>
          <w:rFonts w:ascii="Arial" w:hAnsi="Arial" w:cs="Arial"/>
        </w:rPr>
        <w:t xml:space="preserve"> </w:t>
      </w:r>
      <w:r>
        <w:rPr>
          <w:rFonts w:ascii="Arial" w:hAnsi="Arial" w:cs="Arial"/>
        </w:rPr>
        <w:t xml:space="preserve">and Michigan seroprevalence data </w:t>
      </w:r>
      <w:r w:rsidRPr="00A50D49">
        <w:rPr>
          <w:rFonts w:ascii="Arial" w:hAnsi="Arial" w:cs="Arial"/>
        </w:rPr>
        <w:t>from the CDC's Nationwide Comme</w:t>
      </w:r>
      <w:r>
        <w:rPr>
          <w:rFonts w:ascii="Arial" w:hAnsi="Arial" w:cs="Arial"/>
        </w:rPr>
        <w:t xml:space="preserve">rcial Lab Seroprevalence study </w:t>
      </w:r>
      <w:r w:rsidRPr="00A50D49">
        <w:rPr>
          <w:rFonts w:ascii="Arial" w:hAnsi="Arial" w:cs="Arial"/>
        </w:rPr>
        <w:t>while accoun</w:t>
      </w:r>
      <w:r>
        <w:rPr>
          <w:rFonts w:ascii="Arial" w:hAnsi="Arial" w:cs="Arial"/>
        </w:rPr>
        <w:t>ting for waning</w:t>
      </w:r>
      <w:r>
        <w:rPr>
          <w:rFonts w:ascii="Arial" w:hAnsi="Arial" w:cs="Arial"/>
        </w:rPr>
        <w:t xml:space="preserve"> antibody</w:t>
      </w:r>
      <w:r w:rsidR="003C6D6C">
        <w:rPr>
          <w:rFonts w:ascii="Arial" w:hAnsi="Arial" w:cs="Arial"/>
        </w:rPr>
        <w:fldChar w:fldCharType="begin"/>
      </w:r>
      <w:r w:rsidR="003C6D6C">
        <w:rPr>
          <w:rFonts w:ascii="Arial" w:hAnsi="Arial" w:cs="Arial"/>
        </w:rPr>
        <w:instrText xml:space="preserve"> ADDIN ZOTERO_ITEM CSL_CITATION {"citationID":"hzs6kGxA","properties":{"formattedCitation":"\\super 1,2\\nosupersub{}","plainCitation":"1,2","noteIndex":0},"citationItems":[{"id":67,"uris":["http://zotero.org/users/local/oO4pBAxT/items/S34EIF6A"],"itemData":{"id":67,"type":"article-journal","abstract":"BACKGROUND: Serology tests can identify previous infections and facilitate estimation of the number of total infections. However, immunoglobulins targeting severe acute respiratory syndrome coronavirus 2 (SARS-CoV-2) have been reported to wane below the detectable level of serologic assays (which is not necessarily equivalent to the duration of protective immunity). We estimate the cumulative incidence of SARS-CoV-2 infection from serology studies, accounting for expected levels of antibody acquisition (seroconversion) and waning (seroreversion), and apply this framework using data from New York City and Connecticut.\nMETHODS: We estimated time from seroconversion to seroreversion and infection fatality ratio (IFR) using mortality data from March to October 2020 and population-level cross-sectional seroprevalence data from April to August 2020 in New York City and Connecticut. We then estimated the daily seroprevalence and cumulative incidence of SARS-CoV-2 infection.\nRESULTS: The estimated average time from seroconversion to seroreversion was 3-4 months. The estimated IFR was 1.1% (95% credible interval, 1.0%, 1.2%) in New York City and 1.4% (1.1, 1.7%) in Connecticut. The estimated daily seroprevalence declined after a peak in the spring. The estimated cumulative incidence reached 26.8% (24.2%, 29.7%) at the end of September in New York City and 8.8% (7.1%, 11.3%) in Connecticut, higher than maximum seroprevalence measures (22.1% and 6.1%), respectively.\nCONCLUSIONS: The cumulative incidence of SARS-CoV-2 infection is underestimated using cross-sectional serology data without adjustment for waning antibodies. Our approach can help quantify the magnitude of underestimation and adjust estimates for waning antibodies.","container-title":"Epidemiology (Cambridge, Mass.)","DOI":"10.1097/EDE.0000000000001361","ISSN":"1531-5487","issue":"4","journalAbbreviation":"Epidemiology","language":"eng","note":"PMID: 33935138\nPMCID: PMC8162228","page":"518-524","source":"PubMed","title":"Estimating the Cumulative Incidence of SARS-CoV-2 Infection and the Infection Fatality Ratio in Light of Waning Antibodies","volume":"32","author":[{"family":"Shioda","given":"Kayoko"},{"family":"Lau","given":"Max S. Y."},{"family":"Kraay","given":"Alicia N. M."},{"family":"Nelson","given":"Kristin N."},{"family":"Siegler","given":"Aaron J."},{"family":"Sullivan","given":"Patrick S."},{"family":"Collins","given":"Matthew H."},{"family":"Weitz","given":"Joshua S."},{"family":"Lopman","given":"Benjamin A."}],"issued":{"date-parts":[["2021",7,1]]}}},{"id":72,"uris":["http://zotero.org/users/local/oO4pBAxT/items/CBNIUA6E"],"itemData":{"id":72,"type":"webpage","abstract":"CDC’s home for COVID-19 data. Visualizations, graphs, and data in one easy-to-use website.","container-title":"Centers for Disease Control and Prevention","language":"en","title":"Nationwide COVID-19 Infection-Induced Antibody Seroprevalence (Commercial laboratories)","URL":"https://covid.cdc.gov/covid-data-tracker/#national-lab","author":[{"literal":"Centers for Disease Control and Prevention"}],"accessed":{"date-parts":[["2022",2,14]]},"issued":{"date-parts":[["2020",3,28]]}}}],"schema":"https://github.com/citation-style-language/schema/raw/master/csl-citation.json"} </w:instrText>
      </w:r>
      <w:r w:rsidR="003C6D6C">
        <w:rPr>
          <w:rFonts w:ascii="Arial" w:hAnsi="Arial" w:cs="Arial"/>
        </w:rPr>
        <w:fldChar w:fldCharType="separate"/>
      </w:r>
      <w:r w:rsidR="003C6D6C" w:rsidRPr="003C6D6C">
        <w:rPr>
          <w:rFonts w:ascii="Arial" w:hAnsi="Arial" w:cs="Arial"/>
          <w:vertAlign w:val="superscript"/>
        </w:rPr>
        <w:t>1,2</w:t>
      </w:r>
      <w:r w:rsidR="003C6D6C">
        <w:rPr>
          <w:rFonts w:ascii="Arial" w:hAnsi="Arial" w:cs="Arial"/>
        </w:rPr>
        <w:fldChar w:fldCharType="end"/>
      </w:r>
      <w:r>
        <w:rPr>
          <w:rFonts w:ascii="Arial" w:hAnsi="Arial" w:cs="Arial"/>
        </w:rPr>
        <w:t xml:space="preserve">. Shioda et al. assumed a constant infection fatality ratio over their period of observation, and used the model to estimate this parameter in order to calculate the true number of infections given observed numbers of cases and deaths. </w:t>
      </w:r>
      <w:r w:rsidR="00FB3DB9">
        <w:rPr>
          <w:rFonts w:ascii="Arial" w:hAnsi="Arial" w:cs="Arial"/>
        </w:rPr>
        <w:t>We modified the model to estimate 5</w:t>
      </w:r>
      <w:r w:rsidR="00FB3DB9">
        <w:rPr>
          <w:rFonts w:ascii="Arial" w:hAnsi="Arial" w:cs="Arial"/>
        </w:rPr>
        <w:t xml:space="preserve"> period-specific scaling parameters (ρ</w:t>
      </w:r>
      <w:r w:rsidR="00FB3DB9" w:rsidRPr="0074547F">
        <w:rPr>
          <w:rFonts w:ascii="Arial" w:hAnsi="Arial" w:cs="Arial"/>
          <w:vertAlign w:val="subscript"/>
        </w:rPr>
        <w:t>1</w:t>
      </w:r>
      <w:r w:rsidR="00FB3DB9">
        <w:rPr>
          <w:rFonts w:ascii="Arial" w:hAnsi="Arial" w:cs="Arial"/>
        </w:rPr>
        <w:t xml:space="preserve"> – ρ</w:t>
      </w:r>
      <w:r w:rsidR="00FB3DB9" w:rsidRPr="0074547F">
        <w:rPr>
          <w:rFonts w:ascii="Arial" w:hAnsi="Arial" w:cs="Arial"/>
          <w:vertAlign w:val="subscript"/>
        </w:rPr>
        <w:t>5</w:t>
      </w:r>
      <w:r w:rsidR="00FB3DB9">
        <w:rPr>
          <w:rFonts w:ascii="Arial" w:hAnsi="Arial" w:cs="Arial"/>
        </w:rPr>
        <w:t>)</w:t>
      </w:r>
      <w:r w:rsidR="00FB3DB9">
        <w:rPr>
          <w:rFonts w:ascii="Arial" w:hAnsi="Arial" w:cs="Arial"/>
        </w:rPr>
        <w:t xml:space="preserve"> that could be used to directly multiply observed case reports and allow infection fatality ratios to vary over time. </w:t>
      </w:r>
      <w:r w:rsidR="008B775E">
        <w:rPr>
          <w:rFonts w:ascii="Arial" w:hAnsi="Arial" w:cs="Arial"/>
        </w:rPr>
        <w:t>Scaling</w:t>
      </w:r>
      <w:r w:rsidR="00D77C7C">
        <w:rPr>
          <w:rFonts w:ascii="Arial" w:hAnsi="Arial" w:cs="Arial"/>
        </w:rPr>
        <w:t xml:space="preserve"> </w:t>
      </w:r>
      <w:r w:rsidR="00692071">
        <w:rPr>
          <w:rFonts w:ascii="Arial" w:hAnsi="Arial" w:cs="Arial"/>
        </w:rPr>
        <w:t>parameters were</w:t>
      </w:r>
      <w:r w:rsidR="00D77C7C">
        <w:rPr>
          <w:rFonts w:ascii="Arial" w:hAnsi="Arial" w:cs="Arial"/>
        </w:rPr>
        <w:t xml:space="preserve"> estimate</w:t>
      </w:r>
      <w:r w:rsidR="00692071">
        <w:rPr>
          <w:rFonts w:ascii="Arial" w:hAnsi="Arial" w:cs="Arial"/>
        </w:rPr>
        <w:t>d</w:t>
      </w:r>
      <w:r w:rsidR="00D77C7C">
        <w:rPr>
          <w:rFonts w:ascii="Arial" w:hAnsi="Arial" w:cs="Arial"/>
        </w:rPr>
        <w:t xml:space="preserve"> for the </w:t>
      </w:r>
      <w:r w:rsidR="00692071">
        <w:rPr>
          <w:rFonts w:ascii="Arial" w:hAnsi="Arial" w:cs="Arial"/>
        </w:rPr>
        <w:t>following periods: from March</w:t>
      </w:r>
      <w:r w:rsidR="003C6D6C">
        <w:rPr>
          <w:rFonts w:ascii="Arial" w:hAnsi="Arial" w:cs="Arial"/>
        </w:rPr>
        <w:t xml:space="preserve"> </w:t>
      </w:r>
      <w:r w:rsidR="00692071">
        <w:rPr>
          <w:rFonts w:ascii="Arial" w:hAnsi="Arial" w:cs="Arial"/>
        </w:rPr>
        <w:t xml:space="preserve">1 to </w:t>
      </w:r>
      <w:r w:rsidR="00D77C7C">
        <w:rPr>
          <w:rFonts w:ascii="Arial" w:hAnsi="Arial" w:cs="Arial"/>
        </w:rPr>
        <w:t>June 1, 2020</w:t>
      </w:r>
      <w:r w:rsidR="00692071">
        <w:rPr>
          <w:rFonts w:ascii="Arial" w:hAnsi="Arial" w:cs="Arial"/>
        </w:rPr>
        <w:t xml:space="preserve"> (ρ</w:t>
      </w:r>
      <w:r w:rsidR="00692071" w:rsidRPr="0074547F">
        <w:rPr>
          <w:rFonts w:ascii="Arial" w:hAnsi="Arial" w:cs="Arial"/>
          <w:vertAlign w:val="subscript"/>
        </w:rPr>
        <w:t>1</w:t>
      </w:r>
      <w:r w:rsidR="00692071">
        <w:rPr>
          <w:rFonts w:ascii="Arial" w:hAnsi="Arial" w:cs="Arial"/>
        </w:rPr>
        <w:t>)</w:t>
      </w:r>
      <w:r w:rsidR="00D77C7C">
        <w:rPr>
          <w:rFonts w:ascii="Arial" w:hAnsi="Arial" w:cs="Arial"/>
        </w:rPr>
        <w:t>; from June 1 to September 30, 2020</w:t>
      </w:r>
      <w:r w:rsidR="00692071">
        <w:rPr>
          <w:rFonts w:ascii="Arial" w:hAnsi="Arial" w:cs="Arial"/>
        </w:rPr>
        <w:t>(ρ</w:t>
      </w:r>
      <w:r w:rsidR="00692071">
        <w:rPr>
          <w:rFonts w:ascii="Arial" w:hAnsi="Arial" w:cs="Arial"/>
          <w:vertAlign w:val="subscript"/>
        </w:rPr>
        <w:t>2</w:t>
      </w:r>
      <w:r w:rsidR="00692071">
        <w:rPr>
          <w:rFonts w:ascii="Arial" w:hAnsi="Arial" w:cs="Arial"/>
        </w:rPr>
        <w:t>)</w:t>
      </w:r>
      <w:r w:rsidR="00D77C7C">
        <w:rPr>
          <w:rFonts w:ascii="Arial" w:hAnsi="Arial" w:cs="Arial"/>
        </w:rPr>
        <w:t>; from October 1, 2020 to February 28, 2021</w:t>
      </w:r>
      <w:r w:rsidR="00692071">
        <w:rPr>
          <w:rFonts w:ascii="Arial" w:hAnsi="Arial" w:cs="Arial"/>
        </w:rPr>
        <w:t>(ρ</w:t>
      </w:r>
      <w:r w:rsidR="00692071">
        <w:rPr>
          <w:rFonts w:ascii="Arial" w:hAnsi="Arial" w:cs="Arial"/>
          <w:vertAlign w:val="subscript"/>
        </w:rPr>
        <w:t>3</w:t>
      </w:r>
      <w:r w:rsidR="00692071">
        <w:rPr>
          <w:rFonts w:ascii="Arial" w:hAnsi="Arial" w:cs="Arial"/>
        </w:rPr>
        <w:t>)</w:t>
      </w:r>
      <w:r w:rsidR="00D77C7C">
        <w:rPr>
          <w:rFonts w:ascii="Arial" w:hAnsi="Arial" w:cs="Arial"/>
        </w:rPr>
        <w:t>; from March 1 to May 31, 2021</w:t>
      </w:r>
      <w:r w:rsidR="00692071">
        <w:rPr>
          <w:rFonts w:ascii="Arial" w:hAnsi="Arial" w:cs="Arial"/>
        </w:rPr>
        <w:t xml:space="preserve"> (ρ</w:t>
      </w:r>
      <w:r w:rsidR="00692071">
        <w:rPr>
          <w:rFonts w:ascii="Arial" w:hAnsi="Arial" w:cs="Arial"/>
          <w:vertAlign w:val="subscript"/>
        </w:rPr>
        <w:t>4</w:t>
      </w:r>
      <w:r w:rsidR="00692071">
        <w:rPr>
          <w:rFonts w:ascii="Arial" w:hAnsi="Arial" w:cs="Arial"/>
        </w:rPr>
        <w:t>)</w:t>
      </w:r>
      <w:r w:rsidR="00D77C7C">
        <w:rPr>
          <w:rFonts w:ascii="Arial" w:hAnsi="Arial" w:cs="Arial"/>
        </w:rPr>
        <w:t xml:space="preserve">; and </w:t>
      </w:r>
      <w:r w:rsidR="00692071">
        <w:rPr>
          <w:rFonts w:ascii="Arial" w:hAnsi="Arial" w:cs="Arial"/>
        </w:rPr>
        <w:t xml:space="preserve">from June </w:t>
      </w:r>
      <w:r w:rsidR="00D77C7C">
        <w:rPr>
          <w:rFonts w:ascii="Arial" w:hAnsi="Arial" w:cs="Arial"/>
        </w:rPr>
        <w:t>1</w:t>
      </w:r>
      <w:r w:rsidR="00F83A75">
        <w:rPr>
          <w:rFonts w:ascii="Arial" w:hAnsi="Arial" w:cs="Arial"/>
        </w:rPr>
        <w:t xml:space="preserve"> to November 1</w:t>
      </w:r>
      <w:r w:rsidR="00692071">
        <w:rPr>
          <w:rFonts w:ascii="Arial" w:hAnsi="Arial" w:cs="Arial"/>
        </w:rPr>
        <w:t>3</w:t>
      </w:r>
      <w:r w:rsidR="00D77C7C">
        <w:rPr>
          <w:rFonts w:ascii="Arial" w:hAnsi="Arial" w:cs="Arial"/>
        </w:rPr>
        <w:t>, 2021</w:t>
      </w:r>
      <w:r w:rsidR="00692071">
        <w:rPr>
          <w:rFonts w:ascii="Arial" w:hAnsi="Arial" w:cs="Arial"/>
        </w:rPr>
        <w:t xml:space="preserve"> (ρ</w:t>
      </w:r>
      <w:r w:rsidR="00692071">
        <w:rPr>
          <w:rFonts w:ascii="Arial" w:hAnsi="Arial" w:cs="Arial"/>
          <w:vertAlign w:val="subscript"/>
        </w:rPr>
        <w:t>5</w:t>
      </w:r>
      <w:r w:rsidR="00692071">
        <w:rPr>
          <w:rFonts w:ascii="Arial" w:hAnsi="Arial" w:cs="Arial"/>
        </w:rPr>
        <w:t>)</w:t>
      </w:r>
      <w:r w:rsidR="00D77C7C">
        <w:rPr>
          <w:rFonts w:ascii="Arial" w:hAnsi="Arial" w:cs="Arial"/>
        </w:rPr>
        <w:t>.</w:t>
      </w:r>
    </w:p>
    <w:p w14:paraId="429A05E2" w14:textId="2E68F60C" w:rsidR="00D77C7C" w:rsidRDefault="00F83A75" w:rsidP="00901762">
      <w:pPr>
        <w:pStyle w:val="BodyText"/>
        <w:rPr>
          <w:rFonts w:ascii="Arial" w:hAnsi="Arial" w:cs="Arial"/>
        </w:rPr>
      </w:pPr>
      <w:r>
        <w:rPr>
          <w:rFonts w:ascii="Arial" w:hAnsi="Arial" w:cs="Arial"/>
        </w:rPr>
        <w:t>Following Shioda et al</w:t>
      </w:r>
      <w:r w:rsidR="008E4948">
        <w:rPr>
          <w:rFonts w:ascii="Arial" w:hAnsi="Arial" w:cs="Arial"/>
        </w:rPr>
        <w:t>.</w:t>
      </w:r>
      <w:r>
        <w:rPr>
          <w:rFonts w:ascii="Arial" w:hAnsi="Arial" w:cs="Arial"/>
        </w:rPr>
        <w:t>, we estimated the number of seropositive individuals</w:t>
      </w:r>
      <w:r w:rsidR="001B2110">
        <w:rPr>
          <w:rFonts w:ascii="Arial" w:hAnsi="Arial" w:cs="Arial"/>
        </w:rPr>
        <w:t xml:space="preserve"> (S</w:t>
      </w:r>
      <w:r w:rsidR="001B2110" w:rsidRPr="001B2110">
        <w:rPr>
          <w:rFonts w:ascii="Arial" w:hAnsi="Arial" w:cs="Arial"/>
          <w:vertAlign w:val="subscript"/>
        </w:rPr>
        <w:t>t</w:t>
      </w:r>
      <w:r w:rsidR="001B2110" w:rsidRPr="001B2110">
        <w:rPr>
          <w:rFonts w:ascii="Arial" w:hAnsi="Arial" w:cs="Arial"/>
        </w:rPr>
        <w:t>)</w:t>
      </w:r>
      <w:r>
        <w:rPr>
          <w:rFonts w:ascii="Arial" w:hAnsi="Arial" w:cs="Arial"/>
        </w:rPr>
        <w:t xml:space="preserve"> on each day of observation</w:t>
      </w:r>
      <w:r w:rsidR="008E4948">
        <w:rPr>
          <w:rFonts w:ascii="Arial" w:hAnsi="Arial" w:cs="Arial"/>
        </w:rPr>
        <w:t xml:space="preserve">, </w:t>
      </w:r>
      <m:oMath>
        <m:r>
          <w:rPr>
            <w:rFonts w:ascii="Cambria Math" w:hAnsi="Cambria Math" w:cs="Arial"/>
          </w:rPr>
          <m:t>t</m:t>
        </m:r>
      </m:oMath>
      <w:r w:rsidR="001B2110">
        <w:rPr>
          <w:rFonts w:ascii="Arial" w:hAnsi="Arial" w:cs="Arial"/>
        </w:rPr>
        <w:t xml:space="preserve">, </w:t>
      </w:r>
      <w:r w:rsidR="008E4948">
        <w:rPr>
          <w:rFonts w:ascii="Arial" w:hAnsi="Arial" w:cs="Arial"/>
        </w:rPr>
        <w:t xml:space="preserve">as the true number of infections with illness onset on each previous day, </w:t>
      </w:r>
      <m:oMath>
        <m:r>
          <w:rPr>
            <w:rFonts w:ascii="Cambria Math" w:hAnsi="Cambria Math" w:cs="Arial"/>
          </w:rPr>
          <m:t>k</m:t>
        </m:r>
      </m:oMath>
      <w:r w:rsidR="008E4948">
        <w:rPr>
          <w:rFonts w:ascii="Arial" w:hAnsi="Arial" w:cs="Arial"/>
        </w:rPr>
        <w:t xml:space="preserve">, multiplied by the probability that they are seropositive on day </w:t>
      </w:r>
      <m:oMath>
        <m:r>
          <w:rPr>
            <w:rFonts w:ascii="Cambria Math" w:hAnsi="Cambria Math" w:cs="Arial"/>
          </w:rPr>
          <m:t>t</m:t>
        </m:r>
      </m:oMath>
      <w:r w:rsidR="008E4948">
        <w:rPr>
          <w:rFonts w:ascii="Arial" w:hAnsi="Arial" w:cs="Arial"/>
        </w:rPr>
        <w:t xml:space="preserve">: </w:t>
      </w:r>
    </w:p>
    <w:p w14:paraId="22375A22" w14:textId="5DA00E5A" w:rsidR="001B2110" w:rsidRPr="008E4948" w:rsidRDefault="00CE1891" w:rsidP="00901762">
      <w:pPr>
        <w:pStyle w:val="BodyText"/>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k=1</m:t>
            </m:r>
          </m:sub>
          <m:sup>
            <m:r>
              <w:rPr>
                <w:rFonts w:ascii="Cambria Math" w:hAnsi="Cambria Math" w:cs="Arial"/>
              </w:rPr>
              <m:t>t-1</m:t>
            </m:r>
          </m:sup>
          <m:e>
            <m:sSub>
              <m:sSubPr>
                <m:ctrlPr>
                  <w:rPr>
                    <w:rFonts w:ascii="Cambria Math" w:hAnsi="Cambria Math" w:cs="Arial"/>
                    <w:i/>
                  </w:rPr>
                </m:ctrlPr>
              </m:sSubPr>
              <m:e>
                <m:r>
                  <w:rPr>
                    <w:rFonts w:ascii="Cambria Math" w:hAnsi="Cambria Math" w:cs="Arial"/>
                  </w:rPr>
                  <m:t>I</m:t>
                </m:r>
              </m:e>
              <m:sub>
                <m:r>
                  <w:rPr>
                    <w:rFonts w:ascii="Cambria Math" w:hAnsi="Cambria Math" w:cs="Arial"/>
                  </w:rPr>
                  <m:t>k</m:t>
                </m:r>
              </m:sub>
            </m:sSub>
          </m:e>
        </m:nary>
        <m:nary>
          <m:naryPr>
            <m:chr m:val="∑"/>
            <m:limLoc m:val="undOvr"/>
            <m:ctrlPr>
              <w:rPr>
                <w:rFonts w:ascii="Cambria Math" w:hAnsi="Cambria Math" w:cs="Arial"/>
                <w:i/>
              </w:rPr>
            </m:ctrlPr>
          </m:naryPr>
          <m:sub>
            <m:r>
              <w:rPr>
                <w:rFonts w:ascii="Cambria Math" w:hAnsi="Cambria Math" w:cs="Arial"/>
              </w:rPr>
              <m:t>y=1</m:t>
            </m:r>
          </m:sub>
          <m:sup>
            <m:r>
              <w:rPr>
                <w:rFonts w:ascii="Cambria Math" w:hAnsi="Cambria Math" w:cs="Arial"/>
              </w:rPr>
              <m:t>t-k</m:t>
            </m:r>
          </m:sup>
          <m:e>
            <m:d>
              <m:dPr>
                <m:begChr m:val="{"/>
                <m:endChr m:val="}"/>
                <m:ctrlPr>
                  <w:rPr>
                    <w:rFonts w:ascii="Cambria Math" w:hAnsi="Cambria Math" w:cs="Arial"/>
                    <w:i/>
                  </w:rPr>
                </m:ctrlPr>
              </m:dPr>
              <m:e>
                <m:r>
                  <w:rPr>
                    <w:rFonts w:ascii="Cambria Math" w:hAnsi="Cambria Math" w:cs="Arial"/>
                  </w:rPr>
                  <m:t>g</m:t>
                </m:r>
                <m:d>
                  <m:dPr>
                    <m:ctrlPr>
                      <w:rPr>
                        <w:rFonts w:ascii="Cambria Math" w:hAnsi="Cambria Math" w:cs="Arial"/>
                        <w:i/>
                      </w:rPr>
                    </m:ctrlPr>
                  </m:dPr>
                  <m:e>
                    <m:r>
                      <w:rPr>
                        <w:rFonts w:ascii="Cambria Math" w:hAnsi="Cambria Math" w:cs="Arial"/>
                      </w:rPr>
                      <m:t>y</m:t>
                    </m:r>
                  </m:e>
                </m:d>
                <m:r>
                  <w:rPr>
                    <w:rFonts w:ascii="Cambria Math" w:hAnsi="Cambria Math" w:cs="Arial"/>
                  </w:rPr>
                  <m:t>*</m:t>
                </m:r>
                <m:d>
                  <m:dPr>
                    <m:begChr m:val="["/>
                    <m:endChr m:val="]"/>
                    <m:ctrlPr>
                      <w:rPr>
                        <w:rFonts w:ascii="Cambria Math" w:hAnsi="Cambria Math" w:cs="Arial"/>
                        <w:i/>
                      </w:rPr>
                    </m:ctrlPr>
                  </m:dPr>
                  <m:e>
                    <m:r>
                      <w:rPr>
                        <w:rFonts w:ascii="Cambria Math" w:hAnsi="Cambria Math" w:cs="Arial"/>
                      </w:rPr>
                      <m:t>1-Z</m:t>
                    </m:r>
                    <m:d>
                      <m:dPr>
                        <m:ctrlPr>
                          <w:rPr>
                            <w:rFonts w:ascii="Cambria Math" w:hAnsi="Cambria Math" w:cs="Arial"/>
                            <w:i/>
                          </w:rPr>
                        </m:ctrlPr>
                      </m:dPr>
                      <m:e>
                        <m:r>
                          <w:rPr>
                            <w:rFonts w:ascii="Cambria Math" w:hAnsi="Cambria Math" w:cs="Arial"/>
                          </w:rPr>
                          <m:t>t-</m:t>
                        </m:r>
                        <m:d>
                          <m:dPr>
                            <m:ctrlPr>
                              <w:rPr>
                                <w:rFonts w:ascii="Cambria Math" w:hAnsi="Cambria Math" w:cs="Arial"/>
                                <w:i/>
                              </w:rPr>
                            </m:ctrlPr>
                          </m:dPr>
                          <m:e>
                            <m:r>
                              <w:rPr>
                                <w:rFonts w:ascii="Cambria Math" w:hAnsi="Cambria Math" w:cs="Arial"/>
                              </w:rPr>
                              <m:t>k+y</m:t>
                            </m:r>
                          </m:e>
                        </m:d>
                      </m:e>
                    </m:d>
                  </m:e>
                </m:d>
              </m:e>
            </m:d>
            <m:r>
              <w:rPr>
                <w:rFonts w:ascii="Cambria Math" w:hAnsi="Cambria Math" w:cs="Arial"/>
              </w:rPr>
              <m:t>,2≤t≤tmax,1≤k≤t-1</m:t>
            </m:r>
          </m:e>
        </m:nary>
      </m:oMath>
      <w:r w:rsidR="008E4948">
        <w:rPr>
          <w:rFonts w:ascii="Arial" w:eastAsiaTheme="minorEastAsia" w:hAnsi="Arial" w:cs="Arial"/>
        </w:rPr>
        <w:t>.</w:t>
      </w:r>
    </w:p>
    <w:p w14:paraId="07ABBE49" w14:textId="6A4AA89D" w:rsidR="00D77C7C" w:rsidRPr="008E4948" w:rsidRDefault="001B2110" w:rsidP="00901762">
      <w:pPr>
        <w:pStyle w:val="BodyText"/>
        <w:rPr>
          <w:rFonts w:ascii="Arial" w:hAnsi="Arial" w:cs="Arial"/>
          <w:highlight w:val="yellow"/>
        </w:rPr>
      </w:pPr>
      <w:r>
        <w:rPr>
          <w:rFonts w:ascii="Arial" w:hAnsi="Arial" w:cs="Arial"/>
        </w:rPr>
        <w:t xml:space="preserve">where </w:t>
      </w:r>
      <m:oMath>
        <m:sSub>
          <m:sSubPr>
            <m:ctrlPr>
              <w:rPr>
                <w:rFonts w:ascii="Cambria Math" w:hAnsi="Cambria Math" w:cs="Arial"/>
                <w:i/>
              </w:rPr>
            </m:ctrlPr>
          </m:sSubPr>
          <m:e>
            <m:r>
              <w:rPr>
                <w:rFonts w:ascii="Cambria Math" w:hAnsi="Cambria Math" w:cs="Arial"/>
              </w:rPr>
              <m:t>I</m:t>
            </m:r>
          </m:e>
          <m:sub>
            <m:r>
              <w:rPr>
                <w:rFonts w:ascii="Cambria Math" w:hAnsi="Cambria Math" w:cs="Arial"/>
              </w:rPr>
              <m:t>k</m:t>
            </m:r>
          </m:sub>
        </m:sSub>
      </m:oMath>
      <w:r w:rsidRPr="001B2110">
        <w:rPr>
          <w:rFonts w:ascii="Arial" w:eastAsiaTheme="minorEastAsia" w:hAnsi="Arial" w:cs="Arial"/>
        </w:rPr>
        <w:t xml:space="preserve"> </w:t>
      </w:r>
      <w:r>
        <w:rPr>
          <w:rFonts w:ascii="Arial" w:eastAsiaTheme="minorEastAsia" w:hAnsi="Arial" w:cs="Arial"/>
        </w:rPr>
        <w:t xml:space="preserve">is the true number of SARS-CoV-2 infections </w:t>
      </w:r>
      <w:r w:rsidR="008B775E">
        <w:rPr>
          <w:rFonts w:ascii="Arial" w:eastAsiaTheme="minorEastAsia" w:hAnsi="Arial" w:cs="Arial"/>
        </w:rPr>
        <w:t xml:space="preserve">on day </w:t>
      </w:r>
      <m:oMath>
        <m:r>
          <w:rPr>
            <w:rFonts w:ascii="Cambria Math" w:hAnsi="Cambria Math" w:cs="Arial"/>
          </w:rPr>
          <m:t>k</m:t>
        </m:r>
      </m:oMath>
      <w:r w:rsidR="008B775E">
        <w:rPr>
          <w:rFonts w:ascii="Arial" w:eastAsiaTheme="minorEastAsia" w:hAnsi="Arial" w:cs="Arial"/>
        </w:rPr>
        <w:t xml:space="preserve"> </w:t>
      </w:r>
      <w:r>
        <w:rPr>
          <w:rFonts w:ascii="Arial" w:eastAsiaTheme="minorEastAsia" w:hAnsi="Arial" w:cs="Arial"/>
        </w:rPr>
        <w:t xml:space="preserve">calculated as the observed number of confirmed infections reported to MDSS </w:t>
      </w:r>
      <w:r w:rsidR="008B775E">
        <w:rPr>
          <w:rFonts w:ascii="Arial" w:eastAsiaTheme="minorEastAsia" w:hAnsi="Arial" w:cs="Arial"/>
        </w:rPr>
        <w:t xml:space="preserve">with illness onset on day </w:t>
      </w:r>
      <m:oMath>
        <m:r>
          <w:rPr>
            <w:rFonts w:ascii="Cambria Math" w:hAnsi="Cambria Math" w:cs="Arial"/>
          </w:rPr>
          <m:t>k</m:t>
        </m:r>
      </m:oMath>
      <w:r w:rsidR="008B775E">
        <w:rPr>
          <w:rFonts w:ascii="Arial" w:eastAsiaTheme="minorEastAsia" w:hAnsi="Arial" w:cs="Arial"/>
        </w:rPr>
        <w:t xml:space="preserve"> </w:t>
      </w:r>
      <w:r>
        <w:rPr>
          <w:rFonts w:ascii="Arial" w:eastAsiaTheme="minorEastAsia" w:hAnsi="Arial" w:cs="Arial"/>
        </w:rPr>
        <w:t>multiplied by the period specific scaling parameter</w:t>
      </w:r>
      <w:r w:rsidR="008B775E">
        <w:rPr>
          <w:rFonts w:ascii="Arial" w:eastAsiaTheme="minorEastAsia" w:hAnsi="Arial" w:cs="Arial"/>
        </w:rPr>
        <w:t xml:space="preserve">. The probability that an individual infected on day </w:t>
      </w:r>
      <m:oMath>
        <m:r>
          <w:rPr>
            <w:rFonts w:ascii="Cambria Math" w:hAnsi="Cambria Math" w:cs="Arial"/>
          </w:rPr>
          <m:t>k</m:t>
        </m:r>
      </m:oMath>
      <w:r w:rsidR="008B775E">
        <w:rPr>
          <w:rFonts w:ascii="Arial" w:eastAsiaTheme="minorEastAsia" w:hAnsi="Arial" w:cs="Arial"/>
        </w:rPr>
        <w:t xml:space="preserve"> is seropositive on day </w:t>
      </w:r>
      <m:oMath>
        <m:r>
          <w:rPr>
            <w:rFonts w:ascii="Cambria Math" w:hAnsi="Cambria Math" w:cs="Arial"/>
          </w:rPr>
          <m:t>t</m:t>
        </m:r>
      </m:oMath>
      <w:r w:rsidR="008B775E">
        <w:rPr>
          <w:rFonts w:ascii="Arial" w:eastAsiaTheme="minorEastAsia" w:hAnsi="Arial" w:cs="Arial"/>
        </w:rPr>
        <w:t xml:space="preserve"> is specified by the second half of equation above: </w:t>
      </w:r>
      <m:oMath>
        <m:nary>
          <m:naryPr>
            <m:chr m:val="∑"/>
            <m:limLoc m:val="subSup"/>
            <m:ctrlPr>
              <w:rPr>
                <w:rFonts w:ascii="Cambria Math" w:hAnsi="Cambria Math" w:cs="Arial"/>
                <w:i/>
              </w:rPr>
            </m:ctrlPr>
          </m:naryPr>
          <m:sub>
            <m:r>
              <w:rPr>
                <w:rFonts w:ascii="Cambria Math" w:hAnsi="Cambria Math" w:cs="Arial"/>
              </w:rPr>
              <m:t>y=1</m:t>
            </m:r>
          </m:sub>
          <m:sup>
            <m:r>
              <w:rPr>
                <w:rFonts w:ascii="Cambria Math" w:hAnsi="Cambria Math" w:cs="Arial"/>
              </w:rPr>
              <m:t>t-k</m:t>
            </m:r>
          </m:sup>
          <m:e>
            <m:d>
              <m:dPr>
                <m:begChr m:val="{"/>
                <m:endChr m:val="}"/>
                <m:ctrlPr>
                  <w:rPr>
                    <w:rFonts w:ascii="Cambria Math" w:hAnsi="Cambria Math" w:cs="Arial"/>
                    <w:i/>
                  </w:rPr>
                </m:ctrlPr>
              </m:dPr>
              <m:e>
                <m:r>
                  <w:rPr>
                    <w:rFonts w:ascii="Cambria Math" w:hAnsi="Cambria Math" w:cs="Arial"/>
                  </w:rPr>
                  <m:t>g</m:t>
                </m:r>
                <m:d>
                  <m:dPr>
                    <m:ctrlPr>
                      <w:rPr>
                        <w:rFonts w:ascii="Cambria Math" w:hAnsi="Cambria Math" w:cs="Arial"/>
                        <w:i/>
                      </w:rPr>
                    </m:ctrlPr>
                  </m:dPr>
                  <m:e>
                    <m:r>
                      <w:rPr>
                        <w:rFonts w:ascii="Cambria Math" w:hAnsi="Cambria Math" w:cs="Arial"/>
                      </w:rPr>
                      <m:t>y</m:t>
                    </m:r>
                  </m:e>
                </m:d>
                <m:r>
                  <w:rPr>
                    <w:rFonts w:ascii="Cambria Math" w:hAnsi="Cambria Math" w:cs="Arial"/>
                  </w:rPr>
                  <m:t>*</m:t>
                </m:r>
                <m:d>
                  <m:dPr>
                    <m:begChr m:val="["/>
                    <m:endChr m:val="]"/>
                    <m:ctrlPr>
                      <w:rPr>
                        <w:rFonts w:ascii="Cambria Math" w:hAnsi="Cambria Math" w:cs="Arial"/>
                        <w:i/>
                      </w:rPr>
                    </m:ctrlPr>
                  </m:dPr>
                  <m:e>
                    <m:r>
                      <w:rPr>
                        <w:rFonts w:ascii="Cambria Math" w:hAnsi="Cambria Math" w:cs="Arial"/>
                      </w:rPr>
                      <m:t>1-Z</m:t>
                    </m:r>
                    <m:d>
                      <m:dPr>
                        <m:ctrlPr>
                          <w:rPr>
                            <w:rFonts w:ascii="Cambria Math" w:hAnsi="Cambria Math" w:cs="Arial"/>
                            <w:i/>
                          </w:rPr>
                        </m:ctrlPr>
                      </m:dPr>
                      <m:e>
                        <m:r>
                          <w:rPr>
                            <w:rFonts w:ascii="Cambria Math" w:hAnsi="Cambria Math" w:cs="Arial"/>
                          </w:rPr>
                          <m:t>t-</m:t>
                        </m:r>
                        <m:d>
                          <m:dPr>
                            <m:ctrlPr>
                              <w:rPr>
                                <w:rFonts w:ascii="Cambria Math" w:hAnsi="Cambria Math" w:cs="Arial"/>
                                <w:i/>
                              </w:rPr>
                            </m:ctrlPr>
                          </m:dPr>
                          <m:e>
                            <m:r>
                              <w:rPr>
                                <w:rFonts w:ascii="Cambria Math" w:hAnsi="Cambria Math" w:cs="Arial"/>
                              </w:rPr>
                              <m:t>k+y</m:t>
                            </m:r>
                          </m:e>
                        </m:d>
                      </m:e>
                    </m:d>
                  </m:e>
                </m:d>
              </m:e>
            </m:d>
          </m:e>
        </m:nary>
      </m:oMath>
      <w:r w:rsidR="008B775E">
        <w:rPr>
          <w:rFonts w:ascii="Arial" w:eastAsiaTheme="minorEastAsia" w:hAnsi="Arial" w:cs="Arial"/>
        </w:rPr>
        <w:t xml:space="preserve">. Where </w:t>
      </w:r>
      <m:oMath>
        <m:r>
          <w:rPr>
            <w:rFonts w:ascii="Cambria Math" w:hAnsi="Cambria Math" w:cs="Arial"/>
          </w:rPr>
          <m:t>g</m:t>
        </m:r>
      </m:oMath>
      <w:r w:rsidR="008B775E">
        <w:rPr>
          <w:rFonts w:ascii="Arial" w:eastAsiaTheme="minorEastAsia" w:hAnsi="Arial" w:cs="Arial"/>
        </w:rPr>
        <w:t xml:space="preserve"> is the </w:t>
      </w:r>
      <w:r w:rsidR="00671BD4">
        <w:rPr>
          <w:rFonts w:ascii="Arial" w:eastAsiaTheme="minorEastAsia" w:hAnsi="Arial" w:cs="Arial"/>
        </w:rPr>
        <w:t xml:space="preserve">probability density function of the Weibull distribution of </w:t>
      </w:r>
      <w:r w:rsidR="008B775E">
        <w:rPr>
          <w:rFonts w:ascii="Arial" w:eastAsiaTheme="minorEastAsia" w:hAnsi="Arial" w:cs="Arial"/>
        </w:rPr>
        <w:t xml:space="preserve">time from </w:t>
      </w:r>
      <w:r w:rsidR="00671BD4">
        <w:rPr>
          <w:rFonts w:ascii="Arial" w:eastAsiaTheme="minorEastAsia" w:hAnsi="Arial" w:cs="Arial"/>
        </w:rPr>
        <w:t>symptom onset</w:t>
      </w:r>
      <w:r w:rsidR="008B775E">
        <w:rPr>
          <w:rFonts w:ascii="Arial" w:eastAsiaTheme="minorEastAsia" w:hAnsi="Arial" w:cs="Arial"/>
        </w:rPr>
        <w:t xml:space="preserve"> to seroconversion</w:t>
      </w:r>
      <w:r w:rsidR="00671BD4">
        <w:rPr>
          <w:rFonts w:ascii="Arial" w:eastAsiaTheme="minorEastAsia" w:hAnsi="Arial" w:cs="Arial"/>
        </w:rPr>
        <w:t>. As in Shioda et al. we assumed this distribution had a mean of 11.5 days and standard deviation of 5.7 days</w:t>
      </w:r>
      <w:r w:rsidR="000457DC">
        <w:rPr>
          <w:rFonts w:ascii="Arial" w:eastAsiaTheme="minorEastAsia" w:hAnsi="Arial" w:cs="Arial"/>
        </w:rPr>
        <w:fldChar w:fldCharType="begin"/>
      </w:r>
      <w:r w:rsidR="000457DC">
        <w:rPr>
          <w:rFonts w:ascii="Arial" w:eastAsiaTheme="minorEastAsia" w:hAnsi="Arial" w:cs="Arial"/>
        </w:rPr>
        <w:instrText xml:space="preserve"> ADDIN ZOTERO_ITEM CSL_CITATION {"citationID":"u18EfwE8","properties":{"formattedCitation":"\\super 3\\nosupersub{}","plainCitation":"3","noteIndex":0},"citationItems":[{"id":73,"uris":["http://zotero.org/users/local/oO4pBAxT/items/BNBCW5DT"],"itemData":{"id":73,"type":"article-journal","abstract":"BACKGROUND: Characterizing the humoral immune response to SARS-CoV-2 and developing accurate serologic assays are needed for diagnostic purposes and estimating population-level seroprevalence.\nMETHODS: We measured the kinetics of early antibody responses to the receptor-binding domain (RBD) of the spike (S) protein of SARS-CoV-2 in a cohort of 259 symptomatic North American patients infected with SARS-CoV-2 (up to 75 days after symptom onset) compared to antibody levels in 1548 individuals whose blood samples were obtained prior to the pandemic.\nRESULTS: Between 14-28 days from onset of symptoms, IgG, IgA, or IgM antibody responses to RBD were all accurate in identifying recently infected individuals, with 100% specificity and a sensitivity of 97%, 91%, and 81% respectively. Although the estimated median time to becoming seropositive was similar across isotypes, IgA and IgM antibodies against RBD were short-lived with most individuals estimated to become seronegative again by 51 and 47 days after symptom onset, respectively. IgG antibodies against RBD lasted longer and persisted through 75 days post-symptoms. IgG antibodies to SARS-CoV-2 RBD were highly correlated with neutralizing antibodies targeting the S protein. No cross-reactivity of the SARS-CoV-2 RBD-targeted antibodies was observed with several known circulating coronaviruses, HKU1, OC 229 E, OC43, and NL63.\nCONCLUSIONS: Among symptomatic SARS-CoV-2 cases, RBD-targeted antibodies can be indicative of previous and recent infection. IgG antibodies are correlated with neutralizing antibodies and are possibly a correlate of protective immunity.","container-title":"medRxiv: The Preprint Server for Health Sciences","DOI":"10.1101/2020.07.18.20155374","journalAbbreviation":"medRxiv","language":"eng","note":"PMID: 32743600\nPMCID: PMC7386524","page":"2020.07.18.20155374","source":"PubMed","title":"Dynamics and significance of the antibody response to SARS-CoV-2 infection","author":[{"family":"Iyer","given":"Anita S."},{"family":"Jones","given":"Forrest K."},{"family":"Nodoushani","given":"Ariana"},{"family":"Kelly","given":"Meagan"},{"family":"Becker","given":"Margaret"},{"family":"Slater","given":"Damien"},{"family":"Mills","given":"Rachel"},{"family":"Teng","given":"Erica"},{"family":"Kamruzzaman","given":"Mohammad"},{"family":"Garcia-Beltran","given":"Wilfredo F."},{"family":"Astudillo","given":"Michael"},{"family":"Yang","given":"Diane"},{"family":"Miller","given":"Tyler E."},{"family":"Oliver","given":"Elizabeth"},{"family":"Fischinger","given":"Stephanie"},{"family":"Atyeo","given":"Caroline"},{"family":"Iafrate","given":"A. John"},{"family":"Calderwood","given":"Stephen B."},{"family":"Lauer","given":"Stephen A."},{"family":"Yu","given":"Jingyou"},{"family":"Li","given":"Zhenfeng"},{"family":"Feldman","given":"Jared"},{"family":"Hauser","given":"Blake M."},{"family":"Caradonna","given":"Timothy M."},{"family":"Branda","given":"John A."},{"family":"Turbett","given":"Sarah E."},{"family":"LaRocque","given":"Regina C."},{"family":"Mellon","given":"Guillaume"},{"family":"Barouch","given":"Dan H."},{"family":"Schmidt","given":"Aaron G."},{"family":"Azman","given":"Andrew S."},{"family":"Alter","given":"Galit"},{"family":"Ryan","given":"Edward T."},{"family":"Harris","given":"Jason B."},{"family":"Charles","given":"Richelle C."}],"issued":{"date-parts":[["2020",7,20]]}}}],"schema":"https://github.com/citation-style-language/schema/raw/master/csl-citation.json"} </w:instrText>
      </w:r>
      <w:r w:rsidR="000457DC">
        <w:rPr>
          <w:rFonts w:ascii="Arial" w:eastAsiaTheme="minorEastAsia" w:hAnsi="Arial" w:cs="Arial"/>
        </w:rPr>
        <w:fldChar w:fldCharType="separate"/>
      </w:r>
      <w:r w:rsidR="000457DC" w:rsidRPr="000457DC">
        <w:rPr>
          <w:rFonts w:ascii="Arial" w:hAnsi="Arial" w:cs="Arial"/>
          <w:vertAlign w:val="superscript"/>
        </w:rPr>
        <w:t>3</w:t>
      </w:r>
      <w:r w:rsidR="000457DC">
        <w:rPr>
          <w:rFonts w:ascii="Arial" w:eastAsiaTheme="minorEastAsia" w:hAnsi="Arial" w:cs="Arial"/>
        </w:rPr>
        <w:fldChar w:fldCharType="end"/>
      </w:r>
      <w:r w:rsidR="00671BD4">
        <w:rPr>
          <w:rFonts w:ascii="Arial" w:eastAsiaTheme="minorEastAsia" w:hAnsi="Arial" w:cs="Arial"/>
        </w:rPr>
        <w:t>.</w:t>
      </w:r>
      <w:r w:rsidR="009D20E9">
        <w:rPr>
          <w:rFonts w:ascii="Arial" w:eastAsiaTheme="minorEastAsia" w:hAnsi="Arial" w:cs="Arial"/>
        </w:rPr>
        <w:t xml:space="preserve"> </w:t>
      </w:r>
      <m:oMath>
        <m:r>
          <w:rPr>
            <w:rFonts w:ascii="Cambria Math" w:hAnsi="Cambria Math" w:cs="Arial"/>
          </w:rPr>
          <m:t>Z</m:t>
        </m:r>
      </m:oMath>
      <w:r w:rsidR="009D20E9">
        <w:rPr>
          <w:rFonts w:ascii="Arial" w:eastAsiaTheme="minorEastAsia" w:hAnsi="Arial" w:cs="Arial"/>
        </w:rPr>
        <w:t xml:space="preserve"> is the cumulative density function</w:t>
      </w:r>
      <w:r w:rsidR="009D20E9">
        <w:rPr>
          <w:rFonts w:ascii="Arial" w:eastAsiaTheme="minorEastAsia" w:hAnsi="Arial" w:cs="Arial"/>
        </w:rPr>
        <w:t xml:space="preserve"> of the Weibull distribution of time from seroconversion to seroreversion. </w:t>
      </w:r>
      <w:r w:rsidR="008E4948">
        <w:rPr>
          <w:rFonts w:ascii="Arial" w:eastAsiaTheme="minorEastAsia" w:hAnsi="Arial" w:cs="Arial"/>
        </w:rPr>
        <w:t xml:space="preserve">Shioda et al. estimated the </w:t>
      </w:r>
      <w:r w:rsidR="000457DC">
        <w:rPr>
          <w:rFonts w:ascii="Arial" w:eastAsiaTheme="minorEastAsia" w:hAnsi="Arial" w:cs="Arial"/>
        </w:rPr>
        <w:t xml:space="preserve">mean </w:t>
      </w:r>
      <w:r w:rsidR="008E4948">
        <w:rPr>
          <w:rFonts w:ascii="Arial" w:eastAsiaTheme="minorEastAsia" w:hAnsi="Arial" w:cs="Arial"/>
        </w:rPr>
        <w:t xml:space="preserve">time from seroconversion to seroreversion from their data, but we found we could not simultaneously estimate this parameter along with the period-specific scaling parameters due to identifiability issues. </w:t>
      </w:r>
      <w:r w:rsidR="008E4948">
        <w:rPr>
          <w:rFonts w:ascii="Arial" w:hAnsi="Arial" w:cs="Arial"/>
        </w:rPr>
        <w:t>Instead, w</w:t>
      </w:r>
      <w:r w:rsidR="009D20E9" w:rsidRPr="00A50D49">
        <w:rPr>
          <w:rFonts w:ascii="Arial" w:hAnsi="Arial" w:cs="Arial"/>
        </w:rPr>
        <w:t xml:space="preserve">e </w:t>
      </w:r>
      <w:r w:rsidR="008E4948">
        <w:rPr>
          <w:rFonts w:ascii="Arial" w:hAnsi="Arial" w:cs="Arial"/>
        </w:rPr>
        <w:t xml:space="preserve">separately </w:t>
      </w:r>
      <w:r w:rsidR="009D20E9">
        <w:rPr>
          <w:rFonts w:ascii="Arial" w:hAnsi="Arial" w:cs="Arial"/>
        </w:rPr>
        <w:t>estimated</w:t>
      </w:r>
      <w:r w:rsidR="009D20E9" w:rsidRPr="00A50D49">
        <w:rPr>
          <w:rFonts w:ascii="Arial" w:hAnsi="Arial" w:cs="Arial"/>
        </w:rPr>
        <w:t xml:space="preserve"> the average time from seroconversion to seroreversion </w:t>
      </w:r>
      <w:r w:rsidR="009D20E9">
        <w:rPr>
          <w:rFonts w:ascii="Arial" w:hAnsi="Arial" w:cs="Arial"/>
        </w:rPr>
        <w:t>to have a</w:t>
      </w:r>
      <w:r w:rsidR="009D20E9" w:rsidRPr="00A50D49">
        <w:rPr>
          <w:rFonts w:ascii="Arial" w:hAnsi="Arial" w:cs="Arial"/>
        </w:rPr>
        <w:t xml:space="preserve"> mean 229.7 days (7.6 months) and SD 105.3 days by fitting a Weibull distribution, using a weighted least squares method, to published data on the duration of seropositivity measured by the Abbott ARCHITECT SARS-CoV-2</w:t>
      </w:r>
      <w:r w:rsidR="009D20E9">
        <w:rPr>
          <w:rFonts w:ascii="Arial" w:hAnsi="Arial" w:cs="Arial"/>
        </w:rPr>
        <w:t xml:space="preserve"> anti-</w:t>
      </w:r>
      <w:r w:rsidR="009D20E9" w:rsidRPr="00A50D49">
        <w:rPr>
          <w:rFonts w:ascii="Arial" w:hAnsi="Arial" w:cs="Arial"/>
        </w:rPr>
        <w:t xml:space="preserve">nucleocapsid IgG immunoassay </w:t>
      </w:r>
      <w:r w:rsidR="009D20E9">
        <w:rPr>
          <w:rFonts w:ascii="Arial" w:hAnsi="Arial" w:cs="Arial"/>
        </w:rPr>
        <w:t>(Supplemental Figure 2)</w:t>
      </w:r>
      <w:r w:rsidR="003C6D6C">
        <w:rPr>
          <w:rFonts w:ascii="Arial" w:hAnsi="Arial" w:cs="Arial"/>
        </w:rPr>
        <w:fldChar w:fldCharType="begin"/>
      </w:r>
      <w:r w:rsidR="000457DC">
        <w:rPr>
          <w:rFonts w:ascii="Arial" w:hAnsi="Arial" w:cs="Arial"/>
        </w:rPr>
        <w:instrText xml:space="preserve"> ADDIN ZOTERO_ITEM CSL_CITATION {"citationID":"HpAa2Poe","properties":{"formattedCitation":"\\super 4,5\\nosupersub{}","plainCitation":"4,5","noteIndex":0},"citationItems":[{"id":76,"uris":["http://zotero.org/users/local/oO4pBAxT/items/7TTUH3FP"],"itemData":{"id":76,"type":"article-journal","abstract":"BACKGROUND: Antibody testing has recently emerged as an option to assist with determining exposure to SARS-CoV-2, the causative agent of COVID-19. Elucidation of the kinetics and duration of the humoral response is important for clinical management and interpreting results from serological surveys.\nOBJECTIVES: Here we evaluated the clinical performance of Abbott SARS-CoV-2 IgM and IgG assays, as well as the longitudinal dynamics of the antibody response in symptomatic COVID-19 patients.\nSTUDY DESIGN AND RESULTS: The diagnostic specificity was 100 % for IgM and 99.67 % for IgG using 300 pre-COVID-19 serum specimens. Using 1349 sequential serum samples collected up to 168 days post symptom onset from 427 PCR-confirmed individuals, clinical test sensitivity of the SARS-CoV-2 IgM assay was 24.6 % at ≤7 days, 75.3 % at 8-14 days, 95.0 % at 15-21 days, and 96.0 % at 4-5 weeks (peak test sensitivity). The median duration of time for IgM seroconversion was 10 days. IgM levels declined steadily 4-5 weeks after symptom onset, and the positive rate dropped to 30.8 % at &gt;3 months. The diagnostic sensitivity for the SARS-CoV-2 IgG assay post symptom onset was 23.2 % at ≤7 days, 69.5 % at 8-14 days, 93.6 % at 15-21 days, and 99.6 % at 4-5 weeks (peak test sensitivity). The median duration of time for IgG seroconversion was 11.5 days. During the convalescent phase of the infection, a decline in the IgG level was observed in patients who were followed for &gt;100 days. Despite that decline, 92.3 % of the patient cohort remained IgG positive 3-6 months following symptom onset.\nCONCLUSIONS: This study demonstrates the Abbott IgM assay against SARS-CoV-2 is detected slightly earlier compared to IgG, with both tests exhibiting excellent overall sensitivity and specificity. In symptomatic patients who test negative by PCR for a SARS-CoV-2 infection, assessing IgM and IgG antibodies can aid in supporting a diagnosis of COVID-19.","container-title":"Journal of Clinical Virology: The Official Publication of the Pan American Society for Clinical Virology","DOI":"10.1016/j.jcv.2020.104663","ISSN":"1873-5967","journalAbbreviation":"J Clin Virol","language":"eng","note":"PMID: 33161369\nPMCID: PMC7590643","page":"104663","source":"PubMed","title":"Longitudinal characterization of the IgM and IgG humoral response in symptomatic COVID-19 patients using the Abbott Architect","volume":"133","author":[{"family":"Maine","given":"Gabriel N."},{"family":"Lao","given":"Kriselle Maris"},{"family":"Krishnan","given":"Subhashree Mallika"},{"family":"Afolayan-Oloye","given":"Olabisi"},{"family":"Fatemi","given":"Seyedalireza"},{"family":"Kumar","given":"Sandeep"},{"family":"VanHorn","given":"Lindsay"},{"family":"Hurand","given":"Ashley"},{"family":"Sykes","given":"Elizabeth"},{"family":"Sun","given":"Qian"}],"issued":{"date-parts":[["2020",12]]}}},{"id":79,"uris":["http://zotero.org/users/local/oO4pBAxT/items/L534CWHP"],"itemData":{"id":79,"type":"article-journal","abstract":"Comparing seroprevalence and antibody kinetics in three different commercially available assays for SARS-CoV-2. Serostatus of COVID-19 patients was analyzed 5 months and 10 months after their infection, using three different assays: Diasorin LIAISON, Euroimmun, Abbott Diagnostics ARCHITECT. Seropositivity at baseline differed significantly depending on the assay (Diasorin 81%, Euroimmun 83%, Abbott 59%). At follow-up antibody levels detected in the Diasorin assay were stable, while there was a significant loss in seropositivity in the Euroimmun and Abbott assays. There are significant differences in SARS-CoV-2 antibody kinetics based on the specific assay used.","container-title":"Scientific Reports","DOI":"10.1038/s41598-021-94453-5","ISSN":"2045-2322","issue":"1","journalAbbreviation":"Sci Rep","language":"eng","note":"PMID: 34290329\nPMCID: PMC8295301","page":"14893","source":"PubMed","title":"Kinetics and seroprevalence of SARS-CoV-2 antibodies: a comparison of 3 different assays","title-short":"Kinetics and seroprevalence of SARS-CoV-2 antibodies","volume":"11","author":[{"family":"Kahre","given":"Elisabeth"},{"family":"Galow","given":"Lukas"},{"family":"Unrath","given":"Manja"},{"family":"Haag","given":"Luise"},{"family":"Blankenburg","given":"Judith"},{"family":"Dalpke","given":"Alexander H."},{"family":"Lück","given":"Christian"},{"family":"Berner","given":"Reinhard"},{"family":"Armann","given":"Jakob P."}],"issued":{"date-parts":[["2021",7,21]]}}}],"schema":"https://github.com/citation-style-language/schema/raw/master/csl-citation.json"} </w:instrText>
      </w:r>
      <w:r w:rsidR="003C6D6C">
        <w:rPr>
          <w:rFonts w:ascii="Arial" w:hAnsi="Arial" w:cs="Arial"/>
        </w:rPr>
        <w:fldChar w:fldCharType="separate"/>
      </w:r>
      <w:r w:rsidR="000457DC" w:rsidRPr="000457DC">
        <w:rPr>
          <w:rFonts w:ascii="Arial" w:hAnsi="Arial" w:cs="Arial"/>
          <w:vertAlign w:val="superscript"/>
        </w:rPr>
        <w:t>4,5</w:t>
      </w:r>
      <w:r w:rsidR="003C6D6C">
        <w:rPr>
          <w:rFonts w:ascii="Arial" w:hAnsi="Arial" w:cs="Arial"/>
        </w:rPr>
        <w:fldChar w:fldCharType="end"/>
      </w:r>
      <w:r w:rsidR="009D20E9">
        <w:rPr>
          <w:rFonts w:ascii="Arial" w:hAnsi="Arial" w:cs="Arial"/>
        </w:rPr>
        <w:t>.</w:t>
      </w:r>
      <w:r w:rsidR="008E4948">
        <w:rPr>
          <w:rFonts w:ascii="Arial" w:hAnsi="Arial" w:cs="Arial"/>
        </w:rPr>
        <w:t xml:space="preserve"> </w:t>
      </w:r>
      <w:r w:rsidR="003C6D6C" w:rsidRPr="00A50D49">
        <w:rPr>
          <w:rFonts w:ascii="Arial" w:hAnsi="Arial" w:cs="Arial"/>
        </w:rPr>
        <w:t xml:space="preserve">This assay was used in the Nationwide Commercial Lab Seroprevalence study </w:t>
      </w:r>
      <w:r w:rsidR="003C6D6C">
        <w:rPr>
          <w:rFonts w:ascii="Arial" w:hAnsi="Arial" w:cs="Arial"/>
        </w:rPr>
        <w:t>in Michigan</w:t>
      </w:r>
      <w:r w:rsidR="003C6D6C">
        <w:rPr>
          <w:rFonts w:ascii="Arial" w:hAnsi="Arial" w:cs="Arial"/>
        </w:rPr>
        <w:fldChar w:fldCharType="begin"/>
      </w:r>
      <w:r w:rsidR="003C6D6C">
        <w:rPr>
          <w:rFonts w:ascii="Arial" w:hAnsi="Arial" w:cs="Arial"/>
        </w:rPr>
        <w:instrText xml:space="preserve"> ADDIN ZOTERO_ITEM CSL_CITATION {"citationID":"YE4PMUVT","properties":{"formattedCitation":"\\super 2\\nosupersub{}","plainCitation":"2","noteIndex":0},"citationItems":[{"id":72,"uris":["http://zotero.org/users/local/oO4pBAxT/items/CBNIUA6E"],"itemData":{"id":72,"type":"webpage","abstract":"CDC’s home for COVID-19 data. Visualizations, graphs, and data in one easy-to-use website.","container-title":"Centers for Disease Control and Prevention","language":"en","title":"Nationwide COVID-19 Infection-Induced Antibody Seroprevalence (Commercial laboratories)","URL":"https://covid.cdc.gov/covid-data-tracker/#national-lab","author":[{"literal":"Centers for Disease Control and Prevention"}],"accessed":{"date-parts":[["2022",2,14]]},"issued":{"date-parts":[["2020",3,28]]}}}],"schema":"https://github.com/citation-style-language/schema/raw/master/csl-citation.json"} </w:instrText>
      </w:r>
      <w:r w:rsidR="003C6D6C">
        <w:rPr>
          <w:rFonts w:ascii="Arial" w:hAnsi="Arial" w:cs="Arial"/>
        </w:rPr>
        <w:fldChar w:fldCharType="separate"/>
      </w:r>
      <w:r w:rsidR="003C6D6C" w:rsidRPr="003C6D6C">
        <w:rPr>
          <w:rFonts w:ascii="Arial" w:hAnsi="Arial" w:cs="Arial"/>
          <w:vertAlign w:val="superscript"/>
        </w:rPr>
        <w:t>2</w:t>
      </w:r>
      <w:r w:rsidR="003C6D6C">
        <w:rPr>
          <w:rFonts w:ascii="Arial" w:hAnsi="Arial" w:cs="Arial"/>
        </w:rPr>
        <w:fldChar w:fldCharType="end"/>
      </w:r>
      <w:r w:rsidR="003C6D6C">
        <w:rPr>
          <w:rFonts w:ascii="Arial" w:hAnsi="Arial" w:cs="Arial"/>
        </w:rPr>
        <w:t xml:space="preserve">. </w:t>
      </w:r>
      <w:r w:rsidR="00275699">
        <w:rPr>
          <w:rFonts w:ascii="Arial" w:hAnsi="Arial" w:cs="Arial"/>
        </w:rPr>
        <w:t>The estimated numbers of true infections and seropositive individuals were constrained such that they could not exceed the total population size.</w:t>
      </w:r>
      <w:r w:rsidR="00FC60C9">
        <w:rPr>
          <w:rFonts w:ascii="Arial" w:hAnsi="Arial" w:cs="Arial"/>
        </w:rPr>
        <w:t xml:space="preserve"> </w:t>
      </w:r>
      <w:r w:rsidR="00FB3DB9">
        <w:rPr>
          <w:rFonts w:ascii="Arial" w:hAnsi="Arial" w:cs="Arial"/>
        </w:rPr>
        <w:t>Seroprevalence was calculated as the estimated number of seropositive individuals divided by the estimated cumulative incidence of infection on day</w:t>
      </w:r>
      <w:r w:rsidR="003C6D6C">
        <w:rPr>
          <w:rFonts w:ascii="Arial" w:hAnsi="Arial" w:cs="Arial"/>
        </w:rPr>
        <w:t xml:space="preserve"> </w:t>
      </w:r>
      <m:oMath>
        <m:r>
          <w:rPr>
            <w:rFonts w:ascii="Cambria Math" w:hAnsi="Cambria Math" w:cs="Arial"/>
          </w:rPr>
          <m:t>t</m:t>
        </m:r>
      </m:oMath>
      <w:r w:rsidR="00FB3DB9">
        <w:rPr>
          <w:rFonts w:ascii="Arial" w:hAnsi="Arial" w:cs="Arial"/>
        </w:rPr>
        <w:t xml:space="preserve">.  </w:t>
      </w:r>
    </w:p>
    <w:p w14:paraId="79FCAE11" w14:textId="5223CF8B" w:rsidR="009E2B04" w:rsidRPr="000E5939" w:rsidRDefault="008E4948" w:rsidP="00901762">
      <w:pPr>
        <w:pStyle w:val="BodyText"/>
        <w:rPr>
          <w:rFonts w:ascii="Arial" w:hAnsi="Arial" w:cs="Arial"/>
          <w:highlight w:val="yellow"/>
        </w:rPr>
      </w:pPr>
      <w:r>
        <w:rPr>
          <w:rFonts w:ascii="Arial" w:hAnsi="Arial" w:cs="Arial"/>
        </w:rPr>
        <w:lastRenderedPageBreak/>
        <w:t xml:space="preserve">The 5 period-specific scaling parameters </w:t>
      </w:r>
      <w:r w:rsidR="000E5939">
        <w:rPr>
          <w:rFonts w:ascii="Arial" w:hAnsi="Arial" w:cs="Arial"/>
        </w:rPr>
        <w:t>were estimated by comparing the simulated proportion seropositive to that observed</w:t>
      </w:r>
      <w:r w:rsidR="00FB3DB9">
        <w:rPr>
          <w:rFonts w:ascii="Arial" w:hAnsi="Arial" w:cs="Arial"/>
        </w:rPr>
        <w:t xml:space="preserve"> in Michigan</w:t>
      </w:r>
      <w:r w:rsidR="000E5939">
        <w:rPr>
          <w:rFonts w:ascii="Arial" w:hAnsi="Arial" w:cs="Arial"/>
        </w:rPr>
        <w:t xml:space="preserve"> by the </w:t>
      </w:r>
      <w:r w:rsidR="00FB3DB9" w:rsidRPr="00A50D49">
        <w:rPr>
          <w:rFonts w:ascii="Arial" w:hAnsi="Arial" w:cs="Arial"/>
        </w:rPr>
        <w:t>CDC's Nationwide Comme</w:t>
      </w:r>
      <w:r w:rsidR="00FB3DB9">
        <w:rPr>
          <w:rFonts w:ascii="Arial" w:hAnsi="Arial" w:cs="Arial"/>
        </w:rPr>
        <w:t>rcial Lab Seroprevalence study</w:t>
      </w:r>
      <w:r w:rsidR="000E5939">
        <w:rPr>
          <w:rFonts w:ascii="Arial" w:hAnsi="Arial" w:cs="Arial"/>
        </w:rPr>
        <w:t xml:space="preserve">. </w:t>
      </w:r>
      <w:r w:rsidR="00FB3DB9" w:rsidRPr="00A50D49">
        <w:rPr>
          <w:rFonts w:ascii="Arial" w:hAnsi="Arial" w:cs="Arial"/>
        </w:rPr>
        <w:t>CDC's Nationwide Comme</w:t>
      </w:r>
      <w:r w:rsidR="00FB3DB9">
        <w:rPr>
          <w:rFonts w:ascii="Arial" w:hAnsi="Arial" w:cs="Arial"/>
        </w:rPr>
        <w:t>rcial Lab Seroprevalence study</w:t>
      </w:r>
      <w:r w:rsidR="00FB3DB9">
        <w:rPr>
          <w:rFonts w:ascii="Arial" w:hAnsi="Arial" w:cs="Arial"/>
        </w:rPr>
        <w:t xml:space="preserve"> seroprevalence</w:t>
      </w:r>
      <w:r w:rsidR="00DF4309" w:rsidRPr="00FB3DB9">
        <w:rPr>
          <w:rFonts w:ascii="Arial" w:hAnsi="Arial" w:cs="Arial"/>
        </w:rPr>
        <w:t xml:space="preserve"> estimates were produce</w:t>
      </w:r>
      <w:r w:rsidR="00FB3DB9" w:rsidRPr="00FB3DB9">
        <w:rPr>
          <w:rFonts w:ascii="Arial" w:hAnsi="Arial" w:cs="Arial"/>
        </w:rPr>
        <w:t xml:space="preserve">d approximately every 2 weeks from July 30, 2020 through July 9, 2021, and monthly from September through November 2021; no estimates were made between July 10 and September 5, 2021. </w:t>
      </w:r>
      <w:r w:rsidR="00DF4309">
        <w:rPr>
          <w:rFonts w:ascii="Arial" w:hAnsi="Arial" w:cs="Arial"/>
        </w:rPr>
        <w:t xml:space="preserve"> For each </w:t>
      </w:r>
      <w:r w:rsidR="00FB3DB9">
        <w:rPr>
          <w:rFonts w:ascii="Arial" w:hAnsi="Arial" w:cs="Arial"/>
        </w:rPr>
        <w:t xml:space="preserve">round of the </w:t>
      </w:r>
      <w:r w:rsidR="00FB3DB9" w:rsidRPr="00A50D49">
        <w:rPr>
          <w:rFonts w:ascii="Arial" w:hAnsi="Arial" w:cs="Arial"/>
        </w:rPr>
        <w:t>CDC's Nationwide Comme</w:t>
      </w:r>
      <w:r w:rsidR="00FB3DB9">
        <w:rPr>
          <w:rFonts w:ascii="Arial" w:hAnsi="Arial" w:cs="Arial"/>
        </w:rPr>
        <w:t>rcial Lab Seroprevalence study</w:t>
      </w:r>
      <w:r w:rsidR="00DF4309">
        <w:rPr>
          <w:rFonts w:ascii="Arial" w:hAnsi="Arial" w:cs="Arial"/>
        </w:rPr>
        <w:t xml:space="preserve">, the log-likelihood was calculated comparing the estimated and observed seroprevalence. </w:t>
      </w:r>
      <w:r w:rsidR="000457DC">
        <w:rPr>
          <w:rFonts w:ascii="Arial" w:hAnsi="Arial" w:cs="Arial"/>
        </w:rPr>
        <w:t xml:space="preserve">The overall log-likelihood was calculated as the sum of the log-likelihoods calculated for each </w:t>
      </w:r>
      <w:r w:rsidR="000457DC" w:rsidRPr="00A50D49">
        <w:rPr>
          <w:rFonts w:ascii="Arial" w:hAnsi="Arial" w:cs="Arial"/>
        </w:rPr>
        <w:t>Nationwide Comme</w:t>
      </w:r>
      <w:r w:rsidR="000457DC">
        <w:rPr>
          <w:rFonts w:ascii="Arial" w:hAnsi="Arial" w:cs="Arial"/>
        </w:rPr>
        <w:t xml:space="preserve">rcial Lab Seroprevalence study round. </w:t>
      </w:r>
      <w:r w:rsidR="00517BEF">
        <w:rPr>
          <w:rFonts w:ascii="Arial" w:hAnsi="Arial" w:cs="Arial"/>
        </w:rPr>
        <w:t>The log-likelihood was calcu</w:t>
      </w:r>
      <w:r w:rsidR="00B04725">
        <w:rPr>
          <w:rFonts w:ascii="Arial" w:hAnsi="Arial" w:cs="Arial"/>
        </w:rPr>
        <w:t>lated according to the binomial distribution:</w:t>
      </w:r>
    </w:p>
    <w:p w14:paraId="07935096" w14:textId="1A85046E" w:rsidR="00B04725" w:rsidRPr="000E5939" w:rsidRDefault="00B04725" w:rsidP="00901762">
      <w:pPr>
        <w:pStyle w:val="BodyText"/>
        <w:rPr>
          <w:rFonts w:ascii="Arial" w:hAnsi="Arial" w:cs="Arial"/>
        </w:rPr>
      </w:pPr>
      <m:oMathPara>
        <m:oMath>
          <m:r>
            <w:rPr>
              <w:rFonts w:ascii="Cambria Math" w:hAnsi="Cambria Math" w:cs="Arial"/>
            </w:rPr>
            <m:t xml:space="preserve">log-likelihood= </m:t>
          </m:r>
          <m:nary>
            <m:naryPr>
              <m:chr m:val="∑"/>
              <m:limLoc m:val="undOvr"/>
              <m:ctrlPr>
                <w:rPr>
                  <w:rFonts w:ascii="Cambria Math" w:hAnsi="Cambria Math" w:cs="Arial"/>
                  <w:i/>
                </w:rPr>
              </m:ctrlPr>
            </m:naryPr>
            <m:sub>
              <m:r>
                <w:rPr>
                  <w:rFonts w:ascii="Cambria Math" w:hAnsi="Cambria Math" w:cs="Arial"/>
                </w:rPr>
                <m:t>t=1</m:t>
              </m:r>
            </m:sub>
            <m:sup>
              <m:r>
                <w:rPr>
                  <w:rFonts w:ascii="Cambria Math" w:hAnsi="Cambria Math" w:cs="Arial"/>
                </w:rPr>
                <m:t>k</m:t>
              </m:r>
            </m:sup>
            <m:e>
              <m:d>
                <m:dPr>
                  <m:ctrlPr>
                    <w:rPr>
                      <w:rFonts w:ascii="Cambria Math" w:hAnsi="Cambria Math" w:cs="Arial"/>
                      <w:i/>
                    </w:rPr>
                  </m:ctrlPr>
                </m:dPr>
                <m:e>
                  <m:f>
                    <m:fPr>
                      <m:type m:val="noBa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k</m:t>
                          </m:r>
                        </m:sub>
                      </m:sSub>
                    </m:num>
                    <m:den>
                      <m:sSub>
                        <m:sSubPr>
                          <m:ctrlPr>
                            <w:rPr>
                              <w:rFonts w:ascii="Cambria Math" w:hAnsi="Cambria Math" w:cs="Arial"/>
                              <w:i/>
                            </w:rPr>
                          </m:ctrlPr>
                        </m:sSubPr>
                        <m:e>
                          <m:r>
                            <w:rPr>
                              <w:rFonts w:ascii="Cambria Math" w:hAnsi="Cambria Math" w:cs="Arial"/>
                            </w:rPr>
                            <m:t>x</m:t>
                          </m:r>
                        </m:e>
                        <m:sub>
                          <m:r>
                            <w:rPr>
                              <w:rFonts w:ascii="Cambria Math" w:hAnsi="Cambria Math" w:cs="Arial"/>
                            </w:rPr>
                            <m:t>k</m:t>
                          </m:r>
                        </m:sub>
                      </m:sSub>
                    </m:den>
                  </m:f>
                </m:e>
              </m:d>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p</m:t>
                      </m:r>
                    </m:e>
                    <m:sub>
                      <m:r>
                        <w:rPr>
                          <w:rFonts w:ascii="Cambria Math" w:hAnsi="Cambria Math" w:cs="Arial"/>
                        </w:rPr>
                        <m:t>k</m:t>
                      </m:r>
                    </m:sub>
                  </m:sSub>
                </m:e>
                <m:sup>
                  <m:sSub>
                    <m:sSubPr>
                      <m:ctrlPr>
                        <w:rPr>
                          <w:rFonts w:ascii="Cambria Math" w:hAnsi="Cambria Math" w:cs="Arial"/>
                          <w:i/>
                        </w:rPr>
                      </m:ctrlPr>
                    </m:sSubPr>
                    <m:e>
                      <m:r>
                        <w:rPr>
                          <w:rFonts w:ascii="Cambria Math" w:hAnsi="Cambria Math" w:cs="Arial"/>
                        </w:rPr>
                        <m:t>x</m:t>
                      </m:r>
                    </m:e>
                    <m:sub>
                      <m:r>
                        <w:rPr>
                          <w:rFonts w:ascii="Cambria Math" w:hAnsi="Cambria Math" w:cs="Arial"/>
                        </w:rPr>
                        <m:t>k</m:t>
                      </m:r>
                    </m:sub>
                  </m:sSub>
                </m:sup>
              </m:sSup>
              <m:sSup>
                <m:sSupPr>
                  <m:ctrlPr>
                    <w:rPr>
                      <w:rFonts w:ascii="Cambria Math" w:hAnsi="Cambria Math" w:cs="Arial"/>
                      <w:i/>
                    </w:rPr>
                  </m:ctrlPr>
                </m:sSupPr>
                <m:e>
                  <m:r>
                    <w:rPr>
                      <w:rFonts w:ascii="Cambria Math" w:hAnsi="Cambria Math" w:cs="Arial"/>
                    </w:rPr>
                    <m:t>(1-</m:t>
                  </m:r>
                  <m:sSub>
                    <m:sSubPr>
                      <m:ctrlPr>
                        <w:rPr>
                          <w:rFonts w:ascii="Cambria Math" w:hAnsi="Cambria Math" w:cs="Arial"/>
                          <w:i/>
                        </w:rPr>
                      </m:ctrlPr>
                    </m:sSubPr>
                    <m:e>
                      <m:r>
                        <w:rPr>
                          <w:rFonts w:ascii="Cambria Math" w:hAnsi="Cambria Math" w:cs="Arial"/>
                        </w:rPr>
                        <m:t>p</m:t>
                      </m:r>
                    </m:e>
                    <m:sub>
                      <m:r>
                        <w:rPr>
                          <w:rFonts w:ascii="Cambria Math" w:hAnsi="Cambria Math" w:cs="Arial"/>
                        </w:rPr>
                        <m:t>k</m:t>
                      </m:r>
                    </m:sub>
                  </m:sSub>
                  <m:r>
                    <w:rPr>
                      <w:rFonts w:ascii="Cambria Math" w:hAnsi="Cambria Math" w:cs="Arial"/>
                    </w:rPr>
                    <m:t>)</m:t>
                  </m:r>
                </m:e>
                <m:sup>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k</m:t>
                      </m:r>
                    </m:sub>
                  </m:sSub>
                  <m:r>
                    <w:rPr>
                      <w:rFonts w:ascii="Cambria Math" w:hAnsi="Cambria Math" w:cs="Arial"/>
                    </w:rPr>
                    <m:t>)</m:t>
                  </m:r>
                </m:sup>
              </m:sSup>
            </m:e>
          </m:nary>
        </m:oMath>
      </m:oMathPara>
    </w:p>
    <w:p w14:paraId="5121D4D8" w14:textId="65218623" w:rsidR="00B04725" w:rsidRDefault="00B04725" w:rsidP="00901762">
      <w:pPr>
        <w:pStyle w:val="BodyText"/>
        <w:rPr>
          <w:rFonts w:ascii="Arial" w:hAnsi="Arial" w:cs="Arial"/>
        </w:rPr>
      </w:pPr>
      <w:r>
        <w:rPr>
          <w:rFonts w:ascii="Arial" w:hAnsi="Arial" w:cs="Arial"/>
        </w:rPr>
        <w:t xml:space="preserve">Where </w:t>
      </w:r>
      <m:oMath>
        <m:r>
          <w:rPr>
            <w:rFonts w:ascii="Cambria Math" w:hAnsi="Cambria Math" w:cs="Arial"/>
          </w:rPr>
          <m:t>n</m:t>
        </m:r>
      </m:oMath>
      <w:r>
        <w:rPr>
          <w:rFonts w:ascii="Arial" w:hAnsi="Arial" w:cs="Arial"/>
        </w:rPr>
        <w:t xml:space="preserve"> is the number sampled in </w:t>
      </w:r>
      <w:r w:rsidR="003C6D6C">
        <w:rPr>
          <w:rFonts w:ascii="Arial" w:hAnsi="Arial" w:cs="Arial"/>
        </w:rPr>
        <w:t>each CDC seroprevalence sample</w:t>
      </w:r>
      <w:r>
        <w:rPr>
          <w:rFonts w:ascii="Arial" w:hAnsi="Arial" w:cs="Arial"/>
        </w:rPr>
        <w:t xml:space="preserve">, </w:t>
      </w:r>
      <m:oMath>
        <m:r>
          <w:rPr>
            <w:rFonts w:ascii="Cambria Math" w:hAnsi="Cambria Math" w:cs="Arial"/>
          </w:rPr>
          <m:t>x</m:t>
        </m:r>
      </m:oMath>
      <w:r>
        <w:rPr>
          <w:rFonts w:ascii="Arial" w:hAnsi="Arial" w:cs="Arial"/>
        </w:rPr>
        <w:t xml:space="preserve"> is the number seropositive in each CDC sample, and </w:t>
      </w:r>
      <m:oMath>
        <m:r>
          <w:rPr>
            <w:rFonts w:ascii="Cambria Math" w:hAnsi="Cambria Math" w:cs="Arial"/>
          </w:rPr>
          <m:t>p</m:t>
        </m:r>
      </m:oMath>
      <w:r>
        <w:rPr>
          <w:rFonts w:ascii="Arial" w:hAnsi="Arial" w:cs="Arial"/>
        </w:rPr>
        <w:t xml:space="preserve"> is the model estimated seroprevalence as of the date</w:t>
      </w:r>
      <w:r w:rsidR="003C6D6C">
        <w:rPr>
          <w:rFonts w:ascii="Arial" w:hAnsi="Arial" w:cs="Arial"/>
        </w:rPr>
        <w:t xml:space="preserve">, </w:t>
      </w:r>
      <m:oMath>
        <m:r>
          <w:rPr>
            <w:rFonts w:ascii="Cambria Math" w:hAnsi="Cambria Math" w:cs="Arial"/>
          </w:rPr>
          <m:t>t</m:t>
        </m:r>
      </m:oMath>
      <w:r w:rsidR="003C6D6C">
        <w:rPr>
          <w:rFonts w:ascii="Arial" w:eastAsiaTheme="minorEastAsia" w:hAnsi="Arial" w:cs="Arial"/>
        </w:rPr>
        <w:t>,</w:t>
      </w:r>
      <w:r w:rsidR="003C6D6C">
        <w:rPr>
          <w:rFonts w:ascii="Arial" w:hAnsi="Arial" w:cs="Arial"/>
        </w:rPr>
        <w:t xml:space="preserve"> </w:t>
      </w:r>
      <w:r>
        <w:rPr>
          <w:rFonts w:ascii="Arial" w:hAnsi="Arial" w:cs="Arial"/>
        </w:rPr>
        <w:t xml:space="preserve"> of the CDC seroprevalence sample.</w:t>
      </w:r>
      <w:r w:rsidR="000457DC">
        <w:rPr>
          <w:rFonts w:ascii="Arial" w:hAnsi="Arial" w:cs="Arial"/>
        </w:rPr>
        <w:t xml:space="preserve"> </w:t>
      </w:r>
    </w:p>
    <w:p w14:paraId="3A8F05E4" w14:textId="321CE254" w:rsidR="0074547F" w:rsidRDefault="008374BB" w:rsidP="00901762">
      <w:pPr>
        <w:pStyle w:val="BodyText"/>
        <w:rPr>
          <w:rFonts w:ascii="Arial" w:hAnsi="Arial" w:cs="Arial"/>
        </w:rPr>
      </w:pPr>
      <w:r>
        <w:rPr>
          <w:rFonts w:ascii="Arial" w:hAnsi="Arial" w:cs="Arial"/>
        </w:rPr>
        <w:t xml:space="preserve">The calculated </w:t>
      </w:r>
      <w:r w:rsidR="000457DC">
        <w:rPr>
          <w:rFonts w:ascii="Arial" w:hAnsi="Arial" w:cs="Arial"/>
        </w:rPr>
        <w:t xml:space="preserve">overall </w:t>
      </w:r>
      <w:r>
        <w:rPr>
          <w:rFonts w:ascii="Arial" w:hAnsi="Arial" w:cs="Arial"/>
        </w:rPr>
        <w:t>log-likelihood was</w:t>
      </w:r>
      <w:r w:rsidR="000457DC">
        <w:rPr>
          <w:rFonts w:ascii="Arial" w:hAnsi="Arial" w:cs="Arial"/>
        </w:rPr>
        <w:t xml:space="preserve"> used</w:t>
      </w:r>
      <w:r>
        <w:rPr>
          <w:rFonts w:ascii="Arial" w:hAnsi="Arial" w:cs="Arial"/>
        </w:rPr>
        <w:t xml:space="preserve"> in Markov chain Monte Carlo (MCMC) analysis to estimate the period-specific scaling parameters. A random-walk Metropolis-Hastings algorithm was used to sample new candidate parameter values from a normal distribution centered at the value of the current parameter value. Separate models were run to estimate period-specific scaling parameters for the following age groups: </w:t>
      </w:r>
      <w:r>
        <w:rPr>
          <w:rFonts w:ascii="Arial" w:hAnsi="Arial" w:cs="Arial"/>
        </w:rPr>
        <w:t>0 to 17, 18 to 49, 50 to 64, and ≥65 year</w:t>
      </w:r>
      <w:r>
        <w:rPr>
          <w:rFonts w:ascii="Arial" w:hAnsi="Arial" w:cs="Arial"/>
        </w:rPr>
        <w:t>s.</w:t>
      </w:r>
      <w:r>
        <w:rPr>
          <w:rFonts w:ascii="Arial" w:hAnsi="Arial" w:cs="Arial"/>
        </w:rPr>
        <w:t xml:space="preserve"> </w:t>
      </w:r>
      <w:r w:rsidR="00F94DF9">
        <w:rPr>
          <w:rFonts w:ascii="Arial" w:hAnsi="Arial" w:cs="Arial"/>
        </w:rPr>
        <w:t xml:space="preserve">For each age-group-specific model, we ran the MCMC algorithm for 50,000 iterations with a 10,000 iteration burn in. Convergence was assessed based on visual assessment of trace plots of the posterior samples. </w:t>
      </w:r>
      <w:r>
        <w:rPr>
          <w:rFonts w:ascii="Arial" w:hAnsi="Arial" w:cs="Arial"/>
        </w:rPr>
        <w:t xml:space="preserve">Parameter </w:t>
      </w:r>
      <w:r w:rsidRPr="00A50D49">
        <w:rPr>
          <w:rFonts w:ascii="Arial" w:hAnsi="Arial" w:cs="Arial"/>
        </w:rPr>
        <w:t xml:space="preserve">point estimates were taken as the median </w:t>
      </w:r>
      <w:r>
        <w:rPr>
          <w:rFonts w:ascii="Arial" w:hAnsi="Arial" w:cs="Arial"/>
        </w:rPr>
        <w:t xml:space="preserve">of the </w:t>
      </w:r>
      <w:r w:rsidRPr="00A50D49">
        <w:rPr>
          <w:rFonts w:ascii="Arial" w:hAnsi="Arial" w:cs="Arial"/>
        </w:rPr>
        <w:t xml:space="preserve">posterior sample, and 95% credible intervals </w:t>
      </w:r>
      <w:r>
        <w:rPr>
          <w:rFonts w:ascii="Arial" w:hAnsi="Arial" w:cs="Arial"/>
        </w:rPr>
        <w:t xml:space="preserve">(CrI) </w:t>
      </w:r>
      <w:r w:rsidRPr="00A50D49">
        <w:rPr>
          <w:rFonts w:ascii="Arial" w:hAnsi="Arial" w:cs="Arial"/>
        </w:rPr>
        <w:t>were taken as the 2.5th and 97.5th percentiles</w:t>
      </w:r>
      <w:r>
        <w:rPr>
          <w:rFonts w:ascii="Arial" w:hAnsi="Arial" w:cs="Arial"/>
        </w:rPr>
        <w:t xml:space="preserve"> of the posterior sample</w:t>
      </w:r>
      <w:r w:rsidRPr="00A50D49">
        <w:rPr>
          <w:rFonts w:ascii="Arial" w:hAnsi="Arial" w:cs="Arial"/>
        </w:rPr>
        <w:t>.</w:t>
      </w:r>
    </w:p>
    <w:p w14:paraId="40FFDC1B" w14:textId="0A03DC72" w:rsidR="0074547F" w:rsidRDefault="00CE1891" w:rsidP="00901762">
      <w:pPr>
        <w:pStyle w:val="BodyText"/>
        <w:rPr>
          <w:rFonts w:ascii="Arial" w:hAnsi="Arial" w:cs="Arial"/>
        </w:rPr>
      </w:pPr>
      <w:r>
        <w:rPr>
          <w:rFonts w:ascii="Arial" w:hAnsi="Arial" w:cs="Arial"/>
        </w:rPr>
        <w:t>Code and aggregate data used in this study ar</w:t>
      </w:r>
      <w:bookmarkStart w:id="1" w:name="_GoBack"/>
      <w:bookmarkEnd w:id="1"/>
      <w:r>
        <w:rPr>
          <w:rFonts w:ascii="Arial" w:hAnsi="Arial" w:cs="Arial"/>
        </w:rPr>
        <w:t xml:space="preserve">e available at: </w:t>
      </w:r>
      <w:hyperlink r:id="rId8" w:history="1">
        <w:r w:rsidRPr="001C45FD">
          <w:rPr>
            <w:rStyle w:val="Hyperlink"/>
            <w:rFonts w:ascii="Arial" w:hAnsi="Arial" w:cs="Arial"/>
          </w:rPr>
          <w:t>https://github.com/jgpetrie/MI_COVID_burden</w:t>
        </w:r>
      </w:hyperlink>
      <w:r>
        <w:rPr>
          <w:rFonts w:ascii="Arial" w:hAnsi="Arial" w:cs="Arial"/>
        </w:rPr>
        <w:t xml:space="preserve">. </w:t>
      </w:r>
    </w:p>
    <w:p w14:paraId="52F3E937" w14:textId="5D47394F" w:rsidR="0098069F" w:rsidRDefault="0098069F" w:rsidP="00901762">
      <w:pPr>
        <w:pStyle w:val="BodyText"/>
        <w:rPr>
          <w:rFonts w:ascii="Arial" w:hAnsi="Arial" w:cs="Arial"/>
        </w:rPr>
      </w:pPr>
    </w:p>
    <w:p w14:paraId="106E75F3" w14:textId="77777777" w:rsidR="00D77C7C" w:rsidRDefault="00D77C7C" w:rsidP="00901762">
      <w:pPr>
        <w:pStyle w:val="BodyText"/>
        <w:rPr>
          <w:rFonts w:ascii="Arial" w:hAnsi="Arial" w:cs="Arial"/>
        </w:rPr>
        <w:sectPr w:rsidR="00D77C7C" w:rsidSect="00A82540">
          <w:pgSz w:w="12240" w:h="15840"/>
          <w:pgMar w:top="1440" w:right="1440" w:bottom="1440" w:left="1440" w:header="720" w:footer="720" w:gutter="0"/>
          <w:cols w:space="720"/>
          <w:docGrid w:linePitch="326"/>
        </w:sectPr>
      </w:pPr>
    </w:p>
    <w:p w14:paraId="45F053F4" w14:textId="717E8EDD" w:rsidR="00720BF0" w:rsidRPr="00A50D49" w:rsidRDefault="00720BF0" w:rsidP="00720BF0">
      <w:pPr>
        <w:pStyle w:val="Compact"/>
        <w:rPr>
          <w:rFonts w:ascii="Arial" w:hAnsi="Arial" w:cs="Arial"/>
        </w:rPr>
      </w:pPr>
      <w:r w:rsidRPr="00A50D49">
        <w:rPr>
          <w:rFonts w:ascii="Arial" w:hAnsi="Arial" w:cs="Arial"/>
          <w:b/>
        </w:rPr>
        <w:lastRenderedPageBreak/>
        <w:t xml:space="preserve">Supplemental Figure </w:t>
      </w:r>
      <w:r>
        <w:rPr>
          <w:rFonts w:ascii="Arial" w:hAnsi="Arial" w:cs="Arial"/>
          <w:b/>
        </w:rPr>
        <w:t>1</w:t>
      </w:r>
      <w:r w:rsidRPr="00A50D49">
        <w:rPr>
          <w:rFonts w:ascii="Arial" w:hAnsi="Arial" w:cs="Arial"/>
          <w:b/>
        </w:rPr>
        <w:t xml:space="preserve">. Estimated seropositivity over time among </w:t>
      </w:r>
      <w:r>
        <w:rPr>
          <w:rFonts w:ascii="Arial" w:hAnsi="Arial" w:cs="Arial"/>
          <w:b/>
        </w:rPr>
        <w:t xml:space="preserve">A) </w:t>
      </w:r>
      <w:r w:rsidRPr="00A50D49">
        <w:rPr>
          <w:rFonts w:ascii="Arial" w:hAnsi="Arial" w:cs="Arial"/>
          <w:b/>
        </w:rPr>
        <w:t>0 to 17</w:t>
      </w:r>
      <w:r>
        <w:rPr>
          <w:rFonts w:ascii="Arial" w:hAnsi="Arial" w:cs="Arial"/>
          <w:b/>
        </w:rPr>
        <w:t xml:space="preserve">; B) </w:t>
      </w:r>
      <w:r w:rsidRPr="00A50D49">
        <w:rPr>
          <w:rFonts w:ascii="Arial" w:hAnsi="Arial" w:cs="Arial"/>
          <w:b/>
        </w:rPr>
        <w:t>18 to 49</w:t>
      </w:r>
      <w:r>
        <w:rPr>
          <w:rFonts w:ascii="Arial" w:hAnsi="Arial" w:cs="Arial"/>
          <w:b/>
        </w:rPr>
        <w:t>; C)</w:t>
      </w:r>
      <w:r w:rsidRPr="00A50D49">
        <w:rPr>
          <w:rFonts w:ascii="Arial" w:hAnsi="Arial" w:cs="Arial"/>
          <w:b/>
        </w:rPr>
        <w:t xml:space="preserve"> 50 to 64</w:t>
      </w:r>
      <w:r>
        <w:rPr>
          <w:rFonts w:ascii="Arial" w:hAnsi="Arial" w:cs="Arial"/>
          <w:b/>
        </w:rPr>
        <w:t>; and D) ≥</w:t>
      </w:r>
      <w:r w:rsidRPr="00A50D49">
        <w:rPr>
          <w:rFonts w:ascii="Arial" w:hAnsi="Arial" w:cs="Arial"/>
          <w:b/>
        </w:rPr>
        <w:t>65</w:t>
      </w:r>
      <w:r>
        <w:rPr>
          <w:rFonts w:ascii="Arial" w:hAnsi="Arial" w:cs="Arial"/>
          <w:b/>
        </w:rPr>
        <w:t xml:space="preserve"> </w:t>
      </w:r>
      <w:r w:rsidRPr="00A50D49">
        <w:rPr>
          <w:rFonts w:ascii="Arial" w:hAnsi="Arial" w:cs="Arial"/>
          <w:b/>
        </w:rPr>
        <w:t>year olds in Michigan (black line, 95% credible interval: gray area). Estimates and 95% confidence intervals from the CDC Nationwide Commercial Laboratory Seroprevalence Survey are in red.</w:t>
      </w:r>
    </w:p>
    <w:p w14:paraId="2FD1862B" w14:textId="77777777" w:rsidR="00720BF0" w:rsidRPr="00A50D49" w:rsidRDefault="00720BF0" w:rsidP="00720BF0">
      <w:pPr>
        <w:pStyle w:val="Figure"/>
        <w:rPr>
          <w:rFonts w:ascii="Arial" w:hAnsi="Arial" w:cs="Arial"/>
        </w:rPr>
      </w:pPr>
      <w:r>
        <w:rPr>
          <w:rFonts w:ascii="Arial" w:hAnsi="Arial" w:cs="Arial"/>
          <w:noProof/>
        </w:rPr>
        <w:drawing>
          <wp:inline distT="0" distB="0" distL="0" distR="0" wp14:anchorId="00041FF6" wp14:editId="396DEBC3">
            <wp:extent cx="6417945" cy="6356223"/>
            <wp:effectExtent l="0" t="0" r="190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0817" cy="6359067"/>
                    </a:xfrm>
                    <a:prstGeom prst="rect">
                      <a:avLst/>
                    </a:prstGeom>
                    <a:noFill/>
                  </pic:spPr>
                </pic:pic>
              </a:graphicData>
            </a:graphic>
          </wp:inline>
        </w:drawing>
      </w:r>
    </w:p>
    <w:p w14:paraId="1414E0E3" w14:textId="77777777" w:rsidR="00720BF0" w:rsidRDefault="00720BF0" w:rsidP="00720BF0">
      <w:pPr>
        <w:pStyle w:val="Compact"/>
        <w:rPr>
          <w:rFonts w:ascii="Arial" w:hAnsi="Arial" w:cs="Arial"/>
          <w:b/>
        </w:rPr>
        <w:sectPr w:rsidR="00720BF0" w:rsidSect="00A82540">
          <w:pgSz w:w="12240" w:h="15840"/>
          <w:pgMar w:top="1440" w:right="1440" w:bottom="1440" w:left="1440" w:header="720" w:footer="720" w:gutter="0"/>
          <w:cols w:space="720"/>
          <w:docGrid w:linePitch="326"/>
        </w:sectPr>
      </w:pPr>
    </w:p>
    <w:p w14:paraId="4C0D1406" w14:textId="506BAA37" w:rsidR="00231C4D" w:rsidRPr="00A50D49" w:rsidRDefault="008B1ACE">
      <w:pPr>
        <w:pStyle w:val="FirstParagraph"/>
        <w:rPr>
          <w:rFonts w:ascii="Arial" w:hAnsi="Arial" w:cs="Arial"/>
        </w:rPr>
      </w:pPr>
      <w:r w:rsidRPr="00A50D49">
        <w:rPr>
          <w:rFonts w:ascii="Arial" w:hAnsi="Arial" w:cs="Arial"/>
          <w:b/>
        </w:rPr>
        <w:lastRenderedPageBreak/>
        <w:t xml:space="preserve">Supplemental Figure </w:t>
      </w:r>
      <w:r w:rsidR="00720BF0">
        <w:rPr>
          <w:rFonts w:ascii="Arial" w:hAnsi="Arial" w:cs="Arial"/>
          <w:b/>
        </w:rPr>
        <w:t>2</w:t>
      </w:r>
      <w:r w:rsidRPr="00A50D49">
        <w:rPr>
          <w:rFonts w:ascii="Arial" w:hAnsi="Arial" w:cs="Arial"/>
          <w:b/>
        </w:rPr>
        <w:t>. Probabability of detectable antibody to nucleocapsid protein by time following SARS-CoV-2 invection.</w:t>
      </w:r>
    </w:p>
    <w:p w14:paraId="62081BA4" w14:textId="4951A948" w:rsidR="00966ACF" w:rsidRDefault="00273C2F">
      <w:pPr>
        <w:pStyle w:val="FirstParagraph"/>
        <w:rPr>
          <w:rFonts w:ascii="Arial" w:hAnsi="Arial" w:cs="Arial"/>
          <w:b/>
        </w:rPr>
      </w:pPr>
      <w:r>
        <w:rPr>
          <w:rFonts w:ascii="Arial" w:hAnsi="Arial" w:cs="Arial"/>
          <w:noProof/>
        </w:rPr>
        <w:drawing>
          <wp:inline distT="0" distB="0" distL="0" distR="0" wp14:anchorId="5CD7FF54" wp14:editId="58C1D626">
            <wp:extent cx="5943600" cy="445540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5403"/>
                    </a:xfrm>
                    <a:prstGeom prst="rect">
                      <a:avLst/>
                    </a:prstGeom>
                    <a:noFill/>
                    <a:ln>
                      <a:noFill/>
                    </a:ln>
                  </pic:spPr>
                </pic:pic>
              </a:graphicData>
            </a:graphic>
          </wp:inline>
        </w:drawing>
      </w:r>
    </w:p>
    <w:p w14:paraId="175A9A7F" w14:textId="77777777" w:rsidR="00273C2F" w:rsidRDefault="00273C2F">
      <w:pPr>
        <w:pStyle w:val="FirstParagraph"/>
        <w:rPr>
          <w:rFonts w:ascii="Arial" w:hAnsi="Arial" w:cs="Arial"/>
          <w:b/>
        </w:rPr>
        <w:sectPr w:rsidR="00273C2F" w:rsidSect="00A82540">
          <w:pgSz w:w="12240" w:h="15840"/>
          <w:pgMar w:top="1440" w:right="1440" w:bottom="1440" w:left="1440" w:header="720" w:footer="720" w:gutter="0"/>
          <w:cols w:space="720"/>
          <w:docGrid w:linePitch="326"/>
        </w:sectPr>
      </w:pPr>
    </w:p>
    <w:p w14:paraId="6C90F7A4" w14:textId="6306F289" w:rsidR="00316B04" w:rsidRPr="00273C2F" w:rsidRDefault="008B1ACE" w:rsidP="00273C2F">
      <w:pPr>
        <w:pStyle w:val="FirstParagraph"/>
        <w:rPr>
          <w:rFonts w:ascii="Arial" w:hAnsi="Arial" w:cs="Arial"/>
          <w:b/>
        </w:rPr>
      </w:pPr>
      <w:r w:rsidRPr="00A50D49">
        <w:rPr>
          <w:rFonts w:ascii="Arial" w:hAnsi="Arial" w:cs="Arial"/>
          <w:b/>
        </w:rPr>
        <w:lastRenderedPageBreak/>
        <w:t>Supplemental Table 1. Case adjustment factors estimated from incidence and seroprevalence data.</w:t>
      </w:r>
    </w:p>
    <w:tbl>
      <w:tblPr>
        <w:tblStyle w:val="TableGrid"/>
        <w:tblW w:w="9985" w:type="dxa"/>
        <w:tblLook w:val="04A0" w:firstRow="1" w:lastRow="0" w:firstColumn="1" w:lastColumn="0" w:noHBand="0" w:noVBand="1"/>
      </w:tblPr>
      <w:tblGrid>
        <w:gridCol w:w="1595"/>
        <w:gridCol w:w="1820"/>
        <w:gridCol w:w="1530"/>
        <w:gridCol w:w="1710"/>
        <w:gridCol w:w="1620"/>
        <w:gridCol w:w="1710"/>
      </w:tblGrid>
      <w:tr w:rsidR="00316B04" w:rsidRPr="002E7F8E" w14:paraId="76DB583A" w14:textId="77777777" w:rsidTr="00273C2F">
        <w:tc>
          <w:tcPr>
            <w:tcW w:w="1595" w:type="dxa"/>
          </w:tcPr>
          <w:p w14:paraId="10793D1A" w14:textId="77777777" w:rsidR="00316B04" w:rsidRPr="002E7F8E" w:rsidRDefault="00316B04" w:rsidP="00316B04">
            <w:pPr>
              <w:pStyle w:val="BodyText"/>
              <w:rPr>
                <w:rFonts w:ascii="Arial" w:hAnsi="Arial" w:cs="Arial"/>
                <w:sz w:val="20"/>
                <w:szCs w:val="20"/>
              </w:rPr>
            </w:pPr>
          </w:p>
        </w:tc>
        <w:tc>
          <w:tcPr>
            <w:tcW w:w="1820" w:type="dxa"/>
          </w:tcPr>
          <w:p w14:paraId="06C09039" w14:textId="619E0057" w:rsidR="002E7F8E" w:rsidRDefault="00316B04" w:rsidP="00930468">
            <w:pPr>
              <w:pStyle w:val="BodyText"/>
              <w:jc w:val="right"/>
              <w:rPr>
                <w:rFonts w:ascii="Arial" w:hAnsi="Arial" w:cs="Arial"/>
                <w:sz w:val="20"/>
                <w:szCs w:val="20"/>
              </w:rPr>
            </w:pPr>
            <w:r w:rsidRPr="002E7F8E">
              <w:rPr>
                <w:rFonts w:ascii="Arial" w:hAnsi="Arial" w:cs="Arial"/>
                <w:sz w:val="20"/>
                <w:szCs w:val="20"/>
              </w:rPr>
              <w:t>MAR</w:t>
            </w:r>
            <w:r w:rsidR="002E7F8E">
              <w:rPr>
                <w:rFonts w:ascii="Arial" w:hAnsi="Arial" w:cs="Arial"/>
                <w:sz w:val="20"/>
                <w:szCs w:val="20"/>
              </w:rPr>
              <w:t xml:space="preserve"> 2020</w:t>
            </w:r>
            <w:r w:rsidRPr="002E7F8E">
              <w:rPr>
                <w:rFonts w:ascii="Arial" w:hAnsi="Arial" w:cs="Arial"/>
                <w:sz w:val="20"/>
                <w:szCs w:val="20"/>
              </w:rPr>
              <w:t xml:space="preserve"> </w:t>
            </w:r>
            <w:r w:rsidR="002E7F8E">
              <w:rPr>
                <w:rFonts w:ascii="Arial" w:hAnsi="Arial" w:cs="Arial"/>
                <w:sz w:val="20"/>
                <w:szCs w:val="20"/>
              </w:rPr>
              <w:t>–</w:t>
            </w:r>
            <w:r w:rsidRPr="002E7F8E">
              <w:rPr>
                <w:rFonts w:ascii="Arial" w:hAnsi="Arial" w:cs="Arial"/>
                <w:sz w:val="20"/>
                <w:szCs w:val="20"/>
              </w:rPr>
              <w:t xml:space="preserve"> </w:t>
            </w:r>
          </w:p>
          <w:p w14:paraId="1629BEED" w14:textId="419EDE3D"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MAY 2020</w:t>
            </w:r>
          </w:p>
        </w:tc>
        <w:tc>
          <w:tcPr>
            <w:tcW w:w="1530" w:type="dxa"/>
          </w:tcPr>
          <w:p w14:paraId="4FB81948" w14:textId="6392640B" w:rsidR="002E7F8E" w:rsidRDefault="00316B04" w:rsidP="00930468">
            <w:pPr>
              <w:pStyle w:val="BodyText"/>
              <w:jc w:val="right"/>
              <w:rPr>
                <w:rFonts w:ascii="Arial" w:hAnsi="Arial" w:cs="Arial"/>
                <w:sz w:val="20"/>
                <w:szCs w:val="20"/>
              </w:rPr>
            </w:pPr>
            <w:r w:rsidRPr="002E7F8E">
              <w:rPr>
                <w:rFonts w:ascii="Arial" w:hAnsi="Arial" w:cs="Arial"/>
                <w:sz w:val="20"/>
                <w:szCs w:val="20"/>
              </w:rPr>
              <w:t>JUN</w:t>
            </w:r>
            <w:r w:rsidR="002E7F8E">
              <w:rPr>
                <w:rFonts w:ascii="Arial" w:hAnsi="Arial" w:cs="Arial"/>
                <w:sz w:val="20"/>
                <w:szCs w:val="20"/>
              </w:rPr>
              <w:t xml:space="preserve"> 2020</w:t>
            </w:r>
            <w:r w:rsidRPr="002E7F8E">
              <w:rPr>
                <w:rFonts w:ascii="Arial" w:hAnsi="Arial" w:cs="Arial"/>
                <w:sz w:val="20"/>
                <w:szCs w:val="20"/>
              </w:rPr>
              <w:t xml:space="preserve"> </w:t>
            </w:r>
            <w:r w:rsidR="002E7F8E">
              <w:rPr>
                <w:rFonts w:ascii="Arial" w:hAnsi="Arial" w:cs="Arial"/>
                <w:sz w:val="20"/>
                <w:szCs w:val="20"/>
              </w:rPr>
              <w:t>–</w:t>
            </w:r>
            <w:r w:rsidRPr="002E7F8E">
              <w:rPr>
                <w:rFonts w:ascii="Arial" w:hAnsi="Arial" w:cs="Arial"/>
                <w:sz w:val="20"/>
                <w:szCs w:val="20"/>
              </w:rPr>
              <w:t xml:space="preserve"> </w:t>
            </w:r>
          </w:p>
          <w:p w14:paraId="5A8E5194" w14:textId="3D5DBA12"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SEP 2020</w:t>
            </w:r>
          </w:p>
        </w:tc>
        <w:tc>
          <w:tcPr>
            <w:tcW w:w="1710" w:type="dxa"/>
          </w:tcPr>
          <w:p w14:paraId="1BC4EDCD" w14:textId="7061A515" w:rsidR="002E7F8E" w:rsidRDefault="00316B04" w:rsidP="00930468">
            <w:pPr>
              <w:pStyle w:val="BodyText"/>
              <w:jc w:val="right"/>
              <w:rPr>
                <w:rFonts w:ascii="Arial" w:hAnsi="Arial" w:cs="Arial"/>
                <w:sz w:val="20"/>
                <w:szCs w:val="20"/>
              </w:rPr>
            </w:pPr>
            <w:r w:rsidRPr="002E7F8E">
              <w:rPr>
                <w:rFonts w:ascii="Arial" w:hAnsi="Arial" w:cs="Arial"/>
                <w:sz w:val="20"/>
                <w:szCs w:val="20"/>
              </w:rPr>
              <w:t xml:space="preserve">OCT 2020 </w:t>
            </w:r>
            <w:r w:rsidR="002E7F8E">
              <w:rPr>
                <w:rFonts w:ascii="Arial" w:hAnsi="Arial" w:cs="Arial"/>
                <w:sz w:val="20"/>
                <w:szCs w:val="20"/>
              </w:rPr>
              <w:t>–</w:t>
            </w:r>
            <w:r w:rsidRPr="002E7F8E">
              <w:rPr>
                <w:rFonts w:ascii="Arial" w:hAnsi="Arial" w:cs="Arial"/>
                <w:sz w:val="20"/>
                <w:szCs w:val="20"/>
              </w:rPr>
              <w:t xml:space="preserve"> </w:t>
            </w:r>
          </w:p>
          <w:p w14:paraId="20DC7F8C" w14:textId="722F4DB4"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FEB 2021</w:t>
            </w:r>
          </w:p>
        </w:tc>
        <w:tc>
          <w:tcPr>
            <w:tcW w:w="1620" w:type="dxa"/>
          </w:tcPr>
          <w:p w14:paraId="43D5BD32" w14:textId="67757687" w:rsidR="002E7F8E" w:rsidRDefault="00316B04" w:rsidP="00930468">
            <w:pPr>
              <w:pStyle w:val="BodyText"/>
              <w:jc w:val="right"/>
              <w:rPr>
                <w:rFonts w:ascii="Arial" w:hAnsi="Arial" w:cs="Arial"/>
                <w:sz w:val="20"/>
                <w:szCs w:val="20"/>
              </w:rPr>
            </w:pPr>
            <w:r w:rsidRPr="002E7F8E">
              <w:rPr>
                <w:rFonts w:ascii="Arial" w:hAnsi="Arial" w:cs="Arial"/>
                <w:sz w:val="20"/>
                <w:szCs w:val="20"/>
              </w:rPr>
              <w:t>MAR</w:t>
            </w:r>
            <w:r w:rsidR="002E7F8E">
              <w:rPr>
                <w:rFonts w:ascii="Arial" w:hAnsi="Arial" w:cs="Arial"/>
                <w:sz w:val="20"/>
                <w:szCs w:val="20"/>
              </w:rPr>
              <w:t xml:space="preserve"> 2021</w:t>
            </w:r>
            <w:r w:rsidRPr="002E7F8E">
              <w:rPr>
                <w:rFonts w:ascii="Arial" w:hAnsi="Arial" w:cs="Arial"/>
                <w:sz w:val="20"/>
                <w:szCs w:val="20"/>
              </w:rPr>
              <w:t xml:space="preserve"> </w:t>
            </w:r>
            <w:r w:rsidR="002E7F8E">
              <w:rPr>
                <w:rFonts w:ascii="Arial" w:hAnsi="Arial" w:cs="Arial"/>
                <w:sz w:val="20"/>
                <w:szCs w:val="20"/>
              </w:rPr>
              <w:t>–</w:t>
            </w:r>
            <w:r w:rsidRPr="002E7F8E">
              <w:rPr>
                <w:rFonts w:ascii="Arial" w:hAnsi="Arial" w:cs="Arial"/>
                <w:sz w:val="20"/>
                <w:szCs w:val="20"/>
              </w:rPr>
              <w:t xml:space="preserve"> </w:t>
            </w:r>
          </w:p>
          <w:p w14:paraId="4615DD19" w14:textId="6D0715A1"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MAY 2021</w:t>
            </w:r>
          </w:p>
        </w:tc>
        <w:tc>
          <w:tcPr>
            <w:tcW w:w="1710" w:type="dxa"/>
          </w:tcPr>
          <w:p w14:paraId="1F053D02" w14:textId="2007484F" w:rsidR="002E7F8E" w:rsidRDefault="00316B04" w:rsidP="00930468">
            <w:pPr>
              <w:pStyle w:val="BodyText"/>
              <w:jc w:val="right"/>
              <w:rPr>
                <w:rFonts w:ascii="Arial" w:hAnsi="Arial" w:cs="Arial"/>
                <w:sz w:val="20"/>
                <w:szCs w:val="20"/>
              </w:rPr>
            </w:pPr>
            <w:r w:rsidRPr="002E7F8E">
              <w:rPr>
                <w:rFonts w:ascii="Arial" w:hAnsi="Arial" w:cs="Arial"/>
                <w:sz w:val="20"/>
                <w:szCs w:val="20"/>
              </w:rPr>
              <w:t>JUN</w:t>
            </w:r>
            <w:r w:rsidR="002E7F8E">
              <w:rPr>
                <w:rFonts w:ascii="Arial" w:hAnsi="Arial" w:cs="Arial"/>
                <w:sz w:val="20"/>
                <w:szCs w:val="20"/>
              </w:rPr>
              <w:t xml:space="preserve"> 2021</w:t>
            </w:r>
            <w:r w:rsidRPr="002E7F8E">
              <w:rPr>
                <w:rFonts w:ascii="Arial" w:hAnsi="Arial" w:cs="Arial"/>
                <w:sz w:val="20"/>
                <w:szCs w:val="20"/>
              </w:rPr>
              <w:t xml:space="preserve"> </w:t>
            </w:r>
            <w:r w:rsidR="002E7F8E">
              <w:rPr>
                <w:rFonts w:ascii="Arial" w:hAnsi="Arial" w:cs="Arial"/>
                <w:sz w:val="20"/>
                <w:szCs w:val="20"/>
              </w:rPr>
              <w:t>–</w:t>
            </w:r>
            <w:r w:rsidRPr="002E7F8E">
              <w:rPr>
                <w:rFonts w:ascii="Arial" w:hAnsi="Arial" w:cs="Arial"/>
                <w:sz w:val="20"/>
                <w:szCs w:val="20"/>
              </w:rPr>
              <w:t xml:space="preserve"> </w:t>
            </w:r>
          </w:p>
          <w:p w14:paraId="4FCFED9C" w14:textId="5E86439B" w:rsidR="00316B04" w:rsidRPr="002E7F8E" w:rsidRDefault="00316B04" w:rsidP="002E7F8E">
            <w:pPr>
              <w:pStyle w:val="BodyText"/>
              <w:jc w:val="right"/>
              <w:rPr>
                <w:rFonts w:ascii="Arial" w:hAnsi="Arial" w:cs="Arial"/>
                <w:sz w:val="20"/>
                <w:szCs w:val="20"/>
              </w:rPr>
            </w:pPr>
            <w:r w:rsidRPr="002E7F8E">
              <w:rPr>
                <w:rFonts w:ascii="Arial" w:hAnsi="Arial" w:cs="Arial"/>
                <w:sz w:val="20"/>
                <w:szCs w:val="20"/>
              </w:rPr>
              <w:t>NOV 202</w:t>
            </w:r>
            <w:r w:rsidR="002E7F8E">
              <w:rPr>
                <w:rFonts w:ascii="Arial" w:hAnsi="Arial" w:cs="Arial"/>
                <w:sz w:val="20"/>
                <w:szCs w:val="20"/>
              </w:rPr>
              <w:t>1</w:t>
            </w:r>
          </w:p>
        </w:tc>
      </w:tr>
      <w:tr w:rsidR="00316B04" w:rsidRPr="002E7F8E" w14:paraId="467B04F5" w14:textId="77777777" w:rsidTr="00273C2F">
        <w:tc>
          <w:tcPr>
            <w:tcW w:w="1595" w:type="dxa"/>
          </w:tcPr>
          <w:p w14:paraId="57D4B21D" w14:textId="77777777" w:rsidR="00316B04" w:rsidRPr="002E7F8E" w:rsidRDefault="00316B04" w:rsidP="00316B04">
            <w:pPr>
              <w:pStyle w:val="BodyText"/>
              <w:rPr>
                <w:rFonts w:ascii="Arial" w:hAnsi="Arial" w:cs="Arial"/>
                <w:sz w:val="20"/>
                <w:szCs w:val="20"/>
              </w:rPr>
            </w:pPr>
            <w:r w:rsidRPr="002E7F8E">
              <w:rPr>
                <w:rFonts w:ascii="Arial" w:hAnsi="Arial" w:cs="Arial"/>
                <w:sz w:val="20"/>
                <w:szCs w:val="20"/>
              </w:rPr>
              <w:t>0 to 17 years</w:t>
            </w:r>
          </w:p>
        </w:tc>
        <w:tc>
          <w:tcPr>
            <w:tcW w:w="1820" w:type="dxa"/>
          </w:tcPr>
          <w:p w14:paraId="15C1E4EB" w14:textId="77777777"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 xml:space="preserve">83.0 (35.3, 119.7) </w:t>
            </w:r>
          </w:p>
        </w:tc>
        <w:tc>
          <w:tcPr>
            <w:tcW w:w="1530" w:type="dxa"/>
          </w:tcPr>
          <w:p w14:paraId="4A77D1CE" w14:textId="77777777"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5.7 (1.3, 15.1)</w:t>
            </w:r>
          </w:p>
        </w:tc>
        <w:tc>
          <w:tcPr>
            <w:tcW w:w="1710" w:type="dxa"/>
          </w:tcPr>
          <w:p w14:paraId="71B89BC8" w14:textId="77777777" w:rsidR="00316B04" w:rsidRPr="002E7F8E" w:rsidRDefault="00316B04" w:rsidP="00930468">
            <w:pPr>
              <w:pStyle w:val="BodyText"/>
              <w:jc w:val="right"/>
              <w:rPr>
                <w:rFonts w:ascii="Arial" w:hAnsi="Arial" w:cs="Arial"/>
                <w:sz w:val="20"/>
                <w:szCs w:val="20"/>
              </w:rPr>
            </w:pPr>
            <w:r w:rsidRPr="002E7F8E">
              <w:rPr>
                <w:rFonts w:ascii="Arial" w:hAnsi="Arial" w:cs="Arial"/>
                <w:sz w:val="20"/>
                <w:szCs w:val="20"/>
              </w:rPr>
              <w:t>15.0 (11.3, 18.9)</w:t>
            </w:r>
          </w:p>
        </w:tc>
        <w:tc>
          <w:tcPr>
            <w:tcW w:w="1620" w:type="dxa"/>
          </w:tcPr>
          <w:p w14:paraId="523D4097"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11.5 (7.8, 15.1)</w:t>
            </w:r>
          </w:p>
        </w:tc>
        <w:tc>
          <w:tcPr>
            <w:tcW w:w="1710" w:type="dxa"/>
          </w:tcPr>
          <w:p w14:paraId="12E3C14B"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25.1 (12.6, 38.2)</w:t>
            </w:r>
          </w:p>
        </w:tc>
      </w:tr>
      <w:tr w:rsidR="00316B04" w:rsidRPr="002E7F8E" w14:paraId="4DE6ACC8" w14:textId="77777777" w:rsidTr="00273C2F">
        <w:tc>
          <w:tcPr>
            <w:tcW w:w="1595" w:type="dxa"/>
          </w:tcPr>
          <w:p w14:paraId="7879F302" w14:textId="77777777" w:rsidR="00316B04" w:rsidRPr="002E7F8E" w:rsidRDefault="00316B04" w:rsidP="00316B04">
            <w:pPr>
              <w:pStyle w:val="BodyText"/>
              <w:rPr>
                <w:rFonts w:ascii="Arial" w:hAnsi="Arial" w:cs="Arial"/>
                <w:sz w:val="20"/>
                <w:szCs w:val="20"/>
              </w:rPr>
            </w:pPr>
            <w:r w:rsidRPr="002E7F8E">
              <w:rPr>
                <w:rFonts w:ascii="Arial" w:hAnsi="Arial" w:cs="Arial"/>
                <w:sz w:val="20"/>
                <w:szCs w:val="20"/>
              </w:rPr>
              <w:t>18 to 49 years</w:t>
            </w:r>
          </w:p>
        </w:tc>
        <w:tc>
          <w:tcPr>
            <w:tcW w:w="1820" w:type="dxa"/>
          </w:tcPr>
          <w:p w14:paraId="796C82EB"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2.1 (1.1, 3.7)</w:t>
            </w:r>
          </w:p>
        </w:tc>
        <w:tc>
          <w:tcPr>
            <w:tcW w:w="1530" w:type="dxa"/>
          </w:tcPr>
          <w:p w14:paraId="52E7607D"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1.4 (1.0, 2.1)</w:t>
            </w:r>
          </w:p>
        </w:tc>
        <w:tc>
          <w:tcPr>
            <w:tcW w:w="1710" w:type="dxa"/>
          </w:tcPr>
          <w:p w14:paraId="116D83A3"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4.3 (3.9, 4.6)</w:t>
            </w:r>
          </w:p>
        </w:tc>
        <w:tc>
          <w:tcPr>
            <w:tcW w:w="1620" w:type="dxa"/>
          </w:tcPr>
          <w:p w14:paraId="315FD118"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4.3 (3.7, 4.9)</w:t>
            </w:r>
          </w:p>
        </w:tc>
        <w:tc>
          <w:tcPr>
            <w:tcW w:w="1710" w:type="dxa"/>
          </w:tcPr>
          <w:p w14:paraId="43E54722"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9.8 (6.1, 13.7)</w:t>
            </w:r>
          </w:p>
        </w:tc>
      </w:tr>
      <w:tr w:rsidR="00316B04" w:rsidRPr="002E7F8E" w14:paraId="2D56E344" w14:textId="77777777" w:rsidTr="00273C2F">
        <w:tc>
          <w:tcPr>
            <w:tcW w:w="1595" w:type="dxa"/>
          </w:tcPr>
          <w:p w14:paraId="257F4ECC" w14:textId="77777777" w:rsidR="00316B04" w:rsidRPr="002E7F8E" w:rsidRDefault="00316B04" w:rsidP="00316B04">
            <w:pPr>
              <w:pStyle w:val="BodyText"/>
              <w:rPr>
                <w:rFonts w:ascii="Arial" w:hAnsi="Arial" w:cs="Arial"/>
                <w:sz w:val="20"/>
                <w:szCs w:val="20"/>
              </w:rPr>
            </w:pPr>
            <w:r w:rsidRPr="002E7F8E">
              <w:rPr>
                <w:rFonts w:ascii="Arial" w:hAnsi="Arial" w:cs="Arial"/>
                <w:sz w:val="20"/>
                <w:szCs w:val="20"/>
              </w:rPr>
              <w:t>50 to 64 years</w:t>
            </w:r>
          </w:p>
        </w:tc>
        <w:tc>
          <w:tcPr>
            <w:tcW w:w="1820" w:type="dxa"/>
          </w:tcPr>
          <w:p w14:paraId="1FFEAF4B"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1.5 (1.0, 2.4)</w:t>
            </w:r>
          </w:p>
        </w:tc>
        <w:tc>
          <w:tcPr>
            <w:tcW w:w="1530" w:type="dxa"/>
          </w:tcPr>
          <w:p w14:paraId="08979928"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1.2 (1.0, 1.8)</w:t>
            </w:r>
          </w:p>
        </w:tc>
        <w:tc>
          <w:tcPr>
            <w:tcW w:w="1710" w:type="dxa"/>
          </w:tcPr>
          <w:p w14:paraId="3ADB3CE4"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3.5 (3.2, 3.8)</w:t>
            </w:r>
          </w:p>
        </w:tc>
        <w:tc>
          <w:tcPr>
            <w:tcW w:w="1620" w:type="dxa"/>
          </w:tcPr>
          <w:p w14:paraId="07BBDADC"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4.6 (3.8, 5.3)</w:t>
            </w:r>
          </w:p>
        </w:tc>
        <w:tc>
          <w:tcPr>
            <w:tcW w:w="1710" w:type="dxa"/>
          </w:tcPr>
          <w:p w14:paraId="4CC7F034"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14.4 (9.3, 19.9)</w:t>
            </w:r>
          </w:p>
        </w:tc>
      </w:tr>
      <w:tr w:rsidR="00316B04" w:rsidRPr="002E7F8E" w14:paraId="1A03887A" w14:textId="77777777" w:rsidTr="00273C2F">
        <w:tc>
          <w:tcPr>
            <w:tcW w:w="1595" w:type="dxa"/>
          </w:tcPr>
          <w:p w14:paraId="79598283" w14:textId="77777777" w:rsidR="00316B04" w:rsidRPr="002E7F8E" w:rsidRDefault="00316B04" w:rsidP="00316B04">
            <w:pPr>
              <w:pStyle w:val="BodyText"/>
              <w:rPr>
                <w:rFonts w:ascii="Arial" w:hAnsi="Arial" w:cs="Arial"/>
                <w:sz w:val="20"/>
                <w:szCs w:val="20"/>
              </w:rPr>
            </w:pPr>
            <w:r w:rsidRPr="002E7F8E">
              <w:rPr>
                <w:rFonts w:ascii="Arial" w:hAnsi="Arial" w:cs="Arial"/>
                <w:sz w:val="20"/>
                <w:szCs w:val="20"/>
              </w:rPr>
              <w:t>65+ years</w:t>
            </w:r>
          </w:p>
        </w:tc>
        <w:tc>
          <w:tcPr>
            <w:tcW w:w="1820" w:type="dxa"/>
          </w:tcPr>
          <w:p w14:paraId="79F0E17C"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1.2 (1.0, 1.9)</w:t>
            </w:r>
          </w:p>
        </w:tc>
        <w:tc>
          <w:tcPr>
            <w:tcW w:w="1530" w:type="dxa"/>
          </w:tcPr>
          <w:p w14:paraId="290742AA"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1.2 (1.0, 1.8)</w:t>
            </w:r>
          </w:p>
        </w:tc>
        <w:tc>
          <w:tcPr>
            <w:tcW w:w="1710" w:type="dxa"/>
          </w:tcPr>
          <w:p w14:paraId="16954DE6"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2.5 (2.2, 2.9)</w:t>
            </w:r>
          </w:p>
        </w:tc>
        <w:tc>
          <w:tcPr>
            <w:tcW w:w="1620" w:type="dxa"/>
          </w:tcPr>
          <w:p w14:paraId="78DA37BC"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4.9 (3.8, 6.0)</w:t>
            </w:r>
          </w:p>
        </w:tc>
        <w:tc>
          <w:tcPr>
            <w:tcW w:w="1710" w:type="dxa"/>
          </w:tcPr>
          <w:p w14:paraId="66991690" w14:textId="77777777" w:rsidR="00316B04" w:rsidRPr="002E7F8E" w:rsidRDefault="00930468" w:rsidP="00930468">
            <w:pPr>
              <w:pStyle w:val="BodyText"/>
              <w:jc w:val="right"/>
              <w:rPr>
                <w:rFonts w:ascii="Arial" w:hAnsi="Arial" w:cs="Arial"/>
                <w:sz w:val="20"/>
                <w:szCs w:val="20"/>
              </w:rPr>
            </w:pPr>
            <w:r w:rsidRPr="002E7F8E">
              <w:rPr>
                <w:rFonts w:ascii="Arial" w:hAnsi="Arial" w:cs="Arial"/>
                <w:sz w:val="20"/>
                <w:szCs w:val="20"/>
              </w:rPr>
              <w:t>7.6 (4.2, 11.4)</w:t>
            </w:r>
          </w:p>
        </w:tc>
      </w:tr>
    </w:tbl>
    <w:p w14:paraId="30E4F2B8" w14:textId="77777777" w:rsidR="003C6D6C" w:rsidRDefault="003C6D6C" w:rsidP="00316B04">
      <w:pPr>
        <w:pStyle w:val="BodyText"/>
        <w:rPr>
          <w:rFonts w:ascii="Arial" w:hAnsi="Arial" w:cs="Arial"/>
        </w:rPr>
        <w:sectPr w:rsidR="003C6D6C" w:rsidSect="00A82540">
          <w:pgSz w:w="12240" w:h="15840"/>
          <w:pgMar w:top="1440" w:right="1440" w:bottom="1440" w:left="1440" w:header="720" w:footer="720" w:gutter="0"/>
          <w:cols w:space="720"/>
          <w:docGrid w:linePitch="326"/>
        </w:sectPr>
      </w:pPr>
    </w:p>
    <w:p w14:paraId="42C0D4DA" w14:textId="03224E84" w:rsidR="003C6D6C" w:rsidRDefault="003C6D6C" w:rsidP="003C6D6C">
      <w:pPr>
        <w:pStyle w:val="BodyText"/>
        <w:rPr>
          <w:rFonts w:ascii="Arial" w:hAnsi="Arial" w:cs="Arial"/>
          <w:b/>
        </w:rPr>
      </w:pPr>
      <w:r>
        <w:rPr>
          <w:rFonts w:ascii="Arial" w:hAnsi="Arial" w:cs="Arial"/>
          <w:b/>
        </w:rPr>
        <w:lastRenderedPageBreak/>
        <w:t xml:space="preserve">Supplemental </w:t>
      </w:r>
      <w:r>
        <w:rPr>
          <w:rFonts w:ascii="Arial" w:hAnsi="Arial" w:cs="Arial"/>
          <w:b/>
        </w:rPr>
        <w:t>References</w:t>
      </w:r>
    </w:p>
    <w:p w14:paraId="3C43F311" w14:textId="77777777" w:rsidR="000457DC" w:rsidRPr="000457DC" w:rsidRDefault="003C6D6C" w:rsidP="000457DC">
      <w:pPr>
        <w:pStyle w:val="Bibliography"/>
        <w:rPr>
          <w:rFonts w:ascii="Arial" w:hAnsi="Arial" w:cs="Arial"/>
        </w:rPr>
      </w:pPr>
      <w:r>
        <w:rPr>
          <w:rFonts w:ascii="Arial" w:hAnsi="Arial" w:cs="Arial"/>
          <w:b/>
        </w:rPr>
        <w:fldChar w:fldCharType="begin"/>
      </w:r>
      <w:r>
        <w:rPr>
          <w:rFonts w:ascii="Arial" w:hAnsi="Arial" w:cs="Arial"/>
          <w:b/>
        </w:rPr>
        <w:instrText xml:space="preserve"> ADDIN ZOTERO_BIBL {"uncited":[],"omitted":[],"custom":[]} CSL_BIBLIOGRAPHY </w:instrText>
      </w:r>
      <w:r>
        <w:rPr>
          <w:rFonts w:ascii="Arial" w:hAnsi="Arial" w:cs="Arial"/>
          <w:b/>
        </w:rPr>
        <w:fldChar w:fldCharType="separate"/>
      </w:r>
      <w:r w:rsidR="000457DC" w:rsidRPr="000457DC">
        <w:rPr>
          <w:rFonts w:ascii="Arial" w:hAnsi="Arial" w:cs="Arial"/>
        </w:rPr>
        <w:t xml:space="preserve">1. </w:t>
      </w:r>
      <w:r w:rsidR="000457DC" w:rsidRPr="000457DC">
        <w:rPr>
          <w:rFonts w:ascii="Arial" w:hAnsi="Arial" w:cs="Arial"/>
        </w:rPr>
        <w:tab/>
        <w:t xml:space="preserve">Shioda K, Lau MSY, Kraay ANM, et al. Estimating the Cumulative Incidence of SARS-CoV-2 Infection and the Infection Fatality Ratio in Light of Waning Antibodies. </w:t>
      </w:r>
      <w:r w:rsidR="000457DC" w:rsidRPr="000457DC">
        <w:rPr>
          <w:rFonts w:ascii="Arial" w:hAnsi="Arial" w:cs="Arial"/>
          <w:i/>
          <w:iCs/>
        </w:rPr>
        <w:t>Epidemiology</w:t>
      </w:r>
      <w:r w:rsidR="000457DC" w:rsidRPr="000457DC">
        <w:rPr>
          <w:rFonts w:ascii="Arial" w:hAnsi="Arial" w:cs="Arial"/>
        </w:rPr>
        <w:t>. 2021;32(4):518-524. doi:10.1097/EDE.0000000000001361</w:t>
      </w:r>
    </w:p>
    <w:p w14:paraId="15D0A500" w14:textId="77777777" w:rsidR="000457DC" w:rsidRPr="000457DC" w:rsidRDefault="000457DC" w:rsidP="000457DC">
      <w:pPr>
        <w:pStyle w:val="Bibliography"/>
        <w:rPr>
          <w:rFonts w:ascii="Arial" w:hAnsi="Arial" w:cs="Arial"/>
        </w:rPr>
      </w:pPr>
      <w:r w:rsidRPr="000457DC">
        <w:rPr>
          <w:rFonts w:ascii="Arial" w:hAnsi="Arial" w:cs="Arial"/>
        </w:rPr>
        <w:t xml:space="preserve">2. </w:t>
      </w:r>
      <w:r w:rsidRPr="000457DC">
        <w:rPr>
          <w:rFonts w:ascii="Arial" w:hAnsi="Arial" w:cs="Arial"/>
        </w:rPr>
        <w:tab/>
        <w:t>Centers for Disease Control and Prevention. Nationwide COVID-19 Infection-Induced Antibody Seroprevalence (Commercial laboratories). Centers for Disease Control and Prevention. Published March 28, 2020. Accessed February 14, 2022. https://covid.cdc.gov/covid-data-tracker/#national-lab</w:t>
      </w:r>
    </w:p>
    <w:p w14:paraId="0056B1F8" w14:textId="77777777" w:rsidR="000457DC" w:rsidRPr="000457DC" w:rsidRDefault="000457DC" w:rsidP="000457DC">
      <w:pPr>
        <w:pStyle w:val="Bibliography"/>
        <w:rPr>
          <w:rFonts w:ascii="Arial" w:hAnsi="Arial" w:cs="Arial"/>
        </w:rPr>
      </w:pPr>
      <w:r w:rsidRPr="000457DC">
        <w:rPr>
          <w:rFonts w:ascii="Arial" w:hAnsi="Arial" w:cs="Arial"/>
        </w:rPr>
        <w:t xml:space="preserve">3. </w:t>
      </w:r>
      <w:r w:rsidRPr="000457DC">
        <w:rPr>
          <w:rFonts w:ascii="Arial" w:hAnsi="Arial" w:cs="Arial"/>
        </w:rPr>
        <w:tab/>
        <w:t xml:space="preserve">Iyer AS, Jones FK, Nodoushani A, et al. Dynamics and significance of the antibody response to SARS-CoV-2 infection. </w:t>
      </w:r>
      <w:r w:rsidRPr="000457DC">
        <w:rPr>
          <w:rFonts w:ascii="Arial" w:hAnsi="Arial" w:cs="Arial"/>
          <w:i/>
          <w:iCs/>
        </w:rPr>
        <w:t>medRxiv</w:t>
      </w:r>
      <w:r w:rsidRPr="000457DC">
        <w:rPr>
          <w:rFonts w:ascii="Arial" w:hAnsi="Arial" w:cs="Arial"/>
        </w:rPr>
        <w:t>. Published online July 20, 2020:2020.07.18.20155374. doi:10.1101/2020.07.18.20155374</w:t>
      </w:r>
    </w:p>
    <w:p w14:paraId="18F616B7" w14:textId="77777777" w:rsidR="000457DC" w:rsidRPr="000457DC" w:rsidRDefault="000457DC" w:rsidP="000457DC">
      <w:pPr>
        <w:pStyle w:val="Bibliography"/>
        <w:rPr>
          <w:rFonts w:ascii="Arial" w:hAnsi="Arial" w:cs="Arial"/>
        </w:rPr>
      </w:pPr>
      <w:r w:rsidRPr="000457DC">
        <w:rPr>
          <w:rFonts w:ascii="Arial" w:hAnsi="Arial" w:cs="Arial"/>
        </w:rPr>
        <w:t xml:space="preserve">4. </w:t>
      </w:r>
      <w:r w:rsidRPr="000457DC">
        <w:rPr>
          <w:rFonts w:ascii="Arial" w:hAnsi="Arial" w:cs="Arial"/>
        </w:rPr>
        <w:tab/>
        <w:t xml:space="preserve">Maine GN, Lao KM, Krishnan SM, et al. Longitudinal characterization of the IgM and IgG humoral response in symptomatic COVID-19 patients using the Abbott Architect. </w:t>
      </w:r>
      <w:r w:rsidRPr="000457DC">
        <w:rPr>
          <w:rFonts w:ascii="Arial" w:hAnsi="Arial" w:cs="Arial"/>
          <w:i/>
          <w:iCs/>
        </w:rPr>
        <w:t>J Clin Virol</w:t>
      </w:r>
      <w:r w:rsidRPr="000457DC">
        <w:rPr>
          <w:rFonts w:ascii="Arial" w:hAnsi="Arial" w:cs="Arial"/>
        </w:rPr>
        <w:t>. 2020;133:104663. doi:10.1016/j.jcv.2020.104663</w:t>
      </w:r>
    </w:p>
    <w:p w14:paraId="33D236FC" w14:textId="77777777" w:rsidR="000457DC" w:rsidRPr="000457DC" w:rsidRDefault="000457DC" w:rsidP="000457DC">
      <w:pPr>
        <w:pStyle w:val="Bibliography"/>
        <w:rPr>
          <w:rFonts w:ascii="Arial" w:hAnsi="Arial" w:cs="Arial"/>
        </w:rPr>
      </w:pPr>
      <w:r w:rsidRPr="000457DC">
        <w:rPr>
          <w:rFonts w:ascii="Arial" w:hAnsi="Arial" w:cs="Arial"/>
        </w:rPr>
        <w:t xml:space="preserve">5. </w:t>
      </w:r>
      <w:r w:rsidRPr="000457DC">
        <w:rPr>
          <w:rFonts w:ascii="Arial" w:hAnsi="Arial" w:cs="Arial"/>
        </w:rPr>
        <w:tab/>
        <w:t xml:space="preserve">Kahre E, Galow L, Unrath M, et al. Kinetics and seroprevalence of SARS-CoV-2 antibodies: a comparison of 3 different assays. </w:t>
      </w:r>
      <w:r w:rsidRPr="000457DC">
        <w:rPr>
          <w:rFonts w:ascii="Arial" w:hAnsi="Arial" w:cs="Arial"/>
          <w:i/>
          <w:iCs/>
        </w:rPr>
        <w:t>Sci Rep</w:t>
      </w:r>
      <w:r w:rsidRPr="000457DC">
        <w:rPr>
          <w:rFonts w:ascii="Arial" w:hAnsi="Arial" w:cs="Arial"/>
        </w:rPr>
        <w:t>. 2021;11(1):14893. doi:10.1038/s41598-021-94453-5</w:t>
      </w:r>
    </w:p>
    <w:p w14:paraId="562AD8EC" w14:textId="2ABC49F1" w:rsidR="003C6D6C" w:rsidRDefault="003C6D6C" w:rsidP="003C6D6C">
      <w:pPr>
        <w:pStyle w:val="BodyText"/>
        <w:rPr>
          <w:rFonts w:ascii="Arial" w:hAnsi="Arial" w:cs="Arial"/>
          <w:b/>
        </w:rPr>
      </w:pPr>
      <w:r>
        <w:rPr>
          <w:rFonts w:ascii="Arial" w:hAnsi="Arial" w:cs="Arial"/>
          <w:b/>
        </w:rPr>
        <w:fldChar w:fldCharType="end"/>
      </w:r>
    </w:p>
    <w:p w14:paraId="5B903D02" w14:textId="1A4A567E" w:rsidR="00316B04" w:rsidRPr="00316B04" w:rsidRDefault="00316B04" w:rsidP="00316B04">
      <w:pPr>
        <w:pStyle w:val="BodyText"/>
        <w:rPr>
          <w:rFonts w:ascii="Arial" w:hAnsi="Arial" w:cs="Arial"/>
        </w:rPr>
      </w:pPr>
    </w:p>
    <w:sectPr w:rsidR="00316B04" w:rsidRPr="00316B04" w:rsidSect="00A8254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60BF" w14:textId="77777777" w:rsidR="0023400F" w:rsidRDefault="0023400F">
      <w:pPr>
        <w:spacing w:after="0"/>
      </w:pPr>
      <w:r>
        <w:separator/>
      </w:r>
    </w:p>
  </w:endnote>
  <w:endnote w:type="continuationSeparator" w:id="0">
    <w:p w14:paraId="35DC5980" w14:textId="77777777" w:rsidR="0023400F" w:rsidRDefault="00234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F8E6" w14:textId="77777777" w:rsidR="0023400F" w:rsidRDefault="0023400F">
      <w:r>
        <w:separator/>
      </w:r>
    </w:p>
  </w:footnote>
  <w:footnote w:type="continuationSeparator" w:id="0">
    <w:p w14:paraId="54793A87" w14:textId="77777777" w:rsidR="0023400F" w:rsidRDefault="0023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851048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508CA89"/>
    <w:multiLevelType w:val="multilevel"/>
    <w:tmpl w:val="3B34A6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0BE3EBE"/>
    <w:multiLevelType w:val="hybridMultilevel"/>
    <w:tmpl w:val="25F81A0E"/>
    <w:lvl w:ilvl="0" w:tplc="C79A02A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A85"/>
    <w:rsid w:val="00011C8B"/>
    <w:rsid w:val="000457DC"/>
    <w:rsid w:val="00056AE9"/>
    <w:rsid w:val="000611B9"/>
    <w:rsid w:val="000743C6"/>
    <w:rsid w:val="000A2368"/>
    <w:rsid w:val="000C5E01"/>
    <w:rsid w:val="000E5939"/>
    <w:rsid w:val="0010102D"/>
    <w:rsid w:val="00126A93"/>
    <w:rsid w:val="00130DEF"/>
    <w:rsid w:val="0013164C"/>
    <w:rsid w:val="00185C51"/>
    <w:rsid w:val="001909F5"/>
    <w:rsid w:val="001A21AB"/>
    <w:rsid w:val="001B2110"/>
    <w:rsid w:val="001F2090"/>
    <w:rsid w:val="00222CE9"/>
    <w:rsid w:val="00231C4D"/>
    <w:rsid w:val="00231F65"/>
    <w:rsid w:val="0023400F"/>
    <w:rsid w:val="00251AA5"/>
    <w:rsid w:val="0026287E"/>
    <w:rsid w:val="00271DD2"/>
    <w:rsid w:val="00273C2F"/>
    <w:rsid w:val="00275699"/>
    <w:rsid w:val="00297F45"/>
    <w:rsid w:val="002B04D4"/>
    <w:rsid w:val="002E7F8E"/>
    <w:rsid w:val="002F1E13"/>
    <w:rsid w:val="00316B04"/>
    <w:rsid w:val="00370B24"/>
    <w:rsid w:val="0037428F"/>
    <w:rsid w:val="003843B3"/>
    <w:rsid w:val="003B0B9C"/>
    <w:rsid w:val="003C6D6C"/>
    <w:rsid w:val="003C7B0E"/>
    <w:rsid w:val="003D637F"/>
    <w:rsid w:val="003F74F3"/>
    <w:rsid w:val="00410C45"/>
    <w:rsid w:val="004145A1"/>
    <w:rsid w:val="00423D16"/>
    <w:rsid w:val="004442F3"/>
    <w:rsid w:val="00466825"/>
    <w:rsid w:val="00477441"/>
    <w:rsid w:val="004C6E4E"/>
    <w:rsid w:val="004E29B3"/>
    <w:rsid w:val="004E3733"/>
    <w:rsid w:val="00500DCD"/>
    <w:rsid w:val="00517BEF"/>
    <w:rsid w:val="00534DBD"/>
    <w:rsid w:val="00543B3D"/>
    <w:rsid w:val="00546ACD"/>
    <w:rsid w:val="00590D07"/>
    <w:rsid w:val="00591D62"/>
    <w:rsid w:val="00596B11"/>
    <w:rsid w:val="005B12FE"/>
    <w:rsid w:val="005E62A8"/>
    <w:rsid w:val="00600747"/>
    <w:rsid w:val="006318D8"/>
    <w:rsid w:val="006402D6"/>
    <w:rsid w:val="00647104"/>
    <w:rsid w:val="00670EBF"/>
    <w:rsid w:val="00671BD4"/>
    <w:rsid w:val="006755DD"/>
    <w:rsid w:val="006803E4"/>
    <w:rsid w:val="006855F2"/>
    <w:rsid w:val="006875F7"/>
    <w:rsid w:val="00692071"/>
    <w:rsid w:val="006A3E48"/>
    <w:rsid w:val="006C54AF"/>
    <w:rsid w:val="006C5A12"/>
    <w:rsid w:val="006D0973"/>
    <w:rsid w:val="006E0C16"/>
    <w:rsid w:val="006E114B"/>
    <w:rsid w:val="006F09CE"/>
    <w:rsid w:val="00702243"/>
    <w:rsid w:val="00712994"/>
    <w:rsid w:val="00720BF0"/>
    <w:rsid w:val="007234BB"/>
    <w:rsid w:val="007277C9"/>
    <w:rsid w:val="00744535"/>
    <w:rsid w:val="0074547F"/>
    <w:rsid w:val="007464D2"/>
    <w:rsid w:val="007567F8"/>
    <w:rsid w:val="00781339"/>
    <w:rsid w:val="00784D58"/>
    <w:rsid w:val="007C62B0"/>
    <w:rsid w:val="00805BCD"/>
    <w:rsid w:val="00811219"/>
    <w:rsid w:val="008374BB"/>
    <w:rsid w:val="0084061F"/>
    <w:rsid w:val="008954EA"/>
    <w:rsid w:val="008B1ACE"/>
    <w:rsid w:val="008B775E"/>
    <w:rsid w:val="008D208D"/>
    <w:rsid w:val="008D6863"/>
    <w:rsid w:val="008E3F87"/>
    <w:rsid w:val="008E4948"/>
    <w:rsid w:val="00901762"/>
    <w:rsid w:val="009130A7"/>
    <w:rsid w:val="00920D37"/>
    <w:rsid w:val="00930468"/>
    <w:rsid w:val="009636EB"/>
    <w:rsid w:val="00966ACF"/>
    <w:rsid w:val="00972DB6"/>
    <w:rsid w:val="009768AC"/>
    <w:rsid w:val="0098069F"/>
    <w:rsid w:val="009D20E9"/>
    <w:rsid w:val="009D4DC0"/>
    <w:rsid w:val="009E2B04"/>
    <w:rsid w:val="00A0349B"/>
    <w:rsid w:val="00A27955"/>
    <w:rsid w:val="00A46204"/>
    <w:rsid w:val="00A50D49"/>
    <w:rsid w:val="00A62160"/>
    <w:rsid w:val="00A82540"/>
    <w:rsid w:val="00A94530"/>
    <w:rsid w:val="00AA43A7"/>
    <w:rsid w:val="00AA7FF6"/>
    <w:rsid w:val="00AB3E6E"/>
    <w:rsid w:val="00AC5037"/>
    <w:rsid w:val="00AD045B"/>
    <w:rsid w:val="00AD6A0F"/>
    <w:rsid w:val="00AE0FFD"/>
    <w:rsid w:val="00AE60A3"/>
    <w:rsid w:val="00AE7A61"/>
    <w:rsid w:val="00B04725"/>
    <w:rsid w:val="00B11DB6"/>
    <w:rsid w:val="00B406B8"/>
    <w:rsid w:val="00B472FD"/>
    <w:rsid w:val="00B66A89"/>
    <w:rsid w:val="00B728CE"/>
    <w:rsid w:val="00B72BFC"/>
    <w:rsid w:val="00B86B75"/>
    <w:rsid w:val="00B875E8"/>
    <w:rsid w:val="00BB0F6E"/>
    <w:rsid w:val="00BB70AD"/>
    <w:rsid w:val="00BC3564"/>
    <w:rsid w:val="00BC48D5"/>
    <w:rsid w:val="00BC6B40"/>
    <w:rsid w:val="00BE58DF"/>
    <w:rsid w:val="00BF2470"/>
    <w:rsid w:val="00C00B2F"/>
    <w:rsid w:val="00C01296"/>
    <w:rsid w:val="00C01A29"/>
    <w:rsid w:val="00C36279"/>
    <w:rsid w:val="00C62C7C"/>
    <w:rsid w:val="00C728EC"/>
    <w:rsid w:val="00C80AC2"/>
    <w:rsid w:val="00CA26E9"/>
    <w:rsid w:val="00CA7388"/>
    <w:rsid w:val="00CB3F85"/>
    <w:rsid w:val="00CB40F5"/>
    <w:rsid w:val="00CE1891"/>
    <w:rsid w:val="00D001D2"/>
    <w:rsid w:val="00D24D05"/>
    <w:rsid w:val="00D26254"/>
    <w:rsid w:val="00D62E49"/>
    <w:rsid w:val="00D63CB2"/>
    <w:rsid w:val="00D77C7C"/>
    <w:rsid w:val="00D809B8"/>
    <w:rsid w:val="00D81F32"/>
    <w:rsid w:val="00DB1EBA"/>
    <w:rsid w:val="00DC02D0"/>
    <w:rsid w:val="00DC74C9"/>
    <w:rsid w:val="00DE0B5E"/>
    <w:rsid w:val="00DE0E11"/>
    <w:rsid w:val="00DE361A"/>
    <w:rsid w:val="00DF4309"/>
    <w:rsid w:val="00E00316"/>
    <w:rsid w:val="00E315A3"/>
    <w:rsid w:val="00E44D20"/>
    <w:rsid w:val="00EA3C12"/>
    <w:rsid w:val="00EB3690"/>
    <w:rsid w:val="00EC00CF"/>
    <w:rsid w:val="00ED655A"/>
    <w:rsid w:val="00ED6A2C"/>
    <w:rsid w:val="00ED7575"/>
    <w:rsid w:val="00F063E8"/>
    <w:rsid w:val="00F44067"/>
    <w:rsid w:val="00F56688"/>
    <w:rsid w:val="00F6307B"/>
    <w:rsid w:val="00F83A75"/>
    <w:rsid w:val="00F94DF9"/>
    <w:rsid w:val="00F97C82"/>
    <w:rsid w:val="00FA51F7"/>
    <w:rsid w:val="00FA5207"/>
    <w:rsid w:val="00FB162C"/>
    <w:rsid w:val="00FB3DB9"/>
    <w:rsid w:val="00FC60C9"/>
    <w:rsid w:val="00FD3172"/>
    <w:rsid w:val="00FE5705"/>
    <w:rsid w:val="00FF3E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03836"/>
  <w15:docId w15:val="{F6CCB1B2-5F14-4A0E-A441-B4EFE5B5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pPr>
      <w:tabs>
        <w:tab w:val="left" w:pos="384"/>
      </w:tabs>
      <w:spacing w:after="240"/>
      <w:ind w:left="384" w:hanging="384"/>
    </w:p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
    <w:name w:val="Table Grid"/>
    <w:basedOn w:val="TableNormal"/>
    <w:rsid w:val="00316B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16B0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16B04"/>
    <w:rPr>
      <w:rFonts w:ascii="Segoe UI" w:hAnsi="Segoe UI" w:cs="Segoe UI"/>
      <w:sz w:val="18"/>
      <w:szCs w:val="18"/>
    </w:rPr>
  </w:style>
  <w:style w:type="character" w:styleId="CommentReference">
    <w:name w:val="annotation reference"/>
    <w:basedOn w:val="DefaultParagraphFont"/>
    <w:semiHidden/>
    <w:unhideWhenUsed/>
    <w:rsid w:val="006755DD"/>
    <w:rPr>
      <w:sz w:val="16"/>
      <w:szCs w:val="16"/>
    </w:rPr>
  </w:style>
  <w:style w:type="paragraph" w:styleId="CommentText">
    <w:name w:val="annotation text"/>
    <w:basedOn w:val="Normal"/>
    <w:link w:val="CommentTextChar"/>
    <w:semiHidden/>
    <w:unhideWhenUsed/>
    <w:rsid w:val="006755DD"/>
    <w:rPr>
      <w:sz w:val="20"/>
      <w:szCs w:val="20"/>
    </w:rPr>
  </w:style>
  <w:style w:type="character" w:customStyle="1" w:styleId="CommentTextChar">
    <w:name w:val="Comment Text Char"/>
    <w:basedOn w:val="DefaultParagraphFont"/>
    <w:link w:val="CommentText"/>
    <w:semiHidden/>
    <w:rsid w:val="006755DD"/>
    <w:rPr>
      <w:sz w:val="20"/>
      <w:szCs w:val="20"/>
    </w:rPr>
  </w:style>
  <w:style w:type="paragraph" w:styleId="CommentSubject">
    <w:name w:val="annotation subject"/>
    <w:basedOn w:val="CommentText"/>
    <w:next w:val="CommentText"/>
    <w:link w:val="CommentSubjectChar"/>
    <w:semiHidden/>
    <w:unhideWhenUsed/>
    <w:rsid w:val="006755DD"/>
    <w:rPr>
      <w:b/>
      <w:bCs/>
    </w:rPr>
  </w:style>
  <w:style w:type="character" w:customStyle="1" w:styleId="CommentSubjectChar">
    <w:name w:val="Comment Subject Char"/>
    <w:basedOn w:val="CommentTextChar"/>
    <w:link w:val="CommentSubject"/>
    <w:semiHidden/>
    <w:rsid w:val="006755DD"/>
    <w:rPr>
      <w:b/>
      <w:bCs/>
      <w:sz w:val="20"/>
      <w:szCs w:val="20"/>
    </w:rPr>
  </w:style>
  <w:style w:type="character" w:styleId="FollowedHyperlink">
    <w:name w:val="FollowedHyperlink"/>
    <w:basedOn w:val="DefaultParagraphFont"/>
    <w:rsid w:val="00D63CB2"/>
    <w:rPr>
      <w:color w:val="800080" w:themeColor="followedHyperlink"/>
      <w:u w:val="single"/>
    </w:rPr>
  </w:style>
  <w:style w:type="paragraph" w:styleId="Revision">
    <w:name w:val="Revision"/>
    <w:hidden/>
    <w:semiHidden/>
    <w:rsid w:val="00DC74C9"/>
    <w:pPr>
      <w:spacing w:after="0"/>
    </w:pPr>
  </w:style>
  <w:style w:type="character" w:styleId="LineNumber">
    <w:name w:val="line number"/>
    <w:basedOn w:val="DefaultParagraphFont"/>
    <w:semiHidden/>
    <w:unhideWhenUsed/>
    <w:rsid w:val="00273C2F"/>
  </w:style>
  <w:style w:type="character" w:styleId="PlaceholderText">
    <w:name w:val="Placeholder Text"/>
    <w:basedOn w:val="DefaultParagraphFont"/>
    <w:semiHidden/>
    <w:rsid w:val="00B04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01148">
      <w:bodyDiv w:val="1"/>
      <w:marLeft w:val="0"/>
      <w:marRight w:val="0"/>
      <w:marTop w:val="0"/>
      <w:marBottom w:val="0"/>
      <w:divBdr>
        <w:top w:val="none" w:sz="0" w:space="0" w:color="auto"/>
        <w:left w:val="none" w:sz="0" w:space="0" w:color="auto"/>
        <w:bottom w:val="none" w:sz="0" w:space="0" w:color="auto"/>
        <w:right w:val="none" w:sz="0" w:space="0" w:color="auto"/>
      </w:divBdr>
    </w:div>
    <w:div w:id="667054506">
      <w:bodyDiv w:val="1"/>
      <w:marLeft w:val="0"/>
      <w:marRight w:val="0"/>
      <w:marTop w:val="0"/>
      <w:marBottom w:val="0"/>
      <w:divBdr>
        <w:top w:val="none" w:sz="0" w:space="0" w:color="auto"/>
        <w:left w:val="none" w:sz="0" w:space="0" w:color="auto"/>
        <w:bottom w:val="none" w:sz="0" w:space="0" w:color="auto"/>
        <w:right w:val="none" w:sz="0" w:space="0" w:color="auto"/>
      </w:divBdr>
    </w:div>
    <w:div w:id="1727725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jgpetrie/MI_COVID_bur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0B53-1162-47FE-8836-01FF9B86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6</Pages>
  <Words>1079</Words>
  <Characters>19628</Characters>
  <Application>Microsoft Office Word</Application>
  <DocSecurity>0</DocSecurity>
  <Lines>163</Lines>
  <Paragraphs>41</Paragraphs>
  <ScaleCrop>false</ScaleCrop>
  <HeadingPairs>
    <vt:vector size="2" baseType="variant">
      <vt:variant>
        <vt:lpstr>Title</vt:lpstr>
      </vt:variant>
      <vt:variant>
        <vt:i4>1</vt:i4>
      </vt:variant>
    </vt:vector>
  </HeadingPairs>
  <TitlesOfParts>
    <vt:vector size="1" baseType="lpstr">
      <vt:lpstr>SARS-CoV-2 Variant Burden manuscript</vt:lpstr>
    </vt:vector>
  </TitlesOfParts>
  <Company>University of Michigan</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SARS-CoV-2 Variant Burden manuscript</dc:title>
  <dc:subject/>
  <dc:creator>Joshua G. Petrie, Marisa C. Eisenberg, Julie Gilbert, Samantha Harrison, Peter DeJonge, et al., Emily T. Martin</dc:creator>
  <cp:keywords/>
  <dc:description/>
  <cp:lastModifiedBy>Petrie, Joshua PHD</cp:lastModifiedBy>
  <cp:revision>4</cp:revision>
  <dcterms:created xsi:type="dcterms:W3CDTF">2022-03-22T15:52:00Z</dcterms:created>
  <dcterms:modified xsi:type="dcterms:W3CDTF">2022-06-13T16:24:00Z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zotero-version="6.0.1"&gt;&lt;session id="1WAiH3zD"/&gt;&lt;style id="http://www.zotero.org/styles/american-medical-association" hasBibliography="1" bibliographyStyleHasBeenSet="1"/&gt;&lt;prefs&gt;&lt;pref name="fieldType" value="Field"/&gt;&lt;/prefs&gt;&lt;/data&gt;</vt:lpwstr>
  </property>
</Properties>
</file>