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7D3" w:rsidRDefault="00A80B19" w:rsidP="00C857D3">
      <w:pPr>
        <w:spacing w:line="240" w:lineRule="auto"/>
        <w:jc w:val="center"/>
      </w:pPr>
      <w:r w:rsidRPr="00355692">
        <w:rPr>
          <w:i/>
          <w:u w:val="single"/>
        </w:rPr>
        <w:t>Supplementary material</w:t>
      </w:r>
      <w:r w:rsidR="009E2932" w:rsidRPr="00C857D3">
        <w:rPr>
          <w:u w:val="single"/>
        </w:rPr>
        <w:t>:</w:t>
      </w:r>
      <w:r w:rsidR="009E2932">
        <w:t xml:space="preserve"> “</w:t>
      </w:r>
      <w:r w:rsidR="00C857D3">
        <w:t>Alternative waist-to-height ratios associated with risk biomarkers in youth with diabetes:</w:t>
      </w:r>
    </w:p>
    <w:p w:rsidR="00FC70C6" w:rsidRDefault="00C857D3" w:rsidP="00C857D3">
      <w:pPr>
        <w:spacing w:line="240" w:lineRule="auto"/>
        <w:jc w:val="center"/>
      </w:pPr>
      <w:r>
        <w:t>Comparative models in the SEARCH for Diabetes in Youth Study</w:t>
      </w:r>
      <w:r>
        <w:t>”</w:t>
      </w:r>
    </w:p>
    <w:p w:rsidR="00A80B19" w:rsidRPr="00355692" w:rsidRDefault="00A80B19">
      <w:pPr>
        <w:rPr>
          <w:i/>
        </w:rPr>
      </w:pPr>
    </w:p>
    <w:p w:rsidR="00C857D3" w:rsidRPr="00C857D3" w:rsidRDefault="00C857D3" w:rsidP="00C857D3">
      <w:pPr>
        <w:pStyle w:val="ListParagraph"/>
        <w:numPr>
          <w:ilvl w:val="0"/>
          <w:numId w:val="4"/>
        </w:numPr>
        <w:spacing w:line="276" w:lineRule="auto"/>
        <w:rPr>
          <w:bCs/>
        </w:rPr>
      </w:pPr>
      <w:r w:rsidRPr="00C857D3">
        <w:rPr>
          <w:b/>
          <w:bCs/>
        </w:rPr>
        <w:t>Figure S1</w:t>
      </w:r>
      <w:r w:rsidRPr="00C857D3">
        <w:rPr>
          <w:bCs/>
        </w:rPr>
        <w:t xml:space="preserve">.  Scatterplots at baseline exam showing alternative WHtR values and cross-sectional predicted models for six biomarker outcomes. </w:t>
      </w:r>
    </w:p>
    <w:p w:rsidR="00C857D3" w:rsidRDefault="00C857D3" w:rsidP="00C857D3">
      <w:pPr>
        <w:spacing w:line="276" w:lineRule="auto"/>
        <w:rPr>
          <w:bCs/>
        </w:rPr>
      </w:pPr>
    </w:p>
    <w:p w:rsidR="00C857D3" w:rsidRPr="00C857D3" w:rsidRDefault="00C857D3" w:rsidP="00C857D3">
      <w:pPr>
        <w:pStyle w:val="ListParagraph"/>
        <w:numPr>
          <w:ilvl w:val="0"/>
          <w:numId w:val="4"/>
        </w:numPr>
        <w:spacing w:line="276" w:lineRule="auto"/>
        <w:rPr>
          <w:rFonts w:eastAsia="Times New Roman" w:cs="Calibri"/>
        </w:rPr>
      </w:pPr>
      <w:r w:rsidRPr="00C857D3">
        <w:rPr>
          <w:b/>
          <w:bCs/>
        </w:rPr>
        <w:t>Figure S2</w:t>
      </w:r>
      <w:r w:rsidRPr="00C857D3">
        <w:rPr>
          <w:bCs/>
        </w:rPr>
        <w:t>.  P</w:t>
      </w:r>
      <w:bookmarkStart w:id="0" w:name="_GoBack"/>
      <w:bookmarkEnd w:id="0"/>
      <w:r w:rsidRPr="00C857D3">
        <w:rPr>
          <w:bCs/>
        </w:rPr>
        <w:t xml:space="preserve">lots of </w:t>
      </w:r>
      <w:r w:rsidRPr="00C857D3">
        <w:rPr>
          <w:rFonts w:eastAsia="Times New Roman" w:cs="Calibri"/>
        </w:rPr>
        <w:t>AUCs (area under the receiver operator curve) at baseline exam for six biomarker outcomes.</w:t>
      </w:r>
    </w:p>
    <w:p w:rsidR="00C857D3" w:rsidRDefault="00C857D3" w:rsidP="00C857D3">
      <w:pPr>
        <w:spacing w:line="276" w:lineRule="auto"/>
        <w:rPr>
          <w:bCs/>
        </w:rPr>
      </w:pPr>
    </w:p>
    <w:p w:rsidR="00C857D3" w:rsidRPr="00C857D3" w:rsidRDefault="00C857D3" w:rsidP="00C857D3">
      <w:pPr>
        <w:pStyle w:val="ListParagraph"/>
        <w:numPr>
          <w:ilvl w:val="0"/>
          <w:numId w:val="4"/>
        </w:numPr>
        <w:spacing w:line="276" w:lineRule="auto"/>
        <w:rPr>
          <w:bCs/>
        </w:rPr>
      </w:pPr>
      <w:r w:rsidRPr="00C857D3">
        <w:rPr>
          <w:b/>
          <w:bCs/>
        </w:rPr>
        <w:t>Figure S3</w:t>
      </w:r>
      <w:r w:rsidRPr="00C857D3">
        <w:rPr>
          <w:bCs/>
        </w:rPr>
        <w:t xml:space="preserve">.  Scatterplots at follow-up exam showing alternative WHtR values and prospective predicted models for six biomarker outcomes. </w:t>
      </w:r>
    </w:p>
    <w:p w:rsidR="00C857D3" w:rsidRPr="00C857D3" w:rsidRDefault="00C857D3" w:rsidP="00C857D3">
      <w:pPr>
        <w:spacing w:line="276" w:lineRule="auto"/>
        <w:rPr>
          <w:b/>
          <w:bCs/>
        </w:rPr>
      </w:pPr>
    </w:p>
    <w:p w:rsidR="00C857D3" w:rsidRPr="00C857D3" w:rsidRDefault="00C857D3" w:rsidP="00C857D3">
      <w:pPr>
        <w:pStyle w:val="ListParagraph"/>
        <w:numPr>
          <w:ilvl w:val="0"/>
          <w:numId w:val="4"/>
        </w:numPr>
        <w:spacing w:line="276" w:lineRule="auto"/>
        <w:rPr>
          <w:rFonts w:eastAsia="Times New Roman" w:cs="Calibri"/>
        </w:rPr>
      </w:pPr>
      <w:r w:rsidRPr="00C857D3">
        <w:rPr>
          <w:b/>
          <w:bCs/>
        </w:rPr>
        <w:t>Figure S4</w:t>
      </w:r>
      <w:r w:rsidRPr="00C857D3">
        <w:rPr>
          <w:bCs/>
        </w:rPr>
        <w:t xml:space="preserve">.  Plots of </w:t>
      </w:r>
      <w:r w:rsidRPr="00C857D3">
        <w:rPr>
          <w:rFonts w:eastAsia="Times New Roman" w:cs="Calibri"/>
        </w:rPr>
        <w:t xml:space="preserve">AUCs (area under the receiver operator curve) at follow-up exam for six biomarker outcomes.  </w:t>
      </w:r>
    </w:p>
    <w:p w:rsidR="00A80B19" w:rsidRDefault="00A80B19" w:rsidP="00C857D3">
      <w:pPr>
        <w:spacing w:line="240" w:lineRule="auto"/>
      </w:pPr>
    </w:p>
    <w:p w:rsidR="00A80B19" w:rsidRDefault="00A80B19"/>
    <w:p w:rsidR="00C857D3" w:rsidRDefault="00C857D3"/>
    <w:p w:rsidR="00C857D3" w:rsidRDefault="00C857D3"/>
    <w:p w:rsidR="00C857D3" w:rsidRDefault="00C857D3"/>
    <w:p w:rsidR="00C857D3" w:rsidRDefault="00C857D3"/>
    <w:p w:rsidR="00C857D3" w:rsidRDefault="00C857D3"/>
    <w:p w:rsidR="00C857D3" w:rsidRDefault="00C857D3"/>
    <w:p w:rsidR="00C857D3" w:rsidRDefault="00C857D3"/>
    <w:p w:rsidR="00C857D3" w:rsidRDefault="00C857D3"/>
    <w:p w:rsidR="00C857D3" w:rsidRDefault="00C857D3"/>
    <w:p w:rsidR="00C857D3" w:rsidRDefault="00C857D3"/>
    <w:p w:rsidR="00C857D3" w:rsidRDefault="00C857D3"/>
    <w:p w:rsidR="00C857D3" w:rsidRDefault="00C857D3"/>
    <w:p w:rsidR="00C857D3" w:rsidRDefault="00C857D3"/>
    <w:p w:rsidR="00C857D3" w:rsidRDefault="00C857D3"/>
    <w:p w:rsidR="00C857D3" w:rsidRDefault="00C857D3"/>
    <w:p w:rsidR="00C857D3" w:rsidRDefault="00C857D3"/>
    <w:p w:rsidR="00C857D3" w:rsidRDefault="00C857D3">
      <w:pPr>
        <w:rPr>
          <w:b/>
        </w:rPr>
      </w:pPr>
      <w:r>
        <w:rPr>
          <w:b/>
        </w:rPr>
        <w:br w:type="page"/>
      </w:r>
    </w:p>
    <w:p w:rsidR="00C857D3" w:rsidRPr="00C857D3" w:rsidRDefault="00C857D3" w:rsidP="00C857D3">
      <w:r w:rsidRPr="00C857D3">
        <w:rPr>
          <w:b/>
        </w:rPr>
        <w:lastRenderedPageBreak/>
        <w:t>Figure S1</w:t>
      </w:r>
      <w:r w:rsidRPr="00C857D3">
        <w:t>.  Scatterplots at baseline exam showing alternative WHtR values and cross-sectional predicted models for six biomarker outcomes.</w:t>
      </w:r>
    </w:p>
    <w:p w:rsidR="00A80B19" w:rsidRDefault="009E2932">
      <w:r w:rsidRPr="009E2932">
        <w:rPr>
          <w:noProof/>
        </w:rPr>
        <w:drawing>
          <wp:inline distT="0" distB="0" distL="0" distR="0">
            <wp:extent cx="7203057" cy="728981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328" cy="73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7D3" w:rsidRDefault="00C857D3" w:rsidP="00C857D3">
      <w:pPr>
        <w:spacing w:line="276" w:lineRule="auto"/>
        <w:rPr>
          <w:bCs/>
        </w:rPr>
      </w:pPr>
    </w:p>
    <w:p w:rsidR="00C857D3" w:rsidRPr="00C857D3" w:rsidRDefault="00C857D3" w:rsidP="00C857D3">
      <w:pPr>
        <w:spacing w:line="240" w:lineRule="auto"/>
        <w:rPr>
          <w:bCs/>
        </w:rPr>
      </w:pPr>
      <w:r>
        <w:rPr>
          <w:bCs/>
        </w:rPr>
        <w:t>R</w:t>
      </w:r>
      <w:r w:rsidRPr="00C857D3">
        <w:rPr>
          <w:bCs/>
        </w:rPr>
        <w:t xml:space="preserve">ed circles indicate </w:t>
      </w:r>
      <w:proofErr w:type="spellStart"/>
      <w:r w:rsidRPr="00C857D3">
        <w:rPr>
          <w:bCs/>
        </w:rPr>
        <w:t>W</w:t>
      </w:r>
      <w:r w:rsidRPr="00C857D3">
        <w:rPr>
          <w:bCs/>
          <w:vertAlign w:val="subscript"/>
        </w:rPr>
        <w:t>NHA</w:t>
      </w:r>
      <w:r w:rsidRPr="00C857D3">
        <w:rPr>
          <w:bCs/>
        </w:rPr>
        <w:t>HtR</w:t>
      </w:r>
      <w:proofErr w:type="spellEnd"/>
      <w:r w:rsidRPr="00C857D3">
        <w:rPr>
          <w:bCs/>
        </w:rPr>
        <w:t xml:space="preserve"> and blue triangles indicate </w:t>
      </w:r>
      <w:proofErr w:type="spellStart"/>
      <w:r w:rsidRPr="00C857D3">
        <w:rPr>
          <w:bCs/>
        </w:rPr>
        <w:t>W</w:t>
      </w:r>
      <w:r w:rsidRPr="00C857D3">
        <w:rPr>
          <w:bCs/>
          <w:vertAlign w:val="subscript"/>
        </w:rPr>
        <w:t>WHO</w:t>
      </w:r>
      <w:r w:rsidRPr="00C857D3">
        <w:rPr>
          <w:bCs/>
        </w:rPr>
        <w:t>HtR</w:t>
      </w:r>
      <w:proofErr w:type="spellEnd"/>
      <w:r w:rsidRPr="00C857D3">
        <w:rPr>
          <w:bCs/>
        </w:rPr>
        <w:t xml:space="preserve">. </w:t>
      </w:r>
    </w:p>
    <w:p w:rsidR="00C857D3" w:rsidRDefault="00C857D3" w:rsidP="00C857D3">
      <w:pPr>
        <w:spacing w:line="240" w:lineRule="auto"/>
        <w:rPr>
          <w:bCs/>
        </w:rPr>
      </w:pPr>
      <w:r w:rsidRPr="00C857D3">
        <w:rPr>
          <w:bCs/>
        </w:rPr>
        <w:t>P</w:t>
      </w:r>
      <w:r>
        <w:t>redicted values for each cross-sectional model</w:t>
      </w:r>
      <w:r w:rsidRPr="00C857D3">
        <w:rPr>
          <w:bCs/>
        </w:rPr>
        <w:t xml:space="preserve"> are shown by red lines (using </w:t>
      </w:r>
      <w:proofErr w:type="spellStart"/>
      <w:r w:rsidRPr="00C857D3">
        <w:rPr>
          <w:bCs/>
        </w:rPr>
        <w:t>W</w:t>
      </w:r>
      <w:r w:rsidRPr="00C857D3">
        <w:rPr>
          <w:bCs/>
          <w:vertAlign w:val="subscript"/>
        </w:rPr>
        <w:t>NHA</w:t>
      </w:r>
      <w:r w:rsidRPr="00C857D3">
        <w:rPr>
          <w:bCs/>
        </w:rPr>
        <w:t>HtR</w:t>
      </w:r>
      <w:proofErr w:type="spellEnd"/>
      <w:r w:rsidRPr="00C857D3">
        <w:rPr>
          <w:bCs/>
        </w:rPr>
        <w:t xml:space="preserve">) or by blue lines (using </w:t>
      </w:r>
      <w:proofErr w:type="spellStart"/>
      <w:r w:rsidRPr="00C857D3">
        <w:rPr>
          <w:bCs/>
        </w:rPr>
        <w:t>W</w:t>
      </w:r>
      <w:r w:rsidRPr="00C857D3">
        <w:rPr>
          <w:bCs/>
          <w:vertAlign w:val="subscript"/>
        </w:rPr>
        <w:t>WHO</w:t>
      </w:r>
      <w:r w:rsidRPr="00C857D3">
        <w:rPr>
          <w:bCs/>
        </w:rPr>
        <w:t>HtR</w:t>
      </w:r>
      <w:proofErr w:type="spellEnd"/>
      <w:r w:rsidRPr="00C857D3">
        <w:rPr>
          <w:bCs/>
        </w:rPr>
        <w:t>).</w:t>
      </w:r>
    </w:p>
    <w:p w:rsidR="001935E9" w:rsidRDefault="001935E9" w:rsidP="001935E9">
      <w:pPr>
        <w:spacing w:line="276" w:lineRule="auto"/>
        <w:rPr>
          <w:rFonts w:eastAsia="Times New Roman" w:cs="Calibri"/>
        </w:rPr>
      </w:pPr>
      <w:r w:rsidRPr="001935E9">
        <w:rPr>
          <w:b/>
          <w:bCs/>
        </w:rPr>
        <w:lastRenderedPageBreak/>
        <w:t>Figure S2</w:t>
      </w:r>
      <w:r w:rsidRPr="001935E9">
        <w:rPr>
          <w:bCs/>
        </w:rPr>
        <w:t xml:space="preserve">.  Plots of </w:t>
      </w:r>
      <w:r w:rsidRPr="001935E9">
        <w:rPr>
          <w:rFonts w:eastAsia="Times New Roman" w:cs="Calibri"/>
        </w:rPr>
        <w:t>AUCs (area under the receiver operator curve) at baseline exam for six biomarker outcomes.</w:t>
      </w:r>
    </w:p>
    <w:p w:rsidR="009E2932" w:rsidRDefault="009E2932">
      <w:pPr>
        <w:rPr>
          <w:noProof/>
        </w:rPr>
      </w:pPr>
    </w:p>
    <w:p w:rsidR="009E2932" w:rsidRDefault="009E2932">
      <w:r w:rsidRPr="009E2932">
        <w:rPr>
          <w:noProof/>
        </w:rPr>
        <w:drawing>
          <wp:inline distT="0" distB="0" distL="0" distR="0">
            <wp:extent cx="7321114" cy="5995359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795" cy="599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932" w:rsidRDefault="001935E9">
      <w:r w:rsidRPr="005C0C53">
        <w:rPr>
          <w:rFonts w:eastAsia="Times New Roman" w:cs="Calibri"/>
        </w:rPr>
        <w:t xml:space="preserve">Light green lines represent basic models without WHtR, red lines are models with </w:t>
      </w:r>
      <w:proofErr w:type="spellStart"/>
      <w:r w:rsidRPr="005C0C53">
        <w:rPr>
          <w:bCs/>
        </w:rPr>
        <w:t>W</w:t>
      </w:r>
      <w:r w:rsidRPr="005C0C53">
        <w:rPr>
          <w:bCs/>
          <w:vertAlign w:val="subscript"/>
        </w:rPr>
        <w:t>NHA</w:t>
      </w:r>
      <w:r w:rsidRPr="005C0C53">
        <w:rPr>
          <w:bCs/>
        </w:rPr>
        <w:t>HtR</w:t>
      </w:r>
      <w:proofErr w:type="spellEnd"/>
      <w:r w:rsidRPr="005C0C53">
        <w:rPr>
          <w:bCs/>
        </w:rPr>
        <w:t xml:space="preserve">, and blue lines are models with </w:t>
      </w:r>
      <w:proofErr w:type="spellStart"/>
      <w:r w:rsidRPr="005C0C53">
        <w:rPr>
          <w:bCs/>
        </w:rPr>
        <w:t>W</w:t>
      </w:r>
      <w:r w:rsidRPr="005C0C53">
        <w:rPr>
          <w:bCs/>
          <w:vertAlign w:val="subscript"/>
        </w:rPr>
        <w:t>WHO</w:t>
      </w:r>
      <w:r w:rsidRPr="005C0C53">
        <w:rPr>
          <w:bCs/>
        </w:rPr>
        <w:t>HtR</w:t>
      </w:r>
      <w:proofErr w:type="spellEnd"/>
      <w:r w:rsidRPr="005C0C53">
        <w:rPr>
          <w:bCs/>
        </w:rPr>
        <w:t>.</w:t>
      </w:r>
    </w:p>
    <w:p w:rsidR="009E2932" w:rsidRDefault="009E2932"/>
    <w:p w:rsidR="001935E9" w:rsidRDefault="001935E9">
      <w:r>
        <w:br w:type="page"/>
      </w:r>
    </w:p>
    <w:p w:rsidR="009E2932" w:rsidRDefault="009E2932"/>
    <w:p w:rsidR="00324AAB" w:rsidRPr="00324AAB" w:rsidRDefault="00324AAB" w:rsidP="00324AAB">
      <w:pPr>
        <w:spacing w:line="276" w:lineRule="auto"/>
        <w:rPr>
          <w:bCs/>
        </w:rPr>
      </w:pPr>
      <w:r w:rsidRPr="00324AAB">
        <w:rPr>
          <w:b/>
          <w:bCs/>
        </w:rPr>
        <w:t>Figure S3</w:t>
      </w:r>
      <w:r w:rsidRPr="00324AAB">
        <w:rPr>
          <w:bCs/>
        </w:rPr>
        <w:t xml:space="preserve">.  Scatterplots at follow-up exam showing alternative WHtR values and prospective predicted models for six biomarker outcomes. </w:t>
      </w:r>
    </w:p>
    <w:p w:rsidR="009E2932" w:rsidRDefault="009E2932">
      <w:r w:rsidRPr="009E2932">
        <w:rPr>
          <w:noProof/>
        </w:rPr>
        <w:drawing>
          <wp:inline distT="0" distB="0" distL="0" distR="0">
            <wp:extent cx="7159925" cy="7232281"/>
            <wp:effectExtent l="0" t="0" r="317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031" cy="724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AAB" w:rsidRPr="00C857D3" w:rsidRDefault="00324AAB" w:rsidP="00324AAB">
      <w:pPr>
        <w:spacing w:line="240" w:lineRule="auto"/>
        <w:rPr>
          <w:bCs/>
        </w:rPr>
      </w:pPr>
      <w:r>
        <w:rPr>
          <w:bCs/>
        </w:rPr>
        <w:t>R</w:t>
      </w:r>
      <w:r w:rsidRPr="00C857D3">
        <w:rPr>
          <w:bCs/>
        </w:rPr>
        <w:t xml:space="preserve">ed circles indicate </w:t>
      </w:r>
      <w:proofErr w:type="spellStart"/>
      <w:r w:rsidRPr="00C857D3">
        <w:rPr>
          <w:bCs/>
        </w:rPr>
        <w:t>W</w:t>
      </w:r>
      <w:r w:rsidRPr="00C857D3">
        <w:rPr>
          <w:bCs/>
          <w:vertAlign w:val="subscript"/>
        </w:rPr>
        <w:t>NHA</w:t>
      </w:r>
      <w:r w:rsidRPr="00C857D3">
        <w:rPr>
          <w:bCs/>
        </w:rPr>
        <w:t>HtR</w:t>
      </w:r>
      <w:proofErr w:type="spellEnd"/>
      <w:r w:rsidRPr="00C857D3">
        <w:rPr>
          <w:bCs/>
        </w:rPr>
        <w:t xml:space="preserve"> and blue triangles indicate </w:t>
      </w:r>
      <w:proofErr w:type="spellStart"/>
      <w:r w:rsidRPr="00C857D3">
        <w:rPr>
          <w:bCs/>
        </w:rPr>
        <w:t>W</w:t>
      </w:r>
      <w:r w:rsidRPr="00C857D3">
        <w:rPr>
          <w:bCs/>
          <w:vertAlign w:val="subscript"/>
        </w:rPr>
        <w:t>WHO</w:t>
      </w:r>
      <w:r w:rsidRPr="00C857D3">
        <w:rPr>
          <w:bCs/>
        </w:rPr>
        <w:t>HtR</w:t>
      </w:r>
      <w:proofErr w:type="spellEnd"/>
      <w:r w:rsidRPr="00C857D3">
        <w:rPr>
          <w:bCs/>
        </w:rPr>
        <w:t xml:space="preserve">. </w:t>
      </w:r>
    </w:p>
    <w:p w:rsidR="00324AAB" w:rsidRDefault="00324AAB" w:rsidP="00324AAB">
      <w:pPr>
        <w:spacing w:line="240" w:lineRule="auto"/>
        <w:rPr>
          <w:bCs/>
        </w:rPr>
      </w:pPr>
      <w:r w:rsidRPr="00C857D3">
        <w:rPr>
          <w:bCs/>
        </w:rPr>
        <w:t>P</w:t>
      </w:r>
      <w:r>
        <w:t>redicted values for each cross-sectional model</w:t>
      </w:r>
      <w:r w:rsidRPr="00C857D3">
        <w:rPr>
          <w:bCs/>
        </w:rPr>
        <w:t xml:space="preserve"> are shown by red lines (using </w:t>
      </w:r>
      <w:proofErr w:type="spellStart"/>
      <w:r w:rsidRPr="00C857D3">
        <w:rPr>
          <w:bCs/>
        </w:rPr>
        <w:t>W</w:t>
      </w:r>
      <w:r w:rsidRPr="00C857D3">
        <w:rPr>
          <w:bCs/>
          <w:vertAlign w:val="subscript"/>
        </w:rPr>
        <w:t>NHA</w:t>
      </w:r>
      <w:r w:rsidRPr="00C857D3">
        <w:rPr>
          <w:bCs/>
        </w:rPr>
        <w:t>HtR</w:t>
      </w:r>
      <w:proofErr w:type="spellEnd"/>
      <w:r w:rsidRPr="00C857D3">
        <w:rPr>
          <w:bCs/>
        </w:rPr>
        <w:t xml:space="preserve">) or by blue lines (using </w:t>
      </w:r>
      <w:proofErr w:type="spellStart"/>
      <w:r w:rsidRPr="00C857D3">
        <w:rPr>
          <w:bCs/>
        </w:rPr>
        <w:t>W</w:t>
      </w:r>
      <w:r w:rsidRPr="00C857D3">
        <w:rPr>
          <w:bCs/>
          <w:vertAlign w:val="subscript"/>
        </w:rPr>
        <w:t>WHO</w:t>
      </w:r>
      <w:r w:rsidRPr="00C857D3">
        <w:rPr>
          <w:bCs/>
        </w:rPr>
        <w:t>HtR</w:t>
      </w:r>
      <w:proofErr w:type="spellEnd"/>
      <w:r w:rsidRPr="00C857D3">
        <w:rPr>
          <w:bCs/>
        </w:rPr>
        <w:t>).</w:t>
      </w:r>
    </w:p>
    <w:p w:rsidR="009E2932" w:rsidRDefault="00324AAB" w:rsidP="00324AAB">
      <w:r w:rsidRPr="00C857D3">
        <w:rPr>
          <w:b/>
          <w:bCs/>
        </w:rPr>
        <w:lastRenderedPageBreak/>
        <w:t>Figure S4</w:t>
      </w:r>
      <w:r w:rsidRPr="00C857D3">
        <w:rPr>
          <w:bCs/>
        </w:rPr>
        <w:t xml:space="preserve">.  Plots of </w:t>
      </w:r>
      <w:r w:rsidRPr="00C857D3">
        <w:rPr>
          <w:rFonts w:eastAsia="Times New Roman" w:cs="Calibri"/>
        </w:rPr>
        <w:t>AUCs (area under the receiver operator curve) at follow-up exam for six biomarker outcomes.</w:t>
      </w:r>
    </w:p>
    <w:p w:rsidR="009E2932" w:rsidRDefault="009E2932"/>
    <w:p w:rsidR="009E2932" w:rsidRDefault="009E2932">
      <w:r w:rsidRPr="009E2932">
        <w:rPr>
          <w:noProof/>
        </w:rPr>
        <w:drawing>
          <wp:inline distT="0" distB="0" distL="0" distR="0">
            <wp:extent cx="7297947" cy="6092635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1577" cy="609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932" w:rsidRDefault="00324AAB">
      <w:r w:rsidRPr="005C0C53">
        <w:rPr>
          <w:rFonts w:eastAsia="Times New Roman" w:cs="Calibri"/>
        </w:rPr>
        <w:t xml:space="preserve">Light green lines represent basic models without WHtR, red lines are models with </w:t>
      </w:r>
      <w:proofErr w:type="spellStart"/>
      <w:r w:rsidRPr="005C0C53">
        <w:rPr>
          <w:bCs/>
        </w:rPr>
        <w:t>W</w:t>
      </w:r>
      <w:r w:rsidRPr="005C0C53">
        <w:rPr>
          <w:bCs/>
          <w:vertAlign w:val="subscript"/>
        </w:rPr>
        <w:t>NHA</w:t>
      </w:r>
      <w:r w:rsidRPr="005C0C53">
        <w:rPr>
          <w:bCs/>
        </w:rPr>
        <w:t>HtR</w:t>
      </w:r>
      <w:proofErr w:type="spellEnd"/>
      <w:r w:rsidRPr="005C0C53">
        <w:rPr>
          <w:bCs/>
        </w:rPr>
        <w:t xml:space="preserve">, and blue lines are models with </w:t>
      </w:r>
      <w:proofErr w:type="spellStart"/>
      <w:r w:rsidRPr="005C0C53">
        <w:rPr>
          <w:bCs/>
        </w:rPr>
        <w:t>W</w:t>
      </w:r>
      <w:r w:rsidRPr="005C0C53">
        <w:rPr>
          <w:bCs/>
          <w:vertAlign w:val="subscript"/>
        </w:rPr>
        <w:t>WHO</w:t>
      </w:r>
      <w:r w:rsidRPr="005C0C53">
        <w:rPr>
          <w:bCs/>
        </w:rPr>
        <w:t>HtR</w:t>
      </w:r>
      <w:proofErr w:type="spellEnd"/>
      <w:r w:rsidRPr="005C0C53">
        <w:rPr>
          <w:bCs/>
        </w:rPr>
        <w:t>.</w:t>
      </w:r>
    </w:p>
    <w:p w:rsidR="009E2932" w:rsidRDefault="009E2932"/>
    <w:sectPr w:rsidR="009E2932" w:rsidSect="009E2932">
      <w:headerReference w:type="default" r:id="rId11"/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B19" w:rsidRDefault="00A80B19" w:rsidP="00A80B19">
      <w:pPr>
        <w:spacing w:after="0" w:line="240" w:lineRule="auto"/>
      </w:pPr>
      <w:r>
        <w:separator/>
      </w:r>
    </w:p>
  </w:endnote>
  <w:endnote w:type="continuationSeparator" w:id="0">
    <w:p w:rsidR="00A80B19" w:rsidRDefault="00A80B19" w:rsidP="00A8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B19" w:rsidRDefault="00A80B19" w:rsidP="00A80B19">
      <w:pPr>
        <w:spacing w:after="0" w:line="240" w:lineRule="auto"/>
      </w:pPr>
      <w:r>
        <w:separator/>
      </w:r>
    </w:p>
  </w:footnote>
  <w:footnote w:type="continuationSeparator" w:id="0">
    <w:p w:rsidR="00A80B19" w:rsidRDefault="00A80B19" w:rsidP="00A80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99158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80B19" w:rsidRDefault="00A80B1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569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80B19" w:rsidRDefault="00A80B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2A6C"/>
    <w:multiLevelType w:val="hybridMultilevel"/>
    <w:tmpl w:val="49C2E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450B8"/>
    <w:multiLevelType w:val="hybridMultilevel"/>
    <w:tmpl w:val="EDB2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D67B0"/>
    <w:multiLevelType w:val="hybridMultilevel"/>
    <w:tmpl w:val="15DC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2429C"/>
    <w:multiLevelType w:val="hybridMultilevel"/>
    <w:tmpl w:val="2EC24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19"/>
    <w:rsid w:val="001935E9"/>
    <w:rsid w:val="00324AAB"/>
    <w:rsid w:val="00355692"/>
    <w:rsid w:val="009E2932"/>
    <w:rsid w:val="00A80B19"/>
    <w:rsid w:val="00C857D3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3CFC"/>
  <w15:chartTrackingRefBased/>
  <w15:docId w15:val="{4BFF108B-738D-4015-AA30-5CB0BD2D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B19"/>
  </w:style>
  <w:style w:type="paragraph" w:styleId="Footer">
    <w:name w:val="footer"/>
    <w:basedOn w:val="Normal"/>
    <w:link w:val="FooterChar"/>
    <w:uiPriority w:val="99"/>
    <w:unhideWhenUsed/>
    <w:rsid w:val="00A80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B19"/>
  </w:style>
  <w:style w:type="paragraph" w:styleId="ListParagraph">
    <w:name w:val="List Paragraph"/>
    <w:basedOn w:val="Normal"/>
    <w:uiPriority w:val="34"/>
    <w:qFormat/>
    <w:rsid w:val="00C857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Kahn, Henry (CDC/ONDIEH/NCCDPHP)</dc:creator>
  <cp:keywords/>
  <dc:description/>
  <cp:lastModifiedBy>Kahn, Henry (CDC/ONDIEH/NCCDPHP)</cp:lastModifiedBy>
  <cp:revision>3</cp:revision>
  <dcterms:created xsi:type="dcterms:W3CDTF">2018-07-17T16:57:00Z</dcterms:created>
  <dcterms:modified xsi:type="dcterms:W3CDTF">2018-07-17T17:42:00Z</dcterms:modified>
</cp:coreProperties>
</file>