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F3A0C" w14:textId="75EC2EDF" w:rsidR="00EA2A4C" w:rsidRPr="0071768C" w:rsidRDefault="00EA2A4C" w:rsidP="00EA2A4C">
      <w:pPr>
        <w:spacing w:line="480" w:lineRule="auto"/>
      </w:pPr>
      <w:r>
        <w:rPr>
          <w:b/>
          <w:bCs/>
        </w:rPr>
        <w:t>Supplementary</w:t>
      </w:r>
      <w:r w:rsidRPr="00A26CAA">
        <w:rPr>
          <w:b/>
          <w:bCs/>
        </w:rPr>
        <w:t xml:space="preserve"> </w:t>
      </w:r>
      <w:r>
        <w:rPr>
          <w:b/>
          <w:bCs/>
        </w:rPr>
        <w:t xml:space="preserve">Figure 1. </w:t>
      </w:r>
      <w:r w:rsidRPr="00CB4A58">
        <w:rPr>
          <w:b/>
          <w:bCs/>
        </w:rPr>
        <w:t>The learning curve for the Artificial Neural Network (ANN) algorithm.</w:t>
      </w:r>
      <w:r>
        <w:t xml:space="preserve"> Shown are the predictive accuracies, including the mean accuracy in the randomly selected training subsample (black dashed line) and the mean accuracy of the randomly selected testing subsample (red dashed line; 95% confidence intervals are shown by the thin gray lines).</w:t>
      </w:r>
    </w:p>
    <w:p w14:paraId="73A2CBAD" w14:textId="77777777" w:rsidR="00EA2A4C" w:rsidRDefault="00EA2A4C" w:rsidP="00EA2A4C">
      <w:pPr>
        <w:rPr>
          <w:b/>
          <w:bCs/>
        </w:rPr>
      </w:pPr>
      <w:r>
        <w:rPr>
          <w:noProof/>
        </w:rPr>
        <w:drawing>
          <wp:inline distT="0" distB="0" distL="0" distR="0" wp14:anchorId="67704942" wp14:editId="59B760A3">
            <wp:extent cx="5943600" cy="5240655"/>
            <wp:effectExtent l="0" t="0" r="0" b="4445"/>
            <wp:docPr id="1" name="Chart 1">
              <a:extLst xmlns:a="http://schemas.openxmlformats.org/drawingml/2006/main">
                <a:ext uri="{FF2B5EF4-FFF2-40B4-BE49-F238E27FC236}">
                  <a16:creationId xmlns:a16="http://schemas.microsoft.com/office/drawing/2014/main" id="{1138FB9F-7536-CF44-AB8B-D5D7D56F41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476CACA6" w14:textId="77777777" w:rsidR="00EA2A4C" w:rsidRDefault="00EA2A4C" w:rsidP="00EA2A4C">
      <w:pPr>
        <w:rPr>
          <w:b/>
          <w:bCs/>
        </w:rPr>
      </w:pPr>
    </w:p>
    <w:p w14:paraId="2F283F70" w14:textId="77777777" w:rsidR="00EA2A4C" w:rsidRDefault="00EA2A4C" w:rsidP="00EA2A4C">
      <w:pPr>
        <w:rPr>
          <w:b/>
          <w:bCs/>
        </w:rPr>
      </w:pPr>
      <w:r>
        <w:rPr>
          <w:b/>
          <w:bCs/>
        </w:rPr>
        <w:br w:type="page"/>
      </w:r>
    </w:p>
    <w:p w14:paraId="36166B14" w14:textId="1BCD5123" w:rsidR="00EA2A4C" w:rsidRDefault="00EA2A4C" w:rsidP="00EA2A4C">
      <w:pPr>
        <w:spacing w:line="480" w:lineRule="auto"/>
      </w:pPr>
      <w:r>
        <w:rPr>
          <w:b/>
          <w:bCs/>
        </w:rPr>
        <w:lastRenderedPageBreak/>
        <w:t>Supplementary</w:t>
      </w:r>
      <w:r w:rsidRPr="00A26CAA">
        <w:rPr>
          <w:b/>
          <w:bCs/>
        </w:rPr>
        <w:t xml:space="preserve"> Table 1</w:t>
      </w:r>
      <w:r w:rsidRPr="008D7424">
        <w:rPr>
          <w:b/>
        </w:rPr>
        <w:t xml:space="preserve">. </w:t>
      </w:r>
      <w:r>
        <w:rPr>
          <w:b/>
        </w:rPr>
        <w:t xml:space="preserve">Cognitive Measurements used in the present study. </w:t>
      </w:r>
      <w:r>
        <w:t xml:space="preserve">Measures of cognition provided by the </w:t>
      </w:r>
      <w:proofErr w:type="spellStart"/>
      <w:r>
        <w:t>CogState</w:t>
      </w:r>
      <w:proofErr w:type="spellEnd"/>
      <w:r>
        <w:t xml:space="preserve"> Computer-assisted cognitive measurement tool </w:t>
      </w:r>
    </w:p>
    <w:p w14:paraId="1516AB5F" w14:textId="77777777" w:rsidR="00EA2A4C" w:rsidRPr="00E002DA" w:rsidRDefault="00EA2A4C" w:rsidP="00EA2A4C"/>
    <w:tbl>
      <w:tblPr>
        <w:tblW w:w="9320" w:type="dxa"/>
        <w:tblLook w:val="04A0" w:firstRow="1" w:lastRow="0" w:firstColumn="1" w:lastColumn="0" w:noHBand="0" w:noVBand="1"/>
      </w:tblPr>
      <w:tblGrid>
        <w:gridCol w:w="3140"/>
        <w:gridCol w:w="2170"/>
        <w:gridCol w:w="1980"/>
        <w:gridCol w:w="2030"/>
      </w:tblGrid>
      <w:tr w:rsidR="00EA2A4C" w:rsidRPr="00E002DA" w14:paraId="7C09CBE7" w14:textId="77777777" w:rsidTr="008E26FA">
        <w:trPr>
          <w:trHeight w:val="320"/>
        </w:trPr>
        <w:tc>
          <w:tcPr>
            <w:tcW w:w="3140" w:type="dxa"/>
            <w:tcBorders>
              <w:top w:val="nil"/>
              <w:left w:val="nil"/>
              <w:bottom w:val="single" w:sz="4" w:space="0" w:color="auto"/>
              <w:right w:val="nil"/>
            </w:tcBorders>
            <w:shd w:val="clear" w:color="auto" w:fill="auto"/>
            <w:noWrap/>
            <w:vAlign w:val="bottom"/>
            <w:hideMark/>
          </w:tcPr>
          <w:p w14:paraId="21B90B78" w14:textId="77777777" w:rsidR="00EA2A4C" w:rsidRPr="00E002DA" w:rsidRDefault="00EA2A4C" w:rsidP="008E26FA">
            <w:pPr>
              <w:rPr>
                <w:color w:val="000000"/>
              </w:rPr>
            </w:pPr>
            <w:r w:rsidRPr="00E002DA">
              <w:rPr>
                <w:color w:val="000000"/>
              </w:rPr>
              <w:t>Cognitive Domain</w:t>
            </w:r>
          </w:p>
        </w:tc>
        <w:tc>
          <w:tcPr>
            <w:tcW w:w="2170" w:type="dxa"/>
            <w:tcBorders>
              <w:top w:val="nil"/>
              <w:left w:val="nil"/>
              <w:bottom w:val="single" w:sz="4" w:space="0" w:color="auto"/>
              <w:right w:val="nil"/>
            </w:tcBorders>
            <w:shd w:val="clear" w:color="auto" w:fill="auto"/>
            <w:noWrap/>
            <w:vAlign w:val="bottom"/>
            <w:hideMark/>
          </w:tcPr>
          <w:p w14:paraId="52F9B7A9" w14:textId="77777777" w:rsidR="00EA2A4C" w:rsidRPr="00E002DA" w:rsidRDefault="00EA2A4C" w:rsidP="008E26FA">
            <w:pPr>
              <w:jc w:val="center"/>
              <w:rPr>
                <w:color w:val="000000"/>
              </w:rPr>
            </w:pPr>
            <w:r w:rsidRPr="00E002DA">
              <w:rPr>
                <w:color w:val="000000"/>
              </w:rPr>
              <w:t>Units</w:t>
            </w:r>
          </w:p>
        </w:tc>
        <w:tc>
          <w:tcPr>
            <w:tcW w:w="1980" w:type="dxa"/>
            <w:tcBorders>
              <w:top w:val="nil"/>
              <w:left w:val="nil"/>
              <w:bottom w:val="single" w:sz="4" w:space="0" w:color="auto"/>
              <w:right w:val="nil"/>
            </w:tcBorders>
            <w:shd w:val="clear" w:color="auto" w:fill="auto"/>
            <w:noWrap/>
            <w:vAlign w:val="bottom"/>
            <w:hideMark/>
          </w:tcPr>
          <w:p w14:paraId="5107A9A8" w14:textId="77777777" w:rsidR="00EA2A4C" w:rsidRPr="00E002DA" w:rsidRDefault="00EA2A4C" w:rsidP="008E26FA">
            <w:pPr>
              <w:jc w:val="center"/>
              <w:rPr>
                <w:color w:val="000000"/>
              </w:rPr>
            </w:pPr>
            <w:r w:rsidRPr="00E002DA">
              <w:rPr>
                <w:color w:val="000000"/>
              </w:rPr>
              <w:t>Direction</w:t>
            </w:r>
          </w:p>
        </w:tc>
        <w:tc>
          <w:tcPr>
            <w:tcW w:w="2030" w:type="dxa"/>
            <w:tcBorders>
              <w:top w:val="nil"/>
              <w:left w:val="nil"/>
              <w:bottom w:val="single" w:sz="4" w:space="0" w:color="auto"/>
              <w:right w:val="nil"/>
            </w:tcBorders>
            <w:shd w:val="clear" w:color="auto" w:fill="auto"/>
            <w:noWrap/>
            <w:vAlign w:val="bottom"/>
            <w:hideMark/>
          </w:tcPr>
          <w:p w14:paraId="2E047503" w14:textId="77777777" w:rsidR="00EA2A4C" w:rsidRPr="00E002DA" w:rsidRDefault="00EA2A4C" w:rsidP="008E26FA">
            <w:pPr>
              <w:jc w:val="center"/>
              <w:rPr>
                <w:color w:val="000000"/>
              </w:rPr>
            </w:pPr>
            <w:r w:rsidRPr="00E002DA">
              <w:rPr>
                <w:color w:val="000000"/>
              </w:rPr>
              <w:t>Task Used</w:t>
            </w:r>
          </w:p>
        </w:tc>
      </w:tr>
      <w:tr w:rsidR="00EA2A4C" w:rsidRPr="00E002DA" w14:paraId="2BF1A425" w14:textId="77777777" w:rsidTr="008E26FA">
        <w:trPr>
          <w:trHeight w:val="320"/>
        </w:trPr>
        <w:tc>
          <w:tcPr>
            <w:tcW w:w="3140" w:type="dxa"/>
            <w:tcBorders>
              <w:top w:val="nil"/>
              <w:left w:val="nil"/>
              <w:bottom w:val="nil"/>
              <w:right w:val="nil"/>
            </w:tcBorders>
            <w:shd w:val="clear" w:color="auto" w:fill="auto"/>
            <w:noWrap/>
            <w:vAlign w:val="bottom"/>
            <w:hideMark/>
          </w:tcPr>
          <w:p w14:paraId="1EE058A0" w14:textId="77777777" w:rsidR="00EA2A4C" w:rsidRPr="00E002DA" w:rsidRDefault="00EA2A4C" w:rsidP="008E26FA">
            <w:pPr>
              <w:rPr>
                <w:color w:val="000000"/>
              </w:rPr>
            </w:pPr>
            <w:r w:rsidRPr="00E002DA">
              <w:rPr>
                <w:color w:val="000000"/>
              </w:rPr>
              <w:t>Response speed</w:t>
            </w:r>
          </w:p>
        </w:tc>
        <w:tc>
          <w:tcPr>
            <w:tcW w:w="2170" w:type="dxa"/>
            <w:tcBorders>
              <w:top w:val="nil"/>
              <w:left w:val="nil"/>
              <w:bottom w:val="nil"/>
              <w:right w:val="nil"/>
            </w:tcBorders>
            <w:shd w:val="clear" w:color="auto" w:fill="auto"/>
            <w:noWrap/>
            <w:vAlign w:val="bottom"/>
            <w:hideMark/>
          </w:tcPr>
          <w:p w14:paraId="1FB4C7C5" w14:textId="77777777" w:rsidR="00EA2A4C" w:rsidRPr="00E002DA" w:rsidRDefault="00EA2A4C" w:rsidP="008E26FA">
            <w:pPr>
              <w:jc w:val="center"/>
              <w:rPr>
                <w:color w:val="000000"/>
              </w:rPr>
            </w:pPr>
            <w:r w:rsidRPr="00E002DA">
              <w:rPr>
                <w:color w:val="000000"/>
              </w:rPr>
              <w:t>Responses/Second</w:t>
            </w:r>
          </w:p>
        </w:tc>
        <w:tc>
          <w:tcPr>
            <w:tcW w:w="1980" w:type="dxa"/>
            <w:tcBorders>
              <w:top w:val="nil"/>
              <w:left w:val="nil"/>
              <w:bottom w:val="nil"/>
              <w:right w:val="nil"/>
            </w:tcBorders>
            <w:shd w:val="clear" w:color="auto" w:fill="auto"/>
            <w:noWrap/>
            <w:vAlign w:val="bottom"/>
            <w:hideMark/>
          </w:tcPr>
          <w:p w14:paraId="75609BA4" w14:textId="77777777" w:rsidR="00EA2A4C" w:rsidRPr="00E002DA" w:rsidRDefault="00EA2A4C" w:rsidP="008E26FA">
            <w:pPr>
              <w:jc w:val="center"/>
              <w:rPr>
                <w:color w:val="000000"/>
              </w:rPr>
            </w:pPr>
            <w:r w:rsidRPr="00E002DA">
              <w:rPr>
                <w:color w:val="000000"/>
              </w:rPr>
              <w:t>Higher is better</w:t>
            </w:r>
          </w:p>
        </w:tc>
        <w:tc>
          <w:tcPr>
            <w:tcW w:w="2030" w:type="dxa"/>
            <w:tcBorders>
              <w:top w:val="nil"/>
              <w:left w:val="nil"/>
              <w:bottom w:val="nil"/>
              <w:right w:val="nil"/>
            </w:tcBorders>
            <w:shd w:val="clear" w:color="auto" w:fill="auto"/>
            <w:noWrap/>
            <w:vAlign w:val="bottom"/>
            <w:hideMark/>
          </w:tcPr>
          <w:p w14:paraId="163FE2EF" w14:textId="77777777" w:rsidR="00EA2A4C" w:rsidRPr="00E002DA" w:rsidRDefault="00EA2A4C" w:rsidP="008E26FA">
            <w:pPr>
              <w:jc w:val="center"/>
              <w:rPr>
                <w:color w:val="000000"/>
              </w:rPr>
            </w:pPr>
            <w:r w:rsidRPr="00E002DA">
              <w:rPr>
                <w:color w:val="000000"/>
              </w:rPr>
              <w:t>Detection</w:t>
            </w:r>
          </w:p>
        </w:tc>
      </w:tr>
      <w:tr w:rsidR="00EA2A4C" w:rsidRPr="00E002DA" w14:paraId="1F13BAC1" w14:textId="77777777" w:rsidTr="008E26FA">
        <w:trPr>
          <w:trHeight w:val="320"/>
        </w:trPr>
        <w:tc>
          <w:tcPr>
            <w:tcW w:w="3140" w:type="dxa"/>
            <w:tcBorders>
              <w:top w:val="nil"/>
              <w:left w:val="nil"/>
              <w:bottom w:val="nil"/>
              <w:right w:val="nil"/>
            </w:tcBorders>
            <w:shd w:val="clear" w:color="auto" w:fill="auto"/>
            <w:noWrap/>
            <w:vAlign w:val="bottom"/>
            <w:hideMark/>
          </w:tcPr>
          <w:p w14:paraId="7032F78E" w14:textId="77777777" w:rsidR="00EA2A4C" w:rsidRPr="00E002DA" w:rsidRDefault="00EA2A4C" w:rsidP="008E26FA">
            <w:pPr>
              <w:rPr>
                <w:color w:val="000000"/>
              </w:rPr>
            </w:pPr>
            <w:r w:rsidRPr="00E002DA">
              <w:rPr>
                <w:color w:val="000000"/>
              </w:rPr>
              <w:t>Processing speed</w:t>
            </w:r>
          </w:p>
        </w:tc>
        <w:tc>
          <w:tcPr>
            <w:tcW w:w="2170" w:type="dxa"/>
            <w:tcBorders>
              <w:top w:val="nil"/>
              <w:left w:val="nil"/>
              <w:bottom w:val="nil"/>
              <w:right w:val="nil"/>
            </w:tcBorders>
            <w:shd w:val="clear" w:color="auto" w:fill="auto"/>
            <w:noWrap/>
            <w:vAlign w:val="bottom"/>
            <w:hideMark/>
          </w:tcPr>
          <w:p w14:paraId="6E4FF3CD" w14:textId="77777777" w:rsidR="00EA2A4C" w:rsidRPr="00E002DA" w:rsidRDefault="00EA2A4C" w:rsidP="008E26FA">
            <w:pPr>
              <w:jc w:val="center"/>
              <w:rPr>
                <w:color w:val="000000"/>
              </w:rPr>
            </w:pPr>
            <w:r w:rsidRPr="00E002DA">
              <w:rPr>
                <w:color w:val="000000"/>
              </w:rPr>
              <w:t>Correct Responses/Second</w:t>
            </w:r>
          </w:p>
        </w:tc>
        <w:tc>
          <w:tcPr>
            <w:tcW w:w="1980" w:type="dxa"/>
            <w:tcBorders>
              <w:top w:val="nil"/>
              <w:left w:val="nil"/>
              <w:bottom w:val="nil"/>
              <w:right w:val="nil"/>
            </w:tcBorders>
            <w:shd w:val="clear" w:color="auto" w:fill="auto"/>
            <w:noWrap/>
            <w:vAlign w:val="bottom"/>
            <w:hideMark/>
          </w:tcPr>
          <w:p w14:paraId="0C48EB00" w14:textId="77777777" w:rsidR="00EA2A4C" w:rsidRPr="00E002DA" w:rsidRDefault="00EA2A4C" w:rsidP="008E26FA">
            <w:pPr>
              <w:jc w:val="center"/>
              <w:rPr>
                <w:color w:val="000000"/>
              </w:rPr>
            </w:pPr>
            <w:r w:rsidRPr="00E002DA">
              <w:rPr>
                <w:color w:val="000000"/>
              </w:rPr>
              <w:t>Higher is better</w:t>
            </w:r>
          </w:p>
        </w:tc>
        <w:tc>
          <w:tcPr>
            <w:tcW w:w="2030" w:type="dxa"/>
            <w:tcBorders>
              <w:top w:val="nil"/>
              <w:left w:val="nil"/>
              <w:bottom w:val="nil"/>
              <w:right w:val="nil"/>
            </w:tcBorders>
            <w:shd w:val="clear" w:color="auto" w:fill="auto"/>
            <w:noWrap/>
            <w:vAlign w:val="bottom"/>
            <w:hideMark/>
          </w:tcPr>
          <w:p w14:paraId="646C0549" w14:textId="77777777" w:rsidR="00EA2A4C" w:rsidRPr="00E002DA" w:rsidRDefault="00EA2A4C" w:rsidP="008E26FA">
            <w:pPr>
              <w:jc w:val="center"/>
              <w:rPr>
                <w:color w:val="000000"/>
              </w:rPr>
            </w:pPr>
            <w:r w:rsidRPr="00E002DA">
              <w:rPr>
                <w:color w:val="000000"/>
              </w:rPr>
              <w:t>Identification</w:t>
            </w:r>
          </w:p>
        </w:tc>
      </w:tr>
      <w:tr w:rsidR="00EA2A4C" w:rsidRPr="00E002DA" w14:paraId="7C81DAF9" w14:textId="77777777" w:rsidTr="008E26FA">
        <w:trPr>
          <w:trHeight w:val="320"/>
        </w:trPr>
        <w:tc>
          <w:tcPr>
            <w:tcW w:w="3140" w:type="dxa"/>
            <w:tcBorders>
              <w:top w:val="nil"/>
              <w:left w:val="nil"/>
              <w:bottom w:val="nil"/>
              <w:right w:val="nil"/>
            </w:tcBorders>
            <w:shd w:val="clear" w:color="auto" w:fill="auto"/>
            <w:noWrap/>
            <w:vAlign w:val="bottom"/>
            <w:hideMark/>
          </w:tcPr>
          <w:p w14:paraId="52F053E8" w14:textId="77777777" w:rsidR="00EA2A4C" w:rsidRPr="00E002DA" w:rsidRDefault="00EA2A4C" w:rsidP="008E26FA">
            <w:pPr>
              <w:rPr>
                <w:color w:val="000000"/>
              </w:rPr>
            </w:pPr>
            <w:r w:rsidRPr="00E002DA">
              <w:rPr>
                <w:color w:val="000000"/>
              </w:rPr>
              <w:t>intra-item response variability</w:t>
            </w:r>
          </w:p>
        </w:tc>
        <w:tc>
          <w:tcPr>
            <w:tcW w:w="2170" w:type="dxa"/>
            <w:tcBorders>
              <w:top w:val="nil"/>
              <w:left w:val="nil"/>
              <w:bottom w:val="nil"/>
              <w:right w:val="nil"/>
            </w:tcBorders>
            <w:shd w:val="clear" w:color="auto" w:fill="auto"/>
            <w:noWrap/>
            <w:vAlign w:val="bottom"/>
            <w:hideMark/>
          </w:tcPr>
          <w:p w14:paraId="68CFC44B" w14:textId="77777777" w:rsidR="00EA2A4C" w:rsidRPr="00E002DA" w:rsidRDefault="00EA2A4C" w:rsidP="008E26FA">
            <w:pPr>
              <w:jc w:val="center"/>
              <w:rPr>
                <w:color w:val="000000"/>
              </w:rPr>
            </w:pPr>
            <w:r w:rsidRPr="00E002DA">
              <w:rPr>
                <w:color w:val="000000"/>
              </w:rPr>
              <w:t>Standard Deviations</w:t>
            </w:r>
          </w:p>
        </w:tc>
        <w:tc>
          <w:tcPr>
            <w:tcW w:w="1980" w:type="dxa"/>
            <w:tcBorders>
              <w:top w:val="nil"/>
              <w:left w:val="nil"/>
              <w:bottom w:val="nil"/>
              <w:right w:val="nil"/>
            </w:tcBorders>
            <w:shd w:val="clear" w:color="auto" w:fill="auto"/>
            <w:noWrap/>
            <w:vAlign w:val="bottom"/>
            <w:hideMark/>
          </w:tcPr>
          <w:p w14:paraId="05AA695C" w14:textId="77777777" w:rsidR="00EA2A4C" w:rsidRPr="00E002DA" w:rsidRDefault="00EA2A4C" w:rsidP="008E26FA">
            <w:pPr>
              <w:jc w:val="center"/>
              <w:rPr>
                <w:color w:val="000000"/>
              </w:rPr>
            </w:pPr>
            <w:r w:rsidRPr="00E002DA">
              <w:rPr>
                <w:color w:val="000000"/>
              </w:rPr>
              <w:t>Higher is worse</w:t>
            </w:r>
          </w:p>
        </w:tc>
        <w:tc>
          <w:tcPr>
            <w:tcW w:w="2030" w:type="dxa"/>
            <w:tcBorders>
              <w:top w:val="nil"/>
              <w:left w:val="nil"/>
              <w:bottom w:val="nil"/>
              <w:right w:val="nil"/>
            </w:tcBorders>
            <w:shd w:val="clear" w:color="auto" w:fill="auto"/>
            <w:noWrap/>
            <w:vAlign w:val="bottom"/>
            <w:hideMark/>
          </w:tcPr>
          <w:p w14:paraId="7598A86A" w14:textId="77777777" w:rsidR="00EA2A4C" w:rsidRPr="00E002DA" w:rsidRDefault="00EA2A4C" w:rsidP="008E26FA">
            <w:pPr>
              <w:jc w:val="center"/>
              <w:rPr>
                <w:color w:val="000000"/>
              </w:rPr>
            </w:pPr>
            <w:r w:rsidRPr="00E002DA">
              <w:rPr>
                <w:color w:val="000000"/>
              </w:rPr>
              <w:t>Identification</w:t>
            </w:r>
          </w:p>
        </w:tc>
      </w:tr>
      <w:tr w:rsidR="00EA2A4C" w:rsidRPr="00E002DA" w14:paraId="6DBE2CCA" w14:textId="77777777" w:rsidTr="008E26FA">
        <w:trPr>
          <w:trHeight w:val="320"/>
        </w:trPr>
        <w:tc>
          <w:tcPr>
            <w:tcW w:w="3140" w:type="dxa"/>
            <w:tcBorders>
              <w:top w:val="nil"/>
              <w:left w:val="nil"/>
              <w:bottom w:val="nil"/>
              <w:right w:val="nil"/>
            </w:tcBorders>
            <w:shd w:val="clear" w:color="auto" w:fill="auto"/>
            <w:noWrap/>
            <w:vAlign w:val="bottom"/>
            <w:hideMark/>
          </w:tcPr>
          <w:p w14:paraId="1CBA7506" w14:textId="77777777" w:rsidR="00EA2A4C" w:rsidRPr="00E002DA" w:rsidRDefault="00EA2A4C" w:rsidP="008E26FA">
            <w:pPr>
              <w:rPr>
                <w:color w:val="000000"/>
              </w:rPr>
            </w:pPr>
            <w:r w:rsidRPr="00E002DA">
              <w:rPr>
                <w:color w:val="000000"/>
              </w:rPr>
              <w:t>Attention</w:t>
            </w:r>
          </w:p>
        </w:tc>
        <w:tc>
          <w:tcPr>
            <w:tcW w:w="2170" w:type="dxa"/>
            <w:tcBorders>
              <w:top w:val="nil"/>
              <w:left w:val="nil"/>
              <w:bottom w:val="nil"/>
              <w:right w:val="nil"/>
            </w:tcBorders>
            <w:shd w:val="clear" w:color="auto" w:fill="auto"/>
            <w:noWrap/>
            <w:vAlign w:val="bottom"/>
            <w:hideMark/>
          </w:tcPr>
          <w:p w14:paraId="382836AE" w14:textId="77777777" w:rsidR="00EA2A4C" w:rsidRPr="00E002DA" w:rsidRDefault="00EA2A4C" w:rsidP="008E26FA">
            <w:pPr>
              <w:jc w:val="center"/>
              <w:rPr>
                <w:color w:val="000000"/>
              </w:rPr>
            </w:pPr>
            <w:r w:rsidRPr="00E002DA">
              <w:rPr>
                <w:color w:val="000000"/>
              </w:rPr>
              <w:t>arcsine-Correct responses</w:t>
            </w:r>
          </w:p>
        </w:tc>
        <w:tc>
          <w:tcPr>
            <w:tcW w:w="1980" w:type="dxa"/>
            <w:tcBorders>
              <w:top w:val="nil"/>
              <w:left w:val="nil"/>
              <w:bottom w:val="nil"/>
              <w:right w:val="nil"/>
            </w:tcBorders>
            <w:shd w:val="clear" w:color="auto" w:fill="auto"/>
            <w:noWrap/>
            <w:vAlign w:val="bottom"/>
            <w:hideMark/>
          </w:tcPr>
          <w:p w14:paraId="79C68055" w14:textId="77777777" w:rsidR="00EA2A4C" w:rsidRPr="00E002DA" w:rsidRDefault="00EA2A4C" w:rsidP="008E26FA">
            <w:pPr>
              <w:jc w:val="center"/>
              <w:rPr>
                <w:color w:val="000000"/>
              </w:rPr>
            </w:pPr>
            <w:r w:rsidRPr="00E002DA">
              <w:rPr>
                <w:color w:val="000000"/>
              </w:rPr>
              <w:t>Higher is better</w:t>
            </w:r>
          </w:p>
        </w:tc>
        <w:tc>
          <w:tcPr>
            <w:tcW w:w="2030" w:type="dxa"/>
            <w:tcBorders>
              <w:top w:val="nil"/>
              <w:left w:val="nil"/>
              <w:bottom w:val="nil"/>
              <w:right w:val="nil"/>
            </w:tcBorders>
            <w:shd w:val="clear" w:color="auto" w:fill="auto"/>
            <w:noWrap/>
            <w:vAlign w:val="bottom"/>
            <w:hideMark/>
          </w:tcPr>
          <w:p w14:paraId="4F3635E3" w14:textId="77777777" w:rsidR="00EA2A4C" w:rsidRPr="00E002DA" w:rsidRDefault="00EA2A4C" w:rsidP="008E26FA">
            <w:pPr>
              <w:jc w:val="center"/>
              <w:rPr>
                <w:color w:val="000000"/>
              </w:rPr>
            </w:pPr>
            <w:r w:rsidRPr="00E002DA">
              <w:rPr>
                <w:color w:val="000000"/>
              </w:rPr>
              <w:t>Identification</w:t>
            </w:r>
          </w:p>
        </w:tc>
      </w:tr>
      <w:tr w:rsidR="00EA2A4C" w:rsidRPr="00E002DA" w14:paraId="18DFE3C8" w14:textId="77777777" w:rsidTr="008E26FA">
        <w:trPr>
          <w:trHeight w:val="320"/>
        </w:trPr>
        <w:tc>
          <w:tcPr>
            <w:tcW w:w="3140" w:type="dxa"/>
            <w:tcBorders>
              <w:top w:val="nil"/>
              <w:left w:val="nil"/>
              <w:bottom w:val="nil"/>
              <w:right w:val="nil"/>
            </w:tcBorders>
            <w:shd w:val="clear" w:color="auto" w:fill="auto"/>
            <w:noWrap/>
            <w:vAlign w:val="bottom"/>
            <w:hideMark/>
          </w:tcPr>
          <w:p w14:paraId="33C92DBB" w14:textId="77777777" w:rsidR="00EA2A4C" w:rsidRPr="00E002DA" w:rsidRDefault="00EA2A4C" w:rsidP="008E26FA">
            <w:pPr>
              <w:rPr>
                <w:color w:val="000000"/>
              </w:rPr>
            </w:pPr>
            <w:r w:rsidRPr="00E002DA">
              <w:rPr>
                <w:color w:val="000000"/>
              </w:rPr>
              <w:t>Visual memory</w:t>
            </w:r>
          </w:p>
        </w:tc>
        <w:tc>
          <w:tcPr>
            <w:tcW w:w="2170" w:type="dxa"/>
            <w:tcBorders>
              <w:top w:val="nil"/>
              <w:left w:val="nil"/>
              <w:bottom w:val="nil"/>
              <w:right w:val="nil"/>
            </w:tcBorders>
            <w:shd w:val="clear" w:color="auto" w:fill="auto"/>
            <w:noWrap/>
            <w:vAlign w:val="bottom"/>
            <w:hideMark/>
          </w:tcPr>
          <w:p w14:paraId="47EC2B96" w14:textId="77777777" w:rsidR="00EA2A4C" w:rsidRPr="00E002DA" w:rsidRDefault="00EA2A4C" w:rsidP="008E26FA">
            <w:pPr>
              <w:jc w:val="center"/>
              <w:rPr>
                <w:color w:val="000000"/>
              </w:rPr>
            </w:pPr>
            <w:r w:rsidRPr="00E002DA">
              <w:rPr>
                <w:color w:val="000000"/>
              </w:rPr>
              <w:t>arcsine-Correct responses</w:t>
            </w:r>
          </w:p>
        </w:tc>
        <w:tc>
          <w:tcPr>
            <w:tcW w:w="1980" w:type="dxa"/>
            <w:tcBorders>
              <w:top w:val="nil"/>
              <w:left w:val="nil"/>
              <w:bottom w:val="nil"/>
              <w:right w:val="nil"/>
            </w:tcBorders>
            <w:shd w:val="clear" w:color="auto" w:fill="auto"/>
            <w:noWrap/>
            <w:vAlign w:val="bottom"/>
            <w:hideMark/>
          </w:tcPr>
          <w:p w14:paraId="4A50EC5D" w14:textId="77777777" w:rsidR="00EA2A4C" w:rsidRPr="00E002DA" w:rsidRDefault="00EA2A4C" w:rsidP="008E26FA">
            <w:pPr>
              <w:jc w:val="center"/>
              <w:rPr>
                <w:color w:val="000000"/>
              </w:rPr>
            </w:pPr>
            <w:r w:rsidRPr="00E002DA">
              <w:rPr>
                <w:color w:val="000000"/>
              </w:rPr>
              <w:t>Higher is better</w:t>
            </w:r>
          </w:p>
        </w:tc>
        <w:tc>
          <w:tcPr>
            <w:tcW w:w="2030" w:type="dxa"/>
            <w:tcBorders>
              <w:top w:val="nil"/>
              <w:left w:val="nil"/>
              <w:bottom w:val="nil"/>
              <w:right w:val="nil"/>
            </w:tcBorders>
            <w:shd w:val="clear" w:color="auto" w:fill="auto"/>
            <w:noWrap/>
            <w:vAlign w:val="bottom"/>
            <w:hideMark/>
          </w:tcPr>
          <w:p w14:paraId="1D888195" w14:textId="77777777" w:rsidR="00EA2A4C" w:rsidRPr="00E002DA" w:rsidRDefault="00EA2A4C" w:rsidP="008E26FA">
            <w:pPr>
              <w:jc w:val="center"/>
              <w:rPr>
                <w:color w:val="000000"/>
              </w:rPr>
            </w:pPr>
            <w:r w:rsidRPr="00E002DA">
              <w:rPr>
                <w:color w:val="000000"/>
              </w:rPr>
              <w:t>One-card learning</w:t>
            </w:r>
          </w:p>
        </w:tc>
      </w:tr>
      <w:tr w:rsidR="00EA2A4C" w:rsidRPr="00E002DA" w14:paraId="7079A388" w14:textId="77777777" w:rsidTr="008E26FA">
        <w:trPr>
          <w:trHeight w:val="320"/>
        </w:trPr>
        <w:tc>
          <w:tcPr>
            <w:tcW w:w="3140" w:type="dxa"/>
            <w:tcBorders>
              <w:top w:val="nil"/>
              <w:left w:val="nil"/>
              <w:bottom w:val="single" w:sz="4" w:space="0" w:color="auto"/>
              <w:right w:val="nil"/>
            </w:tcBorders>
            <w:shd w:val="clear" w:color="auto" w:fill="auto"/>
            <w:noWrap/>
            <w:vAlign w:val="bottom"/>
            <w:hideMark/>
          </w:tcPr>
          <w:p w14:paraId="60324167" w14:textId="77777777" w:rsidR="00EA2A4C" w:rsidRPr="00E002DA" w:rsidRDefault="00EA2A4C" w:rsidP="008E26FA">
            <w:pPr>
              <w:rPr>
                <w:color w:val="000000"/>
              </w:rPr>
            </w:pPr>
            <w:r w:rsidRPr="00E002DA">
              <w:rPr>
                <w:color w:val="000000"/>
              </w:rPr>
              <w:t>Throughput</w:t>
            </w:r>
          </w:p>
        </w:tc>
        <w:tc>
          <w:tcPr>
            <w:tcW w:w="2170" w:type="dxa"/>
            <w:tcBorders>
              <w:top w:val="nil"/>
              <w:left w:val="nil"/>
              <w:bottom w:val="single" w:sz="4" w:space="0" w:color="auto"/>
              <w:right w:val="nil"/>
            </w:tcBorders>
            <w:shd w:val="clear" w:color="auto" w:fill="auto"/>
            <w:noWrap/>
            <w:vAlign w:val="bottom"/>
            <w:hideMark/>
          </w:tcPr>
          <w:p w14:paraId="0303ECC8" w14:textId="77777777" w:rsidR="00EA2A4C" w:rsidRPr="00E002DA" w:rsidRDefault="00EA2A4C" w:rsidP="008E26FA">
            <w:pPr>
              <w:jc w:val="center"/>
              <w:rPr>
                <w:color w:val="000000"/>
              </w:rPr>
            </w:pPr>
            <w:r w:rsidRPr="00E002DA">
              <w:rPr>
                <w:color w:val="000000"/>
              </w:rPr>
              <w:t>arcsine-Correct responses/second</w:t>
            </w:r>
          </w:p>
        </w:tc>
        <w:tc>
          <w:tcPr>
            <w:tcW w:w="1980" w:type="dxa"/>
            <w:tcBorders>
              <w:top w:val="nil"/>
              <w:left w:val="nil"/>
              <w:bottom w:val="single" w:sz="4" w:space="0" w:color="auto"/>
              <w:right w:val="nil"/>
            </w:tcBorders>
            <w:shd w:val="clear" w:color="auto" w:fill="auto"/>
            <w:noWrap/>
            <w:vAlign w:val="bottom"/>
            <w:hideMark/>
          </w:tcPr>
          <w:p w14:paraId="489F5866" w14:textId="77777777" w:rsidR="00EA2A4C" w:rsidRPr="00E002DA" w:rsidRDefault="00EA2A4C" w:rsidP="008E26FA">
            <w:pPr>
              <w:jc w:val="center"/>
              <w:rPr>
                <w:color w:val="000000"/>
              </w:rPr>
            </w:pPr>
            <w:r w:rsidRPr="00E002DA">
              <w:rPr>
                <w:color w:val="000000"/>
              </w:rPr>
              <w:t>Higher is better</w:t>
            </w:r>
          </w:p>
        </w:tc>
        <w:tc>
          <w:tcPr>
            <w:tcW w:w="2030" w:type="dxa"/>
            <w:tcBorders>
              <w:top w:val="nil"/>
              <w:left w:val="nil"/>
              <w:bottom w:val="single" w:sz="4" w:space="0" w:color="auto"/>
              <w:right w:val="nil"/>
            </w:tcBorders>
            <w:shd w:val="clear" w:color="auto" w:fill="auto"/>
            <w:noWrap/>
            <w:vAlign w:val="bottom"/>
            <w:hideMark/>
          </w:tcPr>
          <w:p w14:paraId="240F0D30" w14:textId="77777777" w:rsidR="00EA2A4C" w:rsidRPr="00E002DA" w:rsidRDefault="00EA2A4C" w:rsidP="008E26FA">
            <w:pPr>
              <w:jc w:val="center"/>
              <w:rPr>
                <w:color w:val="000000"/>
              </w:rPr>
            </w:pPr>
            <w:r w:rsidRPr="00E002DA">
              <w:rPr>
                <w:color w:val="000000"/>
              </w:rPr>
              <w:t>One-card learning</w:t>
            </w:r>
          </w:p>
        </w:tc>
      </w:tr>
    </w:tbl>
    <w:p w14:paraId="058381FC" w14:textId="77777777" w:rsidR="00EA2A4C" w:rsidRDefault="00EA2A4C" w:rsidP="00EA2A4C">
      <w:pPr>
        <w:rPr>
          <w:b/>
          <w:bCs/>
        </w:rPr>
      </w:pPr>
      <w:r>
        <w:rPr>
          <w:b/>
          <w:bCs/>
        </w:rPr>
        <w:br w:type="page"/>
      </w:r>
    </w:p>
    <w:p w14:paraId="211E517A" w14:textId="5D66B8D0" w:rsidR="00EA2A4C" w:rsidRDefault="00EA2A4C" w:rsidP="00EA2A4C">
      <w:pPr>
        <w:spacing w:line="480" w:lineRule="auto"/>
      </w:pPr>
      <w:r>
        <w:rPr>
          <w:b/>
          <w:bCs/>
        </w:rPr>
        <w:lastRenderedPageBreak/>
        <w:t>Supplementary</w:t>
      </w:r>
      <w:r w:rsidRPr="00A26CAA">
        <w:rPr>
          <w:b/>
          <w:bCs/>
        </w:rPr>
        <w:t xml:space="preserve"> Table </w:t>
      </w:r>
      <w:r>
        <w:rPr>
          <w:b/>
          <w:bCs/>
        </w:rPr>
        <w:t>2</w:t>
      </w:r>
      <w:r>
        <w:t xml:space="preserve">. </w:t>
      </w:r>
      <w:r w:rsidRPr="00CB4A58">
        <w:rPr>
          <w:b/>
          <w:bCs/>
        </w:rPr>
        <w:t>Artificial Neural Network signals, marginal estimates, and standardized differences</w:t>
      </w:r>
      <w:r>
        <w:rPr>
          <w:b/>
          <w:bCs/>
        </w:rPr>
        <w:t xml:space="preserve">. </w:t>
      </w:r>
      <w:r>
        <w:t>Estimates of standardized mean differences are adjusted for unequal group sizes (</w:t>
      </w:r>
      <w:r w:rsidRPr="00A26CAA">
        <w:rPr>
          <w:i/>
          <w:iCs/>
        </w:rPr>
        <w:t>g</w:t>
      </w:r>
      <w:r>
        <w:t>) for World Trade Center responders identified as at high atrophy risk as compared to those in the low atrophy risk group.</w:t>
      </w:r>
    </w:p>
    <w:tbl>
      <w:tblPr>
        <w:tblW w:w="6680" w:type="dxa"/>
        <w:tblLook w:val="04A0" w:firstRow="1" w:lastRow="0" w:firstColumn="1" w:lastColumn="0" w:noHBand="0" w:noVBand="1"/>
      </w:tblPr>
      <w:tblGrid>
        <w:gridCol w:w="3560"/>
        <w:gridCol w:w="1016"/>
        <w:gridCol w:w="880"/>
        <w:gridCol w:w="1300"/>
      </w:tblGrid>
      <w:tr w:rsidR="00EA2A4C" w:rsidRPr="00C37ACE" w14:paraId="50A343BD" w14:textId="77777777" w:rsidTr="008E26FA">
        <w:trPr>
          <w:trHeight w:val="320"/>
        </w:trPr>
        <w:tc>
          <w:tcPr>
            <w:tcW w:w="3560" w:type="dxa"/>
            <w:tcBorders>
              <w:top w:val="nil"/>
              <w:left w:val="nil"/>
              <w:bottom w:val="single" w:sz="4" w:space="0" w:color="auto"/>
              <w:right w:val="nil"/>
            </w:tcBorders>
            <w:shd w:val="clear" w:color="auto" w:fill="auto"/>
            <w:noWrap/>
            <w:vAlign w:val="bottom"/>
            <w:hideMark/>
          </w:tcPr>
          <w:p w14:paraId="23288040" w14:textId="77777777" w:rsidR="00EA2A4C" w:rsidRPr="00C37ACE" w:rsidRDefault="00EA2A4C" w:rsidP="008E26FA">
            <w:pPr>
              <w:rPr>
                <w:color w:val="000000"/>
              </w:rPr>
            </w:pPr>
            <w:proofErr w:type="spellStart"/>
            <w:r w:rsidRPr="00C37ACE">
              <w:rPr>
                <w:color w:val="000000"/>
              </w:rPr>
              <w:t>CogState</w:t>
            </w:r>
            <w:proofErr w:type="spellEnd"/>
            <w:r w:rsidRPr="00C37ACE">
              <w:rPr>
                <w:color w:val="000000"/>
              </w:rPr>
              <w:t xml:space="preserve"> Variable</w:t>
            </w:r>
          </w:p>
        </w:tc>
        <w:tc>
          <w:tcPr>
            <w:tcW w:w="940" w:type="dxa"/>
            <w:tcBorders>
              <w:top w:val="nil"/>
              <w:left w:val="nil"/>
              <w:bottom w:val="single" w:sz="4" w:space="0" w:color="auto"/>
              <w:right w:val="nil"/>
            </w:tcBorders>
            <w:shd w:val="clear" w:color="auto" w:fill="auto"/>
            <w:noWrap/>
            <w:vAlign w:val="bottom"/>
            <w:hideMark/>
          </w:tcPr>
          <w:p w14:paraId="63CCE34D" w14:textId="77777777" w:rsidR="00EA2A4C" w:rsidRPr="00C37ACE" w:rsidRDefault="00EA2A4C" w:rsidP="008E26FA">
            <w:pPr>
              <w:jc w:val="center"/>
              <w:rPr>
                <w:color w:val="000000"/>
              </w:rPr>
            </w:pPr>
            <w:r w:rsidRPr="00C37ACE">
              <w:rPr>
                <w:color w:val="000000"/>
              </w:rPr>
              <w:t>Margins</w:t>
            </w:r>
          </w:p>
        </w:tc>
        <w:tc>
          <w:tcPr>
            <w:tcW w:w="880" w:type="dxa"/>
            <w:tcBorders>
              <w:top w:val="nil"/>
              <w:left w:val="nil"/>
              <w:bottom w:val="single" w:sz="4" w:space="0" w:color="auto"/>
              <w:right w:val="nil"/>
            </w:tcBorders>
            <w:shd w:val="clear" w:color="auto" w:fill="auto"/>
            <w:noWrap/>
            <w:vAlign w:val="bottom"/>
            <w:hideMark/>
          </w:tcPr>
          <w:p w14:paraId="4638E8D3" w14:textId="77777777" w:rsidR="00EA2A4C" w:rsidRPr="00C37ACE" w:rsidRDefault="00EA2A4C" w:rsidP="008E26FA">
            <w:pPr>
              <w:jc w:val="center"/>
              <w:rPr>
                <w:color w:val="000000"/>
              </w:rPr>
            </w:pPr>
            <w:r w:rsidRPr="00C37ACE">
              <w:rPr>
                <w:color w:val="000000"/>
              </w:rPr>
              <w:t>Signal</w:t>
            </w:r>
          </w:p>
        </w:tc>
        <w:tc>
          <w:tcPr>
            <w:tcW w:w="1300" w:type="dxa"/>
            <w:tcBorders>
              <w:top w:val="nil"/>
              <w:left w:val="nil"/>
              <w:bottom w:val="single" w:sz="4" w:space="0" w:color="auto"/>
              <w:right w:val="nil"/>
            </w:tcBorders>
            <w:shd w:val="clear" w:color="auto" w:fill="auto"/>
            <w:noWrap/>
            <w:vAlign w:val="bottom"/>
            <w:hideMark/>
          </w:tcPr>
          <w:p w14:paraId="1048B70E" w14:textId="77777777" w:rsidR="00EA2A4C" w:rsidRPr="00C37ACE" w:rsidRDefault="00EA2A4C" w:rsidP="008E26FA">
            <w:pPr>
              <w:jc w:val="center"/>
              <w:rPr>
                <w:color w:val="000000"/>
              </w:rPr>
            </w:pPr>
            <w:r w:rsidRPr="00C37ACE">
              <w:rPr>
                <w:color w:val="000000"/>
              </w:rPr>
              <w:t xml:space="preserve">Hedge's </w:t>
            </w:r>
            <w:r>
              <w:rPr>
                <w:color w:val="000000"/>
              </w:rPr>
              <w:t>g</w:t>
            </w:r>
          </w:p>
        </w:tc>
      </w:tr>
      <w:tr w:rsidR="00EA2A4C" w:rsidRPr="00C37ACE" w14:paraId="349680F6" w14:textId="77777777" w:rsidTr="008E26FA">
        <w:trPr>
          <w:trHeight w:val="320"/>
        </w:trPr>
        <w:tc>
          <w:tcPr>
            <w:tcW w:w="3560" w:type="dxa"/>
            <w:tcBorders>
              <w:top w:val="nil"/>
              <w:left w:val="nil"/>
              <w:bottom w:val="nil"/>
              <w:right w:val="nil"/>
            </w:tcBorders>
            <w:shd w:val="clear" w:color="auto" w:fill="auto"/>
            <w:noWrap/>
            <w:vAlign w:val="bottom"/>
            <w:hideMark/>
          </w:tcPr>
          <w:p w14:paraId="226A9795" w14:textId="77777777" w:rsidR="00EA2A4C" w:rsidRPr="00C37ACE" w:rsidRDefault="00EA2A4C" w:rsidP="008E26FA">
            <w:pPr>
              <w:rPr>
                <w:color w:val="000000"/>
              </w:rPr>
            </w:pPr>
            <w:r w:rsidRPr="00C37ACE">
              <w:rPr>
                <w:color w:val="000000"/>
              </w:rPr>
              <w:t>Intra-individual response variability</w:t>
            </w:r>
          </w:p>
        </w:tc>
        <w:tc>
          <w:tcPr>
            <w:tcW w:w="940" w:type="dxa"/>
            <w:tcBorders>
              <w:top w:val="nil"/>
              <w:left w:val="nil"/>
              <w:bottom w:val="nil"/>
              <w:right w:val="nil"/>
            </w:tcBorders>
            <w:shd w:val="clear" w:color="auto" w:fill="auto"/>
            <w:noWrap/>
            <w:vAlign w:val="bottom"/>
            <w:hideMark/>
          </w:tcPr>
          <w:p w14:paraId="6E45F483" w14:textId="77777777" w:rsidR="00EA2A4C" w:rsidRPr="00C37ACE" w:rsidRDefault="00EA2A4C" w:rsidP="008E26FA">
            <w:pPr>
              <w:jc w:val="right"/>
              <w:rPr>
                <w:color w:val="000000"/>
              </w:rPr>
            </w:pPr>
            <w:r w:rsidRPr="00C37ACE">
              <w:rPr>
                <w:color w:val="000000"/>
              </w:rPr>
              <w:t>0.222</w:t>
            </w:r>
          </w:p>
        </w:tc>
        <w:tc>
          <w:tcPr>
            <w:tcW w:w="880" w:type="dxa"/>
            <w:tcBorders>
              <w:top w:val="nil"/>
              <w:left w:val="nil"/>
              <w:bottom w:val="nil"/>
              <w:right w:val="nil"/>
            </w:tcBorders>
            <w:shd w:val="clear" w:color="auto" w:fill="auto"/>
            <w:noWrap/>
            <w:vAlign w:val="bottom"/>
            <w:hideMark/>
          </w:tcPr>
          <w:p w14:paraId="0CC22713" w14:textId="77777777" w:rsidR="00EA2A4C" w:rsidRPr="00C37ACE" w:rsidRDefault="00EA2A4C" w:rsidP="008E26FA">
            <w:pPr>
              <w:jc w:val="right"/>
              <w:rPr>
                <w:color w:val="000000"/>
              </w:rPr>
            </w:pPr>
            <w:r w:rsidRPr="00C37ACE">
              <w:rPr>
                <w:color w:val="000000"/>
              </w:rPr>
              <w:t>0.010</w:t>
            </w:r>
          </w:p>
        </w:tc>
        <w:tc>
          <w:tcPr>
            <w:tcW w:w="1300" w:type="dxa"/>
            <w:tcBorders>
              <w:top w:val="nil"/>
              <w:left w:val="nil"/>
              <w:bottom w:val="nil"/>
              <w:right w:val="nil"/>
            </w:tcBorders>
            <w:shd w:val="clear" w:color="auto" w:fill="auto"/>
            <w:noWrap/>
            <w:vAlign w:val="bottom"/>
            <w:hideMark/>
          </w:tcPr>
          <w:p w14:paraId="0F61C385" w14:textId="77777777" w:rsidR="00EA2A4C" w:rsidRPr="00C37ACE" w:rsidRDefault="00EA2A4C" w:rsidP="008E26FA">
            <w:pPr>
              <w:jc w:val="right"/>
              <w:rPr>
                <w:color w:val="000000"/>
              </w:rPr>
            </w:pPr>
            <w:r w:rsidRPr="00C37ACE">
              <w:rPr>
                <w:color w:val="000000"/>
              </w:rPr>
              <w:t>1.952</w:t>
            </w:r>
          </w:p>
        </w:tc>
      </w:tr>
      <w:tr w:rsidR="00EA2A4C" w:rsidRPr="00C37ACE" w14:paraId="05E359BF" w14:textId="77777777" w:rsidTr="008E26FA">
        <w:trPr>
          <w:trHeight w:val="320"/>
        </w:trPr>
        <w:tc>
          <w:tcPr>
            <w:tcW w:w="3560" w:type="dxa"/>
            <w:tcBorders>
              <w:top w:val="nil"/>
              <w:left w:val="nil"/>
              <w:bottom w:val="nil"/>
              <w:right w:val="nil"/>
            </w:tcBorders>
            <w:shd w:val="clear" w:color="auto" w:fill="auto"/>
            <w:noWrap/>
            <w:vAlign w:val="bottom"/>
            <w:hideMark/>
          </w:tcPr>
          <w:p w14:paraId="0CDE2753" w14:textId="77777777" w:rsidR="00EA2A4C" w:rsidRPr="00C37ACE" w:rsidRDefault="00EA2A4C" w:rsidP="008E26FA">
            <w:pPr>
              <w:rPr>
                <w:color w:val="000000"/>
              </w:rPr>
            </w:pPr>
            <w:r w:rsidRPr="00C37ACE">
              <w:rPr>
                <w:color w:val="000000"/>
              </w:rPr>
              <w:t xml:space="preserve">Response </w:t>
            </w:r>
            <w:r>
              <w:rPr>
                <w:color w:val="000000"/>
              </w:rPr>
              <w:t>s</w:t>
            </w:r>
            <w:r w:rsidRPr="00C37ACE">
              <w:rPr>
                <w:color w:val="000000"/>
              </w:rPr>
              <w:t>peed</w:t>
            </w:r>
          </w:p>
        </w:tc>
        <w:tc>
          <w:tcPr>
            <w:tcW w:w="940" w:type="dxa"/>
            <w:tcBorders>
              <w:top w:val="nil"/>
              <w:left w:val="nil"/>
              <w:bottom w:val="nil"/>
              <w:right w:val="nil"/>
            </w:tcBorders>
            <w:shd w:val="clear" w:color="auto" w:fill="auto"/>
            <w:noWrap/>
            <w:vAlign w:val="bottom"/>
            <w:hideMark/>
          </w:tcPr>
          <w:p w14:paraId="41975958" w14:textId="77777777" w:rsidR="00EA2A4C" w:rsidRPr="00C37ACE" w:rsidRDefault="00EA2A4C" w:rsidP="008E26FA">
            <w:pPr>
              <w:jc w:val="right"/>
              <w:rPr>
                <w:color w:val="000000"/>
              </w:rPr>
            </w:pPr>
            <w:r w:rsidRPr="00C37ACE">
              <w:rPr>
                <w:color w:val="000000"/>
              </w:rPr>
              <w:t>-0.474</w:t>
            </w:r>
          </w:p>
        </w:tc>
        <w:tc>
          <w:tcPr>
            <w:tcW w:w="880" w:type="dxa"/>
            <w:tcBorders>
              <w:top w:val="nil"/>
              <w:left w:val="nil"/>
              <w:bottom w:val="nil"/>
              <w:right w:val="nil"/>
            </w:tcBorders>
            <w:shd w:val="clear" w:color="auto" w:fill="auto"/>
            <w:noWrap/>
            <w:vAlign w:val="bottom"/>
            <w:hideMark/>
          </w:tcPr>
          <w:p w14:paraId="664B55AA" w14:textId="77777777" w:rsidR="00EA2A4C" w:rsidRPr="00C37ACE" w:rsidRDefault="00EA2A4C" w:rsidP="008E26FA">
            <w:pPr>
              <w:jc w:val="right"/>
              <w:rPr>
                <w:color w:val="000000"/>
              </w:rPr>
            </w:pPr>
            <w:r w:rsidRPr="00C37ACE">
              <w:rPr>
                <w:color w:val="000000"/>
              </w:rPr>
              <w:t>-0.677</w:t>
            </w:r>
          </w:p>
        </w:tc>
        <w:tc>
          <w:tcPr>
            <w:tcW w:w="1300" w:type="dxa"/>
            <w:tcBorders>
              <w:top w:val="nil"/>
              <w:left w:val="nil"/>
              <w:bottom w:val="nil"/>
              <w:right w:val="nil"/>
            </w:tcBorders>
            <w:shd w:val="clear" w:color="auto" w:fill="auto"/>
            <w:noWrap/>
            <w:vAlign w:val="bottom"/>
            <w:hideMark/>
          </w:tcPr>
          <w:p w14:paraId="73224CA5" w14:textId="77777777" w:rsidR="00EA2A4C" w:rsidRPr="00C37ACE" w:rsidRDefault="00EA2A4C" w:rsidP="008E26FA">
            <w:pPr>
              <w:jc w:val="right"/>
              <w:rPr>
                <w:color w:val="000000"/>
              </w:rPr>
            </w:pPr>
            <w:r>
              <w:rPr>
                <w:color w:val="000000"/>
              </w:rPr>
              <w:t>-</w:t>
            </w:r>
            <w:r w:rsidRPr="00C37ACE">
              <w:rPr>
                <w:color w:val="000000"/>
              </w:rPr>
              <w:t>1.493</w:t>
            </w:r>
          </w:p>
        </w:tc>
      </w:tr>
      <w:tr w:rsidR="00EA2A4C" w:rsidRPr="00C37ACE" w14:paraId="2C98F7CA" w14:textId="77777777" w:rsidTr="008E26FA">
        <w:trPr>
          <w:trHeight w:val="320"/>
        </w:trPr>
        <w:tc>
          <w:tcPr>
            <w:tcW w:w="3560" w:type="dxa"/>
            <w:tcBorders>
              <w:top w:val="nil"/>
              <w:left w:val="nil"/>
              <w:bottom w:val="nil"/>
              <w:right w:val="nil"/>
            </w:tcBorders>
            <w:shd w:val="clear" w:color="auto" w:fill="auto"/>
            <w:noWrap/>
            <w:vAlign w:val="bottom"/>
            <w:hideMark/>
          </w:tcPr>
          <w:p w14:paraId="7DF694FA" w14:textId="77777777" w:rsidR="00EA2A4C" w:rsidRPr="00C37ACE" w:rsidRDefault="00EA2A4C" w:rsidP="008E26FA">
            <w:pPr>
              <w:rPr>
                <w:color w:val="000000"/>
              </w:rPr>
            </w:pPr>
            <w:r w:rsidRPr="00C37ACE">
              <w:rPr>
                <w:color w:val="000000"/>
              </w:rPr>
              <w:t xml:space="preserve">Processing </w:t>
            </w:r>
            <w:r>
              <w:rPr>
                <w:color w:val="000000"/>
              </w:rPr>
              <w:t>s</w:t>
            </w:r>
            <w:r w:rsidRPr="00C37ACE">
              <w:rPr>
                <w:color w:val="000000"/>
              </w:rPr>
              <w:t>peed</w:t>
            </w:r>
          </w:p>
        </w:tc>
        <w:tc>
          <w:tcPr>
            <w:tcW w:w="940" w:type="dxa"/>
            <w:tcBorders>
              <w:top w:val="nil"/>
              <w:left w:val="nil"/>
              <w:bottom w:val="nil"/>
              <w:right w:val="nil"/>
            </w:tcBorders>
            <w:shd w:val="clear" w:color="auto" w:fill="auto"/>
            <w:noWrap/>
            <w:vAlign w:val="bottom"/>
            <w:hideMark/>
          </w:tcPr>
          <w:p w14:paraId="77BE3B8B" w14:textId="77777777" w:rsidR="00EA2A4C" w:rsidRPr="00C37ACE" w:rsidRDefault="00EA2A4C" w:rsidP="008E26FA">
            <w:pPr>
              <w:jc w:val="right"/>
              <w:rPr>
                <w:color w:val="000000"/>
              </w:rPr>
            </w:pPr>
            <w:r w:rsidRPr="00C37ACE">
              <w:rPr>
                <w:color w:val="000000"/>
              </w:rPr>
              <w:t>0.037</w:t>
            </w:r>
          </w:p>
        </w:tc>
        <w:tc>
          <w:tcPr>
            <w:tcW w:w="880" w:type="dxa"/>
            <w:tcBorders>
              <w:top w:val="nil"/>
              <w:left w:val="nil"/>
              <w:bottom w:val="nil"/>
              <w:right w:val="nil"/>
            </w:tcBorders>
            <w:shd w:val="clear" w:color="auto" w:fill="auto"/>
            <w:noWrap/>
            <w:vAlign w:val="bottom"/>
            <w:hideMark/>
          </w:tcPr>
          <w:p w14:paraId="57FF4618" w14:textId="77777777" w:rsidR="00EA2A4C" w:rsidRPr="00C37ACE" w:rsidRDefault="00EA2A4C" w:rsidP="008E26FA">
            <w:pPr>
              <w:jc w:val="right"/>
              <w:rPr>
                <w:color w:val="000000"/>
              </w:rPr>
            </w:pPr>
            <w:r w:rsidRPr="00C37ACE">
              <w:rPr>
                <w:color w:val="000000"/>
              </w:rPr>
              <w:t>0.004</w:t>
            </w:r>
          </w:p>
        </w:tc>
        <w:tc>
          <w:tcPr>
            <w:tcW w:w="1300" w:type="dxa"/>
            <w:tcBorders>
              <w:top w:val="nil"/>
              <w:left w:val="nil"/>
              <w:bottom w:val="nil"/>
              <w:right w:val="nil"/>
            </w:tcBorders>
            <w:shd w:val="clear" w:color="auto" w:fill="auto"/>
            <w:noWrap/>
            <w:vAlign w:val="bottom"/>
            <w:hideMark/>
          </w:tcPr>
          <w:p w14:paraId="7730F7A2" w14:textId="77777777" w:rsidR="00EA2A4C" w:rsidRPr="00C37ACE" w:rsidRDefault="00EA2A4C" w:rsidP="008E26FA">
            <w:pPr>
              <w:jc w:val="right"/>
              <w:rPr>
                <w:color w:val="000000"/>
              </w:rPr>
            </w:pPr>
            <w:r>
              <w:rPr>
                <w:color w:val="000000"/>
              </w:rPr>
              <w:t>-</w:t>
            </w:r>
            <w:r w:rsidRPr="00C37ACE">
              <w:rPr>
                <w:color w:val="000000"/>
              </w:rPr>
              <w:t>1.106</w:t>
            </w:r>
          </w:p>
        </w:tc>
      </w:tr>
      <w:tr w:rsidR="00EA2A4C" w:rsidRPr="00C37ACE" w14:paraId="46910485" w14:textId="77777777" w:rsidTr="008E26FA">
        <w:trPr>
          <w:trHeight w:val="320"/>
        </w:trPr>
        <w:tc>
          <w:tcPr>
            <w:tcW w:w="3560" w:type="dxa"/>
            <w:tcBorders>
              <w:top w:val="nil"/>
              <w:left w:val="nil"/>
              <w:bottom w:val="nil"/>
              <w:right w:val="nil"/>
            </w:tcBorders>
            <w:shd w:val="clear" w:color="auto" w:fill="auto"/>
            <w:noWrap/>
            <w:vAlign w:val="bottom"/>
            <w:hideMark/>
          </w:tcPr>
          <w:p w14:paraId="0366D6A1" w14:textId="77777777" w:rsidR="00EA2A4C" w:rsidRPr="00C37ACE" w:rsidRDefault="00EA2A4C" w:rsidP="008E26FA">
            <w:pPr>
              <w:rPr>
                <w:color w:val="000000"/>
              </w:rPr>
            </w:pPr>
            <w:r w:rsidRPr="00C37ACE">
              <w:rPr>
                <w:color w:val="000000"/>
              </w:rPr>
              <w:t>Attention</w:t>
            </w:r>
          </w:p>
        </w:tc>
        <w:tc>
          <w:tcPr>
            <w:tcW w:w="940" w:type="dxa"/>
            <w:tcBorders>
              <w:top w:val="nil"/>
              <w:left w:val="nil"/>
              <w:bottom w:val="nil"/>
              <w:right w:val="nil"/>
            </w:tcBorders>
            <w:shd w:val="clear" w:color="auto" w:fill="auto"/>
            <w:noWrap/>
            <w:vAlign w:val="bottom"/>
            <w:hideMark/>
          </w:tcPr>
          <w:p w14:paraId="1B449497" w14:textId="77777777" w:rsidR="00EA2A4C" w:rsidRPr="00C37ACE" w:rsidRDefault="00EA2A4C" w:rsidP="008E26FA">
            <w:pPr>
              <w:jc w:val="right"/>
              <w:rPr>
                <w:color w:val="000000"/>
              </w:rPr>
            </w:pPr>
            <w:r w:rsidRPr="00C37ACE">
              <w:rPr>
                <w:color w:val="000000"/>
              </w:rPr>
              <w:t>-0.146</w:t>
            </w:r>
          </w:p>
        </w:tc>
        <w:tc>
          <w:tcPr>
            <w:tcW w:w="880" w:type="dxa"/>
            <w:tcBorders>
              <w:top w:val="nil"/>
              <w:left w:val="nil"/>
              <w:bottom w:val="nil"/>
              <w:right w:val="nil"/>
            </w:tcBorders>
            <w:shd w:val="clear" w:color="auto" w:fill="auto"/>
            <w:noWrap/>
            <w:vAlign w:val="bottom"/>
            <w:hideMark/>
          </w:tcPr>
          <w:p w14:paraId="31051DE1" w14:textId="77777777" w:rsidR="00EA2A4C" w:rsidRPr="00C37ACE" w:rsidRDefault="00EA2A4C" w:rsidP="008E26FA">
            <w:pPr>
              <w:jc w:val="right"/>
              <w:rPr>
                <w:color w:val="000000"/>
              </w:rPr>
            </w:pPr>
            <w:r w:rsidRPr="00C37ACE">
              <w:rPr>
                <w:color w:val="000000"/>
              </w:rPr>
              <w:t>-0.033</w:t>
            </w:r>
          </w:p>
        </w:tc>
        <w:tc>
          <w:tcPr>
            <w:tcW w:w="1300" w:type="dxa"/>
            <w:tcBorders>
              <w:top w:val="nil"/>
              <w:left w:val="nil"/>
              <w:bottom w:val="nil"/>
              <w:right w:val="nil"/>
            </w:tcBorders>
            <w:shd w:val="clear" w:color="auto" w:fill="auto"/>
            <w:noWrap/>
            <w:vAlign w:val="bottom"/>
            <w:hideMark/>
          </w:tcPr>
          <w:p w14:paraId="2C57FCFB" w14:textId="77777777" w:rsidR="00EA2A4C" w:rsidRPr="00C37ACE" w:rsidRDefault="00EA2A4C" w:rsidP="008E26FA">
            <w:pPr>
              <w:jc w:val="right"/>
              <w:rPr>
                <w:color w:val="000000"/>
              </w:rPr>
            </w:pPr>
            <w:r>
              <w:rPr>
                <w:color w:val="000000"/>
              </w:rPr>
              <w:t>-</w:t>
            </w:r>
            <w:r w:rsidRPr="00C37ACE">
              <w:rPr>
                <w:color w:val="000000"/>
              </w:rPr>
              <w:t>0.196</w:t>
            </w:r>
          </w:p>
        </w:tc>
      </w:tr>
      <w:tr w:rsidR="00EA2A4C" w:rsidRPr="00C37ACE" w14:paraId="6BE563B0" w14:textId="77777777" w:rsidTr="008E26FA">
        <w:trPr>
          <w:trHeight w:val="320"/>
        </w:trPr>
        <w:tc>
          <w:tcPr>
            <w:tcW w:w="3560" w:type="dxa"/>
            <w:tcBorders>
              <w:top w:val="nil"/>
              <w:left w:val="nil"/>
              <w:bottom w:val="nil"/>
              <w:right w:val="nil"/>
            </w:tcBorders>
            <w:shd w:val="clear" w:color="auto" w:fill="auto"/>
            <w:noWrap/>
            <w:vAlign w:val="bottom"/>
            <w:hideMark/>
          </w:tcPr>
          <w:p w14:paraId="44674C44" w14:textId="77777777" w:rsidR="00EA2A4C" w:rsidRPr="00C37ACE" w:rsidRDefault="00EA2A4C" w:rsidP="008E26FA">
            <w:pPr>
              <w:rPr>
                <w:color w:val="000000"/>
              </w:rPr>
            </w:pPr>
            <w:r w:rsidRPr="00C37ACE">
              <w:rPr>
                <w:color w:val="000000"/>
              </w:rPr>
              <w:t xml:space="preserve">Visual </w:t>
            </w:r>
            <w:r>
              <w:rPr>
                <w:color w:val="000000"/>
              </w:rPr>
              <w:t>m</w:t>
            </w:r>
            <w:r w:rsidRPr="00C37ACE">
              <w:rPr>
                <w:color w:val="000000"/>
              </w:rPr>
              <w:t>emory</w:t>
            </w:r>
          </w:p>
        </w:tc>
        <w:tc>
          <w:tcPr>
            <w:tcW w:w="940" w:type="dxa"/>
            <w:tcBorders>
              <w:top w:val="nil"/>
              <w:left w:val="nil"/>
              <w:bottom w:val="nil"/>
              <w:right w:val="nil"/>
            </w:tcBorders>
            <w:shd w:val="clear" w:color="auto" w:fill="auto"/>
            <w:noWrap/>
            <w:vAlign w:val="bottom"/>
            <w:hideMark/>
          </w:tcPr>
          <w:p w14:paraId="49E5A066" w14:textId="77777777" w:rsidR="00EA2A4C" w:rsidRPr="00C37ACE" w:rsidRDefault="00EA2A4C" w:rsidP="008E26FA">
            <w:pPr>
              <w:jc w:val="right"/>
              <w:rPr>
                <w:color w:val="000000"/>
              </w:rPr>
            </w:pPr>
            <w:r w:rsidRPr="00C37ACE">
              <w:rPr>
                <w:color w:val="000000"/>
              </w:rPr>
              <w:t>0.207</w:t>
            </w:r>
          </w:p>
        </w:tc>
        <w:tc>
          <w:tcPr>
            <w:tcW w:w="880" w:type="dxa"/>
            <w:tcBorders>
              <w:top w:val="nil"/>
              <w:left w:val="nil"/>
              <w:bottom w:val="nil"/>
              <w:right w:val="nil"/>
            </w:tcBorders>
            <w:shd w:val="clear" w:color="auto" w:fill="auto"/>
            <w:noWrap/>
            <w:vAlign w:val="bottom"/>
            <w:hideMark/>
          </w:tcPr>
          <w:p w14:paraId="09473EC7" w14:textId="77777777" w:rsidR="00EA2A4C" w:rsidRPr="00C37ACE" w:rsidRDefault="00EA2A4C" w:rsidP="008E26FA">
            <w:pPr>
              <w:jc w:val="right"/>
              <w:rPr>
                <w:color w:val="000000"/>
              </w:rPr>
            </w:pPr>
            <w:r w:rsidRPr="00C37ACE">
              <w:rPr>
                <w:color w:val="000000"/>
              </w:rPr>
              <w:t>0.010</w:t>
            </w:r>
          </w:p>
        </w:tc>
        <w:tc>
          <w:tcPr>
            <w:tcW w:w="1300" w:type="dxa"/>
            <w:tcBorders>
              <w:top w:val="nil"/>
              <w:left w:val="nil"/>
              <w:bottom w:val="nil"/>
              <w:right w:val="nil"/>
            </w:tcBorders>
            <w:shd w:val="clear" w:color="auto" w:fill="auto"/>
            <w:noWrap/>
            <w:vAlign w:val="bottom"/>
            <w:hideMark/>
          </w:tcPr>
          <w:p w14:paraId="0D4003FB" w14:textId="77777777" w:rsidR="00EA2A4C" w:rsidRPr="00C37ACE" w:rsidRDefault="00EA2A4C" w:rsidP="008E26FA">
            <w:pPr>
              <w:jc w:val="right"/>
              <w:rPr>
                <w:color w:val="000000"/>
              </w:rPr>
            </w:pPr>
            <w:r>
              <w:rPr>
                <w:color w:val="000000"/>
              </w:rPr>
              <w:t>-</w:t>
            </w:r>
            <w:r w:rsidRPr="00C37ACE">
              <w:rPr>
                <w:color w:val="000000"/>
              </w:rPr>
              <w:t>0.797</w:t>
            </w:r>
          </w:p>
        </w:tc>
      </w:tr>
      <w:tr w:rsidR="00EA2A4C" w:rsidRPr="00C37ACE" w14:paraId="1CDB7EA0" w14:textId="77777777" w:rsidTr="008E26FA">
        <w:trPr>
          <w:trHeight w:val="320"/>
        </w:trPr>
        <w:tc>
          <w:tcPr>
            <w:tcW w:w="3560" w:type="dxa"/>
            <w:tcBorders>
              <w:top w:val="nil"/>
              <w:left w:val="nil"/>
              <w:bottom w:val="single" w:sz="4" w:space="0" w:color="auto"/>
              <w:right w:val="nil"/>
            </w:tcBorders>
            <w:shd w:val="clear" w:color="auto" w:fill="auto"/>
            <w:noWrap/>
            <w:vAlign w:val="bottom"/>
            <w:hideMark/>
          </w:tcPr>
          <w:p w14:paraId="5A2E36EB" w14:textId="77777777" w:rsidR="00EA2A4C" w:rsidRPr="00C37ACE" w:rsidRDefault="00EA2A4C" w:rsidP="008E26FA">
            <w:pPr>
              <w:rPr>
                <w:color w:val="000000"/>
              </w:rPr>
            </w:pPr>
            <w:r w:rsidRPr="00C37ACE">
              <w:rPr>
                <w:color w:val="000000"/>
              </w:rPr>
              <w:t>Throughput</w:t>
            </w:r>
          </w:p>
        </w:tc>
        <w:tc>
          <w:tcPr>
            <w:tcW w:w="940" w:type="dxa"/>
            <w:tcBorders>
              <w:top w:val="nil"/>
              <w:left w:val="nil"/>
              <w:bottom w:val="single" w:sz="4" w:space="0" w:color="auto"/>
              <w:right w:val="nil"/>
            </w:tcBorders>
            <w:shd w:val="clear" w:color="auto" w:fill="auto"/>
            <w:noWrap/>
            <w:vAlign w:val="bottom"/>
            <w:hideMark/>
          </w:tcPr>
          <w:p w14:paraId="39FDC970" w14:textId="77777777" w:rsidR="00EA2A4C" w:rsidRPr="00C37ACE" w:rsidRDefault="00EA2A4C" w:rsidP="008E26FA">
            <w:pPr>
              <w:jc w:val="right"/>
              <w:rPr>
                <w:color w:val="000000"/>
              </w:rPr>
            </w:pPr>
            <w:r w:rsidRPr="00C37ACE">
              <w:rPr>
                <w:color w:val="000000"/>
              </w:rPr>
              <w:t>-0.693</w:t>
            </w:r>
          </w:p>
        </w:tc>
        <w:tc>
          <w:tcPr>
            <w:tcW w:w="880" w:type="dxa"/>
            <w:tcBorders>
              <w:top w:val="nil"/>
              <w:left w:val="nil"/>
              <w:bottom w:val="single" w:sz="4" w:space="0" w:color="auto"/>
              <w:right w:val="nil"/>
            </w:tcBorders>
            <w:shd w:val="clear" w:color="auto" w:fill="auto"/>
            <w:noWrap/>
            <w:vAlign w:val="bottom"/>
            <w:hideMark/>
          </w:tcPr>
          <w:p w14:paraId="58258F06" w14:textId="77777777" w:rsidR="00EA2A4C" w:rsidRPr="00C37ACE" w:rsidRDefault="00EA2A4C" w:rsidP="008E26FA">
            <w:pPr>
              <w:jc w:val="right"/>
              <w:rPr>
                <w:color w:val="000000"/>
              </w:rPr>
            </w:pPr>
            <w:r w:rsidRPr="00C37ACE">
              <w:rPr>
                <w:color w:val="000000"/>
              </w:rPr>
              <w:t>-0.990</w:t>
            </w:r>
          </w:p>
        </w:tc>
        <w:tc>
          <w:tcPr>
            <w:tcW w:w="1300" w:type="dxa"/>
            <w:tcBorders>
              <w:top w:val="nil"/>
              <w:left w:val="nil"/>
              <w:bottom w:val="single" w:sz="4" w:space="0" w:color="auto"/>
              <w:right w:val="nil"/>
            </w:tcBorders>
            <w:shd w:val="clear" w:color="auto" w:fill="auto"/>
            <w:noWrap/>
            <w:vAlign w:val="bottom"/>
            <w:hideMark/>
          </w:tcPr>
          <w:p w14:paraId="33ECC201" w14:textId="77777777" w:rsidR="00EA2A4C" w:rsidRPr="00C37ACE" w:rsidRDefault="00EA2A4C" w:rsidP="008E26FA">
            <w:pPr>
              <w:jc w:val="right"/>
              <w:rPr>
                <w:color w:val="000000"/>
              </w:rPr>
            </w:pPr>
            <w:r>
              <w:rPr>
                <w:color w:val="000000"/>
              </w:rPr>
              <w:t>-</w:t>
            </w:r>
            <w:r w:rsidRPr="00C37ACE">
              <w:rPr>
                <w:color w:val="000000"/>
              </w:rPr>
              <w:t>1.103</w:t>
            </w:r>
          </w:p>
        </w:tc>
      </w:tr>
    </w:tbl>
    <w:p w14:paraId="2B9586EF" w14:textId="77777777" w:rsidR="00EA2A4C" w:rsidRPr="00A26CAA" w:rsidRDefault="00EA2A4C" w:rsidP="00EA2A4C"/>
    <w:p w14:paraId="22664B41" w14:textId="77777777" w:rsidR="006A7F81" w:rsidRDefault="00EA2A4C"/>
    <w:sectPr w:rsidR="006A7F81" w:rsidSect="009319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A4C"/>
    <w:rsid w:val="00064105"/>
    <w:rsid w:val="0007275E"/>
    <w:rsid w:val="001622BA"/>
    <w:rsid w:val="001E2824"/>
    <w:rsid w:val="001E7DCD"/>
    <w:rsid w:val="00264DA2"/>
    <w:rsid w:val="00394D20"/>
    <w:rsid w:val="003C6010"/>
    <w:rsid w:val="0078558A"/>
    <w:rsid w:val="00796A8E"/>
    <w:rsid w:val="00EA2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632697"/>
  <w15:chartTrackingRefBased/>
  <w15:docId w15:val="{1FA11B14-5F44-044F-8E61-488B9F31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A4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Users\seanclouston\Box\Submissions\WTC_Work\Cogstate\LearningCurves_HiddenBrain_10_CogStat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3"/>
          <c:order val="0"/>
          <c:tx>
            <c:strRef>
              <c:f>Sheet1!$M$1</c:f>
              <c:strCache>
                <c:ptCount val="1"/>
                <c:pt idx="0">
                  <c:v>Range2</c:v>
                </c:pt>
              </c:strCache>
            </c:strRef>
          </c:tx>
          <c:spPr>
            <a:ln w="19050">
              <a:noFill/>
            </a:ln>
          </c:spPr>
          <c:marker>
            <c:symbol val="none"/>
          </c:marker>
          <c:trendline>
            <c:spPr>
              <a:ln w="12700">
                <a:solidFill>
                  <a:schemeClr val="bg1">
                    <a:lumMod val="50000"/>
                  </a:schemeClr>
                </a:solidFill>
              </a:ln>
            </c:spPr>
            <c:trendlineType val="log"/>
            <c:dispRSqr val="0"/>
            <c:dispEq val="0"/>
          </c:trendline>
          <c:yVal>
            <c:numRef>
              <c:f>Sheet1!$M$2:$M$101</c:f>
              <c:numCache>
                <c:formatCode>0.0</c:formatCode>
                <c:ptCount val="100"/>
                <c:pt idx="0">
                  <c:v>0.88259410100000002</c:v>
                </c:pt>
                <c:pt idx="1">
                  <c:v>0.85489229687500001</c:v>
                </c:pt>
                <c:pt idx="2">
                  <c:v>0.81481581000000003</c:v>
                </c:pt>
                <c:pt idx="3">
                  <c:v>0.81010251562500002</c:v>
                </c:pt>
                <c:pt idx="4">
                  <c:v>0.84403488625</c:v>
                </c:pt>
                <c:pt idx="5">
                  <c:v>0.87379924249999996</c:v>
                </c:pt>
                <c:pt idx="6">
                  <c:v>0.876294048125</c:v>
                </c:pt>
                <c:pt idx="7">
                  <c:v>0.86941657750000001</c:v>
                </c:pt>
                <c:pt idx="8">
                  <c:v>0.86756141062500003</c:v>
                </c:pt>
                <c:pt idx="9">
                  <c:v>0.8687951075</c:v>
                </c:pt>
                <c:pt idx="10">
                  <c:v>0.866639465</c:v>
                </c:pt>
                <c:pt idx="11">
                  <c:v>0.85459354062500004</c:v>
                </c:pt>
                <c:pt idx="12">
                  <c:v>0.84675271187500001</c:v>
                </c:pt>
                <c:pt idx="13">
                  <c:v>0.85828585374999999</c:v>
                </c:pt>
                <c:pt idx="14">
                  <c:v>0.86734843875000001</c:v>
                </c:pt>
                <c:pt idx="15">
                  <c:v>0.85876336062500003</c:v>
                </c:pt>
                <c:pt idx="16">
                  <c:v>0.86253458687499995</c:v>
                </c:pt>
                <c:pt idx="17">
                  <c:v>0.89030982000000003</c:v>
                </c:pt>
                <c:pt idx="18">
                  <c:v>0.904493428125</c:v>
                </c:pt>
                <c:pt idx="19">
                  <c:v>0.89519750812499999</c:v>
                </c:pt>
                <c:pt idx="20">
                  <c:v>0.89352624187499996</c:v>
                </c:pt>
                <c:pt idx="21">
                  <c:v>0.90448545624999999</c:v>
                </c:pt>
                <c:pt idx="22">
                  <c:v>0.90970178562500004</c:v>
                </c:pt>
                <c:pt idx="23">
                  <c:v>0.90129742000000002</c:v>
                </c:pt>
                <c:pt idx="24">
                  <c:v>0.8846157375</c:v>
                </c:pt>
                <c:pt idx="25">
                  <c:v>0.86533219312499998</c:v>
                </c:pt>
                <c:pt idx="26">
                  <c:v>0.84931878187499998</c:v>
                </c:pt>
                <c:pt idx="27">
                  <c:v>0.85512403000000003</c:v>
                </c:pt>
                <c:pt idx="28">
                  <c:v>0.88718072749999999</c:v>
                </c:pt>
                <c:pt idx="29">
                  <c:v>0.91615879624999996</c:v>
                </c:pt>
                <c:pt idx="30">
                  <c:v>0.91960280625000002</c:v>
                </c:pt>
                <c:pt idx="31">
                  <c:v>0.92041939625000002</c:v>
                </c:pt>
                <c:pt idx="32">
                  <c:v>0.94175713750000001</c:v>
                </c:pt>
                <c:pt idx="33">
                  <c:v>0.95772873562500005</c:v>
                </c:pt>
                <c:pt idx="34">
                  <c:v>0.94883678937500004</c:v>
                </c:pt>
                <c:pt idx="35">
                  <c:v>0.93433107625</c:v>
                </c:pt>
                <c:pt idx="36">
                  <c:v>0.92899688812500003</c:v>
                </c:pt>
                <c:pt idx="37">
                  <c:v>0.92762781750000001</c:v>
                </c:pt>
                <c:pt idx="38">
                  <c:v>0.92215377812499999</c:v>
                </c:pt>
                <c:pt idx="39">
                  <c:v>0.92137307187499995</c:v>
                </c:pt>
                <c:pt idx="40">
                  <c:v>0.93354799687500001</c:v>
                </c:pt>
                <c:pt idx="41">
                  <c:v>0.93948768500000002</c:v>
                </c:pt>
                <c:pt idx="42">
                  <c:v>0.92990642312500005</c:v>
                </c:pt>
                <c:pt idx="43">
                  <c:v>0.92564446</c:v>
                </c:pt>
                <c:pt idx="44">
                  <c:v>0.93153418062500004</c:v>
                </c:pt>
                <c:pt idx="45">
                  <c:v>0.937638789375</c:v>
                </c:pt>
                <c:pt idx="46">
                  <c:v>0.95097007687500001</c:v>
                </c:pt>
                <c:pt idx="47">
                  <c:v>0.96383011937499996</c:v>
                </c:pt>
                <c:pt idx="48">
                  <c:v>0.95483216250000003</c:v>
                </c:pt>
                <c:pt idx="49">
                  <c:v>0.93756727437499998</c:v>
                </c:pt>
                <c:pt idx="50">
                  <c:v>0.93034501062499997</c:v>
                </c:pt>
                <c:pt idx="51">
                  <c:v>0.92766819187500005</c:v>
                </c:pt>
                <c:pt idx="52">
                  <c:v>0.93008263874999997</c:v>
                </c:pt>
                <c:pt idx="53">
                  <c:v>0.93991916687499999</c:v>
                </c:pt>
                <c:pt idx="54">
                  <c:v>0.95330449187499999</c:v>
                </c:pt>
                <c:pt idx="55">
                  <c:v>0.96652004499999999</c:v>
                </c:pt>
                <c:pt idx="56">
                  <c:v>0.97501141375</c:v>
                </c:pt>
                <c:pt idx="57">
                  <c:v>0.97987195874999999</c:v>
                </c:pt>
                <c:pt idx="58">
                  <c:v>0.98291393312499997</c:v>
                </c:pt>
                <c:pt idx="59">
                  <c:v>0.98163289499999995</c:v>
                </c:pt>
                <c:pt idx="60">
                  <c:v>0.97482876062500001</c:v>
                </c:pt>
                <c:pt idx="61">
                  <c:v>0.96696968500000002</c:v>
                </c:pt>
                <c:pt idx="62">
                  <c:v>0.96498183312499997</c:v>
                </c:pt>
                <c:pt idx="63">
                  <c:v>0.96521415437500002</c:v>
                </c:pt>
                <c:pt idx="64">
                  <c:v>0.96431043500000002</c:v>
                </c:pt>
                <c:pt idx="65">
                  <c:v>0.97206345250000004</c:v>
                </c:pt>
                <c:pt idx="66">
                  <c:v>0.984687206875</c:v>
                </c:pt>
                <c:pt idx="67">
                  <c:v>0.98687577250000003</c:v>
                </c:pt>
                <c:pt idx="68">
                  <c:v>0.98087815249999999</c:v>
                </c:pt>
                <c:pt idx="69">
                  <c:v>0.97197744937499997</c:v>
                </c:pt>
                <c:pt idx="70">
                  <c:v>0.96049677249999998</c:v>
                </c:pt>
                <c:pt idx="71">
                  <c:v>0.95272374125000003</c:v>
                </c:pt>
                <c:pt idx="72">
                  <c:v>0.95035778999999998</c:v>
                </c:pt>
                <c:pt idx="73">
                  <c:v>0.95270816375</c:v>
                </c:pt>
                <c:pt idx="74">
                  <c:v>0.96357858124999995</c:v>
                </c:pt>
                <c:pt idx="75">
                  <c:v>0.98002296624999996</c:v>
                </c:pt>
                <c:pt idx="76">
                  <c:v>0.99198330000000001</c:v>
                </c:pt>
                <c:pt idx="77">
                  <c:v>0.99183659562500004</c:v>
                </c:pt>
                <c:pt idx="78">
                  <c:v>0.97740521687500004</c:v>
                </c:pt>
                <c:pt idx="79">
                  <c:v>0.95477262687499997</c:v>
                </c:pt>
                <c:pt idx="80">
                  <c:v>0.94135337625000004</c:v>
                </c:pt>
                <c:pt idx="81">
                  <c:v>0.94883172812500005</c:v>
                </c:pt>
                <c:pt idx="82">
                  <c:v>0.96340169625000005</c:v>
                </c:pt>
                <c:pt idx="83">
                  <c:v>0.96684086312499995</c:v>
                </c:pt>
                <c:pt idx="84">
                  <c:v>0.96525941250000002</c:v>
                </c:pt>
                <c:pt idx="85">
                  <c:v>0.97221998062500004</c:v>
                </c:pt>
                <c:pt idx="86">
                  <c:v>0.98190639187499995</c:v>
                </c:pt>
                <c:pt idx="87">
                  <c:v>0.98343079</c:v>
                </c:pt>
                <c:pt idx="88">
                  <c:v>0.97521810437500001</c:v>
                </c:pt>
                <c:pt idx="89">
                  <c:v>0.95743517062500005</c:v>
                </c:pt>
                <c:pt idx="90">
                  <c:v>0.94513972999999996</c:v>
                </c:pt>
                <c:pt idx="91">
                  <c:v>0.954689778125</c:v>
                </c:pt>
                <c:pt idx="92">
                  <c:v>0.97231766875000003</c:v>
                </c:pt>
                <c:pt idx="93">
                  <c:v>0.97941323687500004</c:v>
                </c:pt>
                <c:pt idx="94">
                  <c:v>0.97586274750000002</c:v>
                </c:pt>
                <c:pt idx="95">
                  <c:v>0.97367353312500005</c:v>
                </c:pt>
                <c:pt idx="96">
                  <c:v>0.97688432312499995</c:v>
                </c:pt>
                <c:pt idx="97">
                  <c:v>0.97144503187499998</c:v>
                </c:pt>
                <c:pt idx="98">
                  <c:v>0.95571934074999998</c:v>
                </c:pt>
                <c:pt idx="99">
                  <c:v>0.94626563180000001</c:v>
                </c:pt>
              </c:numCache>
            </c:numRef>
          </c:yVal>
          <c:smooth val="0"/>
          <c:extLst>
            <c:ext xmlns:c16="http://schemas.microsoft.com/office/drawing/2014/chart" uri="{C3380CC4-5D6E-409C-BE32-E72D297353CC}">
              <c16:uniqueId val="{00000001-2901-3743-96B1-F938C32A299C}"/>
            </c:ext>
          </c:extLst>
        </c:ser>
        <c:ser>
          <c:idx val="2"/>
          <c:order val="1"/>
          <c:tx>
            <c:strRef>
              <c:f>Sheet1!$L$1</c:f>
              <c:strCache>
                <c:ptCount val="1"/>
                <c:pt idx="0">
                  <c:v>Range</c:v>
                </c:pt>
              </c:strCache>
            </c:strRef>
          </c:tx>
          <c:spPr>
            <a:ln w="19050">
              <a:noFill/>
            </a:ln>
          </c:spPr>
          <c:marker>
            <c:symbol val="none"/>
          </c:marker>
          <c:trendline>
            <c:spPr>
              <a:ln w="12700">
                <a:solidFill>
                  <a:schemeClr val="bg1">
                    <a:lumMod val="50000"/>
                  </a:schemeClr>
                </a:solidFill>
              </a:ln>
            </c:spPr>
            <c:trendlineType val="log"/>
            <c:dispRSqr val="0"/>
            <c:dispEq val="0"/>
          </c:trendline>
          <c:yVal>
            <c:numRef>
              <c:f>Sheet1!$L$2:$L$101</c:f>
              <c:numCache>
                <c:formatCode>0.0</c:formatCode>
                <c:ptCount val="100"/>
                <c:pt idx="0">
                  <c:v>0.63986882160000003</c:v>
                </c:pt>
                <c:pt idx="1">
                  <c:v>0.59924980962499996</c:v>
                </c:pt>
                <c:pt idx="2">
                  <c:v>0.53752522749999998</c:v>
                </c:pt>
                <c:pt idx="3">
                  <c:v>0.51972517124999995</c:v>
                </c:pt>
                <c:pt idx="4">
                  <c:v>0.55751412624999996</c:v>
                </c:pt>
                <c:pt idx="5">
                  <c:v>0.59839767499999996</c:v>
                </c:pt>
                <c:pt idx="6">
                  <c:v>0.60180534937499996</c:v>
                </c:pt>
                <c:pt idx="7">
                  <c:v>0.58679739812499998</c:v>
                </c:pt>
                <c:pt idx="8">
                  <c:v>0.58007879812499996</c:v>
                </c:pt>
                <c:pt idx="9">
                  <c:v>0.583712613125</c:v>
                </c:pt>
                <c:pt idx="10">
                  <c:v>0.58935775562500003</c:v>
                </c:pt>
                <c:pt idx="11">
                  <c:v>0.58393236749999999</c:v>
                </c:pt>
                <c:pt idx="12">
                  <c:v>0.57545738437500005</c:v>
                </c:pt>
                <c:pt idx="13">
                  <c:v>0.58258228812500001</c:v>
                </c:pt>
                <c:pt idx="14">
                  <c:v>0.58751290749999996</c:v>
                </c:pt>
                <c:pt idx="15">
                  <c:v>0.57374700374999998</c:v>
                </c:pt>
                <c:pt idx="16">
                  <c:v>0.57900680375000002</c:v>
                </c:pt>
                <c:pt idx="17">
                  <c:v>0.62222509562499995</c:v>
                </c:pt>
                <c:pt idx="18">
                  <c:v>0.65204051562499998</c:v>
                </c:pt>
                <c:pt idx="19">
                  <c:v>0.64722948437500005</c:v>
                </c:pt>
                <c:pt idx="20">
                  <c:v>0.64460969062499995</c:v>
                </c:pt>
                <c:pt idx="21">
                  <c:v>0.65400208687500005</c:v>
                </c:pt>
                <c:pt idx="22">
                  <c:v>0.65636586562499999</c:v>
                </c:pt>
                <c:pt idx="23">
                  <c:v>0.64035047624999997</c:v>
                </c:pt>
                <c:pt idx="24">
                  <c:v>0.61367059937500001</c:v>
                </c:pt>
                <c:pt idx="25">
                  <c:v>0.58816947249999996</c:v>
                </c:pt>
                <c:pt idx="26">
                  <c:v>0.569309111875</c:v>
                </c:pt>
                <c:pt idx="27">
                  <c:v>0.57862462812500004</c:v>
                </c:pt>
                <c:pt idx="28">
                  <c:v>0.62636548812500004</c:v>
                </c:pt>
                <c:pt idx="29">
                  <c:v>0.67582380312500001</c:v>
                </c:pt>
                <c:pt idx="30">
                  <c:v>0.68649208250000004</c:v>
                </c:pt>
                <c:pt idx="31">
                  <c:v>0.68411580687499995</c:v>
                </c:pt>
                <c:pt idx="32">
                  <c:v>0.71336487562499995</c:v>
                </c:pt>
                <c:pt idx="33">
                  <c:v>0.74082216000000001</c:v>
                </c:pt>
                <c:pt idx="34">
                  <c:v>0.72395745374999998</c:v>
                </c:pt>
                <c:pt idx="35">
                  <c:v>0.69188727875</c:v>
                </c:pt>
                <c:pt idx="36">
                  <c:v>0.68396523937499998</c:v>
                </c:pt>
                <c:pt idx="37">
                  <c:v>0.69318035312500004</c:v>
                </c:pt>
                <c:pt idx="38">
                  <c:v>0.69471829562499998</c:v>
                </c:pt>
                <c:pt idx="39">
                  <c:v>0.69912713812500005</c:v>
                </c:pt>
                <c:pt idx="40">
                  <c:v>0.72181651499999999</c:v>
                </c:pt>
                <c:pt idx="41">
                  <c:v>0.72986975562500001</c:v>
                </c:pt>
                <c:pt idx="42">
                  <c:v>0.708334906875</c:v>
                </c:pt>
                <c:pt idx="43">
                  <c:v>0.69633176750000003</c:v>
                </c:pt>
                <c:pt idx="44">
                  <c:v>0.70203998374999999</c:v>
                </c:pt>
                <c:pt idx="45">
                  <c:v>0.71154166562499999</c:v>
                </c:pt>
                <c:pt idx="46">
                  <c:v>0.74092343562499996</c:v>
                </c:pt>
                <c:pt idx="47">
                  <c:v>0.76488627187500002</c:v>
                </c:pt>
                <c:pt idx="48">
                  <c:v>0.73858926937500002</c:v>
                </c:pt>
                <c:pt idx="49">
                  <c:v>0.69281674062499998</c:v>
                </c:pt>
                <c:pt idx="50">
                  <c:v>0.65933690749999996</c:v>
                </c:pt>
                <c:pt idx="51">
                  <c:v>0.63921645000000005</c:v>
                </c:pt>
                <c:pt idx="52">
                  <c:v>0.65270762312499997</c:v>
                </c:pt>
                <c:pt idx="53">
                  <c:v>0.69426018687500002</c:v>
                </c:pt>
                <c:pt idx="54">
                  <c:v>0.73777172125000001</c:v>
                </c:pt>
                <c:pt idx="55">
                  <c:v>0.76795428499999996</c:v>
                </c:pt>
                <c:pt idx="56">
                  <c:v>0.77653545749999997</c:v>
                </c:pt>
                <c:pt idx="57">
                  <c:v>0.77342537624999996</c:v>
                </c:pt>
                <c:pt idx="58">
                  <c:v>0.76387789562499997</c:v>
                </c:pt>
                <c:pt idx="59">
                  <c:v>0.75260610812499995</c:v>
                </c:pt>
                <c:pt idx="60">
                  <c:v>0.75066286562499995</c:v>
                </c:pt>
                <c:pt idx="61">
                  <c:v>0.75832015937499997</c:v>
                </c:pt>
                <c:pt idx="62">
                  <c:v>0.77523105437499995</c:v>
                </c:pt>
                <c:pt idx="63">
                  <c:v>0.77991020249999998</c:v>
                </c:pt>
                <c:pt idx="64">
                  <c:v>0.75810961499999996</c:v>
                </c:pt>
                <c:pt idx="65">
                  <c:v>0.74884404437499996</c:v>
                </c:pt>
                <c:pt idx="66">
                  <c:v>0.76025192750000004</c:v>
                </c:pt>
                <c:pt idx="67">
                  <c:v>0.76497306124999997</c:v>
                </c:pt>
                <c:pt idx="68">
                  <c:v>0.78475493562499998</c:v>
                </c:pt>
                <c:pt idx="69">
                  <c:v>0.81146057062499999</c:v>
                </c:pt>
                <c:pt idx="70">
                  <c:v>0.79201625062500003</c:v>
                </c:pt>
                <c:pt idx="71">
                  <c:v>0.74769152250000004</c:v>
                </c:pt>
                <c:pt idx="72">
                  <c:v>0.72020735375</c:v>
                </c:pt>
                <c:pt idx="73">
                  <c:v>0.70710569125</c:v>
                </c:pt>
                <c:pt idx="74">
                  <c:v>0.72018632937500004</c:v>
                </c:pt>
                <c:pt idx="75">
                  <c:v>0.76749932124999998</c:v>
                </c:pt>
                <c:pt idx="76">
                  <c:v>0.81040203312500003</c:v>
                </c:pt>
                <c:pt idx="77">
                  <c:v>0.81049699374999995</c:v>
                </c:pt>
                <c:pt idx="78">
                  <c:v>0.77324553437499999</c:v>
                </c:pt>
                <c:pt idx="79">
                  <c:v>0.72543789250000001</c:v>
                </c:pt>
                <c:pt idx="80">
                  <c:v>0.70011685874999996</c:v>
                </c:pt>
                <c:pt idx="81">
                  <c:v>0.71899317437499999</c:v>
                </c:pt>
                <c:pt idx="82">
                  <c:v>0.75139036187499997</c:v>
                </c:pt>
                <c:pt idx="83">
                  <c:v>0.75482517562499996</c:v>
                </c:pt>
                <c:pt idx="84">
                  <c:v>0.74603530312499999</c:v>
                </c:pt>
                <c:pt idx="85">
                  <c:v>0.75961744812499998</c:v>
                </c:pt>
                <c:pt idx="86">
                  <c:v>0.78044398187499997</c:v>
                </c:pt>
                <c:pt idx="87">
                  <c:v>0.78541338500000002</c:v>
                </c:pt>
                <c:pt idx="88">
                  <c:v>0.77818658249999995</c:v>
                </c:pt>
                <c:pt idx="89">
                  <c:v>0.74905417750000003</c:v>
                </c:pt>
                <c:pt idx="90">
                  <c:v>0.71286299374999995</c:v>
                </c:pt>
                <c:pt idx="91">
                  <c:v>0.71663576312499999</c:v>
                </c:pt>
                <c:pt idx="92">
                  <c:v>0.74935929562500003</c:v>
                </c:pt>
                <c:pt idx="93">
                  <c:v>0.76738989000000002</c:v>
                </c:pt>
                <c:pt idx="94">
                  <c:v>0.76432339562499996</c:v>
                </c:pt>
                <c:pt idx="95">
                  <c:v>0.76071599999999995</c:v>
                </c:pt>
                <c:pt idx="96">
                  <c:v>0.75929702624999995</c:v>
                </c:pt>
                <c:pt idx="97">
                  <c:v>0.73715486249999995</c:v>
                </c:pt>
                <c:pt idx="98">
                  <c:v>0.700875213</c:v>
                </c:pt>
                <c:pt idx="99">
                  <c:v>0.68241040419999999</c:v>
                </c:pt>
              </c:numCache>
            </c:numRef>
          </c:yVal>
          <c:smooth val="0"/>
          <c:extLst>
            <c:ext xmlns:c16="http://schemas.microsoft.com/office/drawing/2014/chart" uri="{C3380CC4-5D6E-409C-BE32-E72D297353CC}">
              <c16:uniqueId val="{00000003-2901-3743-96B1-F938C32A299C}"/>
            </c:ext>
          </c:extLst>
        </c:ser>
        <c:ser>
          <c:idx val="1"/>
          <c:order val="2"/>
          <c:tx>
            <c:strRef>
              <c:f>Sheet1!$B$1</c:f>
              <c:strCache>
                <c:ptCount val="1"/>
                <c:pt idx="0">
                  <c:v>Training</c:v>
                </c:pt>
              </c:strCache>
            </c:strRef>
          </c:tx>
          <c:spPr>
            <a:ln w="19050">
              <a:noFill/>
            </a:ln>
          </c:spPr>
          <c:marker>
            <c:symbol val="none"/>
          </c:marker>
          <c:trendline>
            <c:spPr>
              <a:ln w="25400" cap="flat">
                <a:prstDash val="lgDash"/>
              </a:ln>
            </c:spPr>
            <c:trendlineType val="linear"/>
            <c:dispRSqr val="0"/>
            <c:dispEq val="0"/>
          </c:trendline>
          <c:yVal>
            <c:numRef>
              <c:f>Sheet1!$D$2:$D$101</c:f>
              <c:numCache>
                <c:formatCode>0.0</c:formatCode>
                <c:ptCount val="100"/>
                <c:pt idx="0">
                  <c:v>0.76359371760000005</c:v>
                </c:pt>
                <c:pt idx="1">
                  <c:v>0.77487986712500001</c:v>
                </c:pt>
                <c:pt idx="2">
                  <c:v>0.79572275250000002</c:v>
                </c:pt>
                <c:pt idx="3">
                  <c:v>0.80762818687500004</c:v>
                </c:pt>
                <c:pt idx="4">
                  <c:v>0.80316092937500005</c:v>
                </c:pt>
                <c:pt idx="5">
                  <c:v>0.804288611875</c:v>
                </c:pt>
                <c:pt idx="6">
                  <c:v>0.82643152124999997</c:v>
                </c:pt>
                <c:pt idx="7">
                  <c:v>0.85574276687499995</c:v>
                </c:pt>
                <c:pt idx="8">
                  <c:v>0.88082495750000001</c:v>
                </c:pt>
                <c:pt idx="9">
                  <c:v>0.89661884250000001</c:v>
                </c:pt>
                <c:pt idx="10">
                  <c:v>0.89842281874999996</c:v>
                </c:pt>
                <c:pt idx="11">
                  <c:v>0.89292224875000004</c:v>
                </c:pt>
                <c:pt idx="12">
                  <c:v>0.88662269999999999</c:v>
                </c:pt>
                <c:pt idx="13">
                  <c:v>0.88028894187499995</c:v>
                </c:pt>
                <c:pt idx="14">
                  <c:v>0.87964441187499998</c:v>
                </c:pt>
                <c:pt idx="15">
                  <c:v>0.88512499062500005</c:v>
                </c:pt>
                <c:pt idx="16">
                  <c:v>0.88375411812500004</c:v>
                </c:pt>
                <c:pt idx="17">
                  <c:v>0.86828908562499996</c:v>
                </c:pt>
                <c:pt idx="18">
                  <c:v>0.85104067500000002</c:v>
                </c:pt>
                <c:pt idx="19">
                  <c:v>0.84550516687499999</c:v>
                </c:pt>
                <c:pt idx="20">
                  <c:v>0.84311202500000004</c:v>
                </c:pt>
                <c:pt idx="21">
                  <c:v>0.83214558375000003</c:v>
                </c:pt>
                <c:pt idx="22">
                  <c:v>0.82552350437499999</c:v>
                </c:pt>
                <c:pt idx="23">
                  <c:v>0.83880818624999998</c:v>
                </c:pt>
                <c:pt idx="24">
                  <c:v>0.86240973562500001</c:v>
                </c:pt>
                <c:pt idx="25">
                  <c:v>0.87892367687499995</c:v>
                </c:pt>
                <c:pt idx="26">
                  <c:v>0.88232156750000001</c:v>
                </c:pt>
                <c:pt idx="27">
                  <c:v>0.87238608562499997</c:v>
                </c:pt>
                <c:pt idx="28">
                  <c:v>0.85402057750000004</c:v>
                </c:pt>
                <c:pt idx="29">
                  <c:v>0.83906877062499996</c:v>
                </c:pt>
                <c:pt idx="30">
                  <c:v>0.84218558499999996</c:v>
                </c:pt>
                <c:pt idx="31">
                  <c:v>0.86359948625000005</c:v>
                </c:pt>
                <c:pt idx="32">
                  <c:v>0.87860979250000004</c:v>
                </c:pt>
                <c:pt idx="33">
                  <c:v>0.87467891062500003</c:v>
                </c:pt>
                <c:pt idx="34">
                  <c:v>0.87042987875</c:v>
                </c:pt>
                <c:pt idx="35">
                  <c:v>0.87545368437500004</c:v>
                </c:pt>
                <c:pt idx="36">
                  <c:v>0.87478218124999996</c:v>
                </c:pt>
                <c:pt idx="37">
                  <c:v>0.86473886124999999</c:v>
                </c:pt>
                <c:pt idx="38">
                  <c:v>0.86207924125000002</c:v>
                </c:pt>
                <c:pt idx="39">
                  <c:v>0.86744373500000005</c:v>
                </c:pt>
                <c:pt idx="40">
                  <c:v>0.86919526874999997</c:v>
                </c:pt>
                <c:pt idx="41">
                  <c:v>0.87246997874999999</c:v>
                </c:pt>
                <c:pt idx="42">
                  <c:v>0.87916138749999995</c:v>
                </c:pt>
                <c:pt idx="43">
                  <c:v>0.87821067187500002</c:v>
                </c:pt>
                <c:pt idx="44">
                  <c:v>0.87479576375000001</c:v>
                </c:pt>
                <c:pt idx="45">
                  <c:v>0.87707044874999995</c:v>
                </c:pt>
                <c:pt idx="46">
                  <c:v>0.86802300562500001</c:v>
                </c:pt>
                <c:pt idx="47">
                  <c:v>0.84813259812499997</c:v>
                </c:pt>
                <c:pt idx="48">
                  <c:v>0.84820598125000002</c:v>
                </c:pt>
                <c:pt idx="49">
                  <c:v>0.86755199750000001</c:v>
                </c:pt>
                <c:pt idx="50">
                  <c:v>0.88325479625000003</c:v>
                </c:pt>
                <c:pt idx="51">
                  <c:v>0.89036580187500003</c:v>
                </c:pt>
                <c:pt idx="52">
                  <c:v>0.88739143687499999</c:v>
                </c:pt>
                <c:pt idx="53">
                  <c:v>0.87078978875000002</c:v>
                </c:pt>
                <c:pt idx="54">
                  <c:v>0.84376744375000001</c:v>
                </c:pt>
                <c:pt idx="55">
                  <c:v>0.826078900625</c:v>
                </c:pt>
                <c:pt idx="56">
                  <c:v>0.83097452625000001</c:v>
                </c:pt>
                <c:pt idx="57">
                  <c:v>0.84107274187500003</c:v>
                </c:pt>
                <c:pt idx="58">
                  <c:v>0.84649903625</c:v>
                </c:pt>
                <c:pt idx="59">
                  <c:v>0.85120462500000005</c:v>
                </c:pt>
                <c:pt idx="60">
                  <c:v>0.85513953812499999</c:v>
                </c:pt>
                <c:pt idx="61">
                  <c:v>0.86152455875</c:v>
                </c:pt>
                <c:pt idx="62">
                  <c:v>0.866001450625</c:v>
                </c:pt>
                <c:pt idx="63">
                  <c:v>0.86684611187500005</c:v>
                </c:pt>
                <c:pt idx="64">
                  <c:v>0.87079625562499996</c:v>
                </c:pt>
                <c:pt idx="65">
                  <c:v>0.86864571062499996</c:v>
                </c:pt>
                <c:pt idx="66">
                  <c:v>0.856978650625</c:v>
                </c:pt>
                <c:pt idx="67">
                  <c:v>0.84813461437500004</c:v>
                </c:pt>
                <c:pt idx="68">
                  <c:v>0.84153295312499998</c:v>
                </c:pt>
                <c:pt idx="69">
                  <c:v>0.84206920812499997</c:v>
                </c:pt>
                <c:pt idx="70">
                  <c:v>0.86044590812499999</c:v>
                </c:pt>
                <c:pt idx="71">
                  <c:v>0.879720109375</c:v>
                </c:pt>
                <c:pt idx="72">
                  <c:v>0.88212392750000002</c:v>
                </c:pt>
                <c:pt idx="73">
                  <c:v>0.87477261937499995</c:v>
                </c:pt>
                <c:pt idx="74">
                  <c:v>0.86469072125000002</c:v>
                </c:pt>
                <c:pt idx="75">
                  <c:v>0.84922614187500001</c:v>
                </c:pt>
                <c:pt idx="76">
                  <c:v>0.83407248874999995</c:v>
                </c:pt>
                <c:pt idx="77">
                  <c:v>0.83376408499999999</c:v>
                </c:pt>
                <c:pt idx="78">
                  <c:v>0.85216737812499999</c:v>
                </c:pt>
                <c:pt idx="79">
                  <c:v>0.87791475187500001</c:v>
                </c:pt>
                <c:pt idx="80">
                  <c:v>0.89261002562500003</c:v>
                </c:pt>
                <c:pt idx="81">
                  <c:v>0.88676340124999997</c:v>
                </c:pt>
                <c:pt idx="82">
                  <c:v>0.874872335625</c:v>
                </c:pt>
                <c:pt idx="83">
                  <c:v>0.87381494375000002</c:v>
                </c:pt>
                <c:pt idx="84">
                  <c:v>0.87348775062499995</c:v>
                </c:pt>
                <c:pt idx="85">
                  <c:v>0.85987377750000005</c:v>
                </c:pt>
                <c:pt idx="86">
                  <c:v>0.84656995187499995</c:v>
                </c:pt>
                <c:pt idx="87">
                  <c:v>0.84653788124999996</c:v>
                </c:pt>
                <c:pt idx="88">
                  <c:v>0.85177704124999998</c:v>
                </c:pt>
                <c:pt idx="89">
                  <c:v>0.86211368562500001</c:v>
                </c:pt>
                <c:pt idx="90">
                  <c:v>0.87549849687500003</c:v>
                </c:pt>
                <c:pt idx="91">
                  <c:v>0.87606991874999995</c:v>
                </c:pt>
                <c:pt idx="92">
                  <c:v>0.86721231750000005</c:v>
                </c:pt>
                <c:pt idx="93">
                  <c:v>0.86467632875</c:v>
                </c:pt>
                <c:pt idx="94">
                  <c:v>0.86714370124999995</c:v>
                </c:pt>
                <c:pt idx="95">
                  <c:v>0.86484523624999998</c:v>
                </c:pt>
                <c:pt idx="96">
                  <c:v>0.863012785</c:v>
                </c:pt>
                <c:pt idx="97">
                  <c:v>0.87287387625000001</c:v>
                </c:pt>
                <c:pt idx="98">
                  <c:v>0.88760445837500002</c:v>
                </c:pt>
                <c:pt idx="99">
                  <c:v>0.89454224260000004</c:v>
                </c:pt>
              </c:numCache>
            </c:numRef>
          </c:yVal>
          <c:smooth val="0"/>
          <c:extLst>
            <c:ext xmlns:c16="http://schemas.microsoft.com/office/drawing/2014/chart" uri="{C3380CC4-5D6E-409C-BE32-E72D297353CC}">
              <c16:uniqueId val="{00000005-2901-3743-96B1-F938C32A299C}"/>
            </c:ext>
          </c:extLst>
        </c:ser>
        <c:ser>
          <c:idx val="0"/>
          <c:order val="3"/>
          <c:tx>
            <c:strRef>
              <c:f>Sheet1!$G$1</c:f>
              <c:strCache>
                <c:ptCount val="1"/>
                <c:pt idx="0">
                  <c:v>Recovery</c:v>
                </c:pt>
              </c:strCache>
            </c:strRef>
          </c:tx>
          <c:spPr>
            <a:ln w="25400" cap="rnd">
              <a:noFill/>
              <a:round/>
            </a:ln>
            <a:effectLst/>
          </c:spPr>
          <c:marker>
            <c:symbol val="diamond"/>
            <c:size val="9"/>
            <c:spPr>
              <a:noFill/>
              <a:ln>
                <a:noFill/>
              </a:ln>
            </c:spPr>
          </c:marker>
          <c:trendline>
            <c:spPr>
              <a:ln w="25400" cap="flat">
                <a:solidFill>
                  <a:srgbClr val="C00000"/>
                </a:solidFill>
                <a:prstDash val="lgDash"/>
              </a:ln>
            </c:spPr>
            <c:trendlineType val="log"/>
            <c:dispRSqr val="0"/>
            <c:dispEq val="0"/>
          </c:trendline>
          <c:yVal>
            <c:numRef>
              <c:f>Sheet1!$G$2:$G$101</c:f>
              <c:numCache>
                <c:formatCode>0.0</c:formatCode>
                <c:ptCount val="100"/>
                <c:pt idx="0">
                  <c:v>0.80208332999999998</c:v>
                </c:pt>
                <c:pt idx="1">
                  <c:v>0.74652777999999997</c:v>
                </c:pt>
                <c:pt idx="2">
                  <c:v>0.63800904000000003</c:v>
                </c:pt>
                <c:pt idx="3">
                  <c:v>0.62485067000000005</c:v>
                </c:pt>
                <c:pt idx="4">
                  <c:v>0.70307691999999999</c:v>
                </c:pt>
                <c:pt idx="5">
                  <c:v>0.77864582999999998</c:v>
                </c:pt>
                <c:pt idx="6">
                  <c:v>0.74193549000000003</c:v>
                </c:pt>
                <c:pt idx="7">
                  <c:v>0.70079999999999998</c:v>
                </c:pt>
                <c:pt idx="8">
                  <c:v>0.75232197999999995</c:v>
                </c:pt>
                <c:pt idx="9">
                  <c:v>0.68923610999999996</c:v>
                </c:pt>
                <c:pt idx="10">
                  <c:v>0.76510988999999996</c:v>
                </c:pt>
                <c:pt idx="11">
                  <c:v>0.71411765000000005</c:v>
                </c:pt>
                <c:pt idx="12">
                  <c:v>0.69158143000000005</c:v>
                </c:pt>
                <c:pt idx="13">
                  <c:v>0.70750000999999996</c:v>
                </c:pt>
                <c:pt idx="14">
                  <c:v>0.77661170000000002</c:v>
                </c:pt>
                <c:pt idx="15">
                  <c:v>0.69505494000000001</c:v>
                </c:pt>
                <c:pt idx="16">
                  <c:v>0.67741936000000003</c:v>
                </c:pt>
                <c:pt idx="17">
                  <c:v>0.76612902999999999</c:v>
                </c:pt>
                <c:pt idx="18">
                  <c:v>0.84646739000000004</c:v>
                </c:pt>
                <c:pt idx="19">
                  <c:v>0.71290323</c:v>
                </c:pt>
                <c:pt idx="20">
                  <c:v>0.77991885999999999</c:v>
                </c:pt>
                <c:pt idx="21">
                  <c:v>0.79032258</c:v>
                </c:pt>
                <c:pt idx="22">
                  <c:v>0.76620370000000004</c:v>
                </c:pt>
                <c:pt idx="23">
                  <c:v>0.82857141999999995</c:v>
                </c:pt>
                <c:pt idx="24">
                  <c:v>0.67582418</c:v>
                </c:pt>
                <c:pt idx="25">
                  <c:v>0.80332057000000001</c:v>
                </c:pt>
                <c:pt idx="26">
                  <c:v>0.63757396</c:v>
                </c:pt>
                <c:pt idx="27">
                  <c:v>0.72592593000000005</c:v>
                </c:pt>
                <c:pt idx="28">
                  <c:v>0.73076923000000005</c:v>
                </c:pt>
                <c:pt idx="29">
                  <c:v>0.83774037999999995</c:v>
                </c:pt>
                <c:pt idx="30">
                  <c:v>0.83151514999999998</c:v>
                </c:pt>
                <c:pt idx="31">
                  <c:v>0.73435505999999995</c:v>
                </c:pt>
                <c:pt idx="32">
                  <c:v>0.84051723</c:v>
                </c:pt>
                <c:pt idx="33">
                  <c:v>0.90554723999999998</c:v>
                </c:pt>
                <c:pt idx="34">
                  <c:v>0.81181181999999996</c:v>
                </c:pt>
                <c:pt idx="35">
                  <c:v>0.81904763000000003</c:v>
                </c:pt>
                <c:pt idx="36">
                  <c:v>0.77764977999999996</c:v>
                </c:pt>
                <c:pt idx="37">
                  <c:v>0.83333332999999998</c:v>
                </c:pt>
                <c:pt idx="38">
                  <c:v>0.81646273000000003</c:v>
                </c:pt>
                <c:pt idx="39">
                  <c:v>0.77096774000000001</c:v>
                </c:pt>
                <c:pt idx="40">
                  <c:v>0.84134615000000001</c:v>
                </c:pt>
                <c:pt idx="41">
                  <c:v>0.87362636999999999</c:v>
                </c:pt>
                <c:pt idx="42">
                  <c:v>0.8</c:v>
                </c:pt>
                <c:pt idx="43">
                  <c:v>0.77674896999999998</c:v>
                </c:pt>
                <c:pt idx="44">
                  <c:v>0.86308317000000001</c:v>
                </c:pt>
                <c:pt idx="45">
                  <c:v>0.78935697999999999</c:v>
                </c:pt>
                <c:pt idx="46">
                  <c:v>0.82567049000000003</c:v>
                </c:pt>
                <c:pt idx="47">
                  <c:v>0.93526171000000002</c:v>
                </c:pt>
                <c:pt idx="48">
                  <c:v>0.85846153000000003</c:v>
                </c:pt>
                <c:pt idx="49">
                  <c:v>0.75061728000000005</c:v>
                </c:pt>
                <c:pt idx="50">
                  <c:v>0.86631016000000005</c:v>
                </c:pt>
                <c:pt idx="51">
                  <c:v>0.71474358000000004</c:v>
                </c:pt>
                <c:pt idx="52">
                  <c:v>0.79968943000000003</c:v>
                </c:pt>
                <c:pt idx="53">
                  <c:v>0.83199999999999996</c:v>
                </c:pt>
                <c:pt idx="54">
                  <c:v>0.81090099999999998</c:v>
                </c:pt>
                <c:pt idx="55">
                  <c:v>0.92432948999999998</c:v>
                </c:pt>
                <c:pt idx="56">
                  <c:v>0.83819626999999997</c:v>
                </c:pt>
                <c:pt idx="57">
                  <c:v>0.90142856999999998</c:v>
                </c:pt>
                <c:pt idx="58">
                  <c:v>0.86926407999999999</c:v>
                </c:pt>
                <c:pt idx="59">
                  <c:v>0.86363637000000004</c:v>
                </c:pt>
                <c:pt idx="60">
                  <c:v>0.86029412000000005</c:v>
                </c:pt>
                <c:pt idx="61">
                  <c:v>0.87243243000000004</c:v>
                </c:pt>
                <c:pt idx="62">
                  <c:v>0.82862902000000005</c:v>
                </c:pt>
                <c:pt idx="63">
                  <c:v>0.95606060000000004</c:v>
                </c:pt>
                <c:pt idx="64">
                  <c:v>0.80632409999999999</c:v>
                </c:pt>
                <c:pt idx="65">
                  <c:v>0.85837836999999995</c:v>
                </c:pt>
                <c:pt idx="66">
                  <c:v>0.88599998999999996</c:v>
                </c:pt>
                <c:pt idx="67">
                  <c:v>0.90052909999999997</c:v>
                </c:pt>
                <c:pt idx="68">
                  <c:v>0.80340559</c:v>
                </c:pt>
                <c:pt idx="69">
                  <c:v>0.99832776000000001</c:v>
                </c:pt>
                <c:pt idx="70">
                  <c:v>0.82943723999999996</c:v>
                </c:pt>
                <c:pt idx="71">
                  <c:v>0.85452585999999997</c:v>
                </c:pt>
                <c:pt idx="72">
                  <c:v>0.83458646999999997</c:v>
                </c:pt>
                <c:pt idx="73">
                  <c:v>0.82322580999999995</c:v>
                </c:pt>
                <c:pt idx="74">
                  <c:v>0.81655844</c:v>
                </c:pt>
                <c:pt idx="75">
                  <c:v>0.88005049999999996</c:v>
                </c:pt>
                <c:pt idx="76">
                  <c:v>0.92307691000000003</c:v>
                </c:pt>
                <c:pt idx="77">
                  <c:v>0.91858678000000005</c:v>
                </c:pt>
                <c:pt idx="78">
                  <c:v>0.87142856000000002</c:v>
                </c:pt>
                <c:pt idx="79">
                  <c:v>0.85194806000000001</c:v>
                </c:pt>
                <c:pt idx="80">
                  <c:v>0.77333331999999999</c:v>
                </c:pt>
                <c:pt idx="81">
                  <c:v>0.83284022999999996</c:v>
                </c:pt>
                <c:pt idx="82">
                  <c:v>0.88118023999999995</c:v>
                </c:pt>
                <c:pt idx="83">
                  <c:v>0.87555554000000002</c:v>
                </c:pt>
                <c:pt idx="84">
                  <c:v>0.82433862999999996</c:v>
                </c:pt>
                <c:pt idx="85">
                  <c:v>0.86507937999999995</c:v>
                </c:pt>
                <c:pt idx="86">
                  <c:v>0.90060605000000005</c:v>
                </c:pt>
                <c:pt idx="87">
                  <c:v>0.88888889000000004</c:v>
                </c:pt>
                <c:pt idx="88">
                  <c:v>0.85495496000000004</c:v>
                </c:pt>
                <c:pt idx="89">
                  <c:v>0.93526785999999995</c:v>
                </c:pt>
                <c:pt idx="90">
                  <c:v>0.72095958999999998</c:v>
                </c:pt>
                <c:pt idx="91">
                  <c:v>0.87878787999999997</c:v>
                </c:pt>
                <c:pt idx="92">
                  <c:v>0.84777124000000004</c:v>
                </c:pt>
                <c:pt idx="93">
                  <c:v>0.89285714000000005</c:v>
                </c:pt>
                <c:pt idx="94">
                  <c:v>0.87924864999999996</c:v>
                </c:pt>
                <c:pt idx="95">
                  <c:v>0.83041474000000004</c:v>
                </c:pt>
                <c:pt idx="96">
                  <c:v>0.90625</c:v>
                </c:pt>
                <c:pt idx="97">
                  <c:v>0.86222222000000004</c:v>
                </c:pt>
                <c:pt idx="98">
                  <c:v>0.80882352000000002</c:v>
                </c:pt>
                <c:pt idx="99">
                  <c:v>0.80920314000000004</c:v>
                </c:pt>
              </c:numCache>
            </c:numRef>
          </c:yVal>
          <c:smooth val="0"/>
          <c:extLst>
            <c:ext xmlns:c16="http://schemas.microsoft.com/office/drawing/2014/chart" uri="{C3380CC4-5D6E-409C-BE32-E72D297353CC}">
              <c16:uniqueId val="{00000007-2901-3743-96B1-F938C32A299C}"/>
            </c:ext>
          </c:extLst>
        </c:ser>
        <c:dLbls>
          <c:showLegendKey val="0"/>
          <c:showVal val="0"/>
          <c:showCatName val="0"/>
          <c:showSerName val="0"/>
          <c:showPercent val="0"/>
          <c:showBubbleSize val="0"/>
        </c:dLbls>
        <c:axId val="-2107080608"/>
        <c:axId val="-2122982880"/>
      </c:scatterChart>
      <c:valAx>
        <c:axId val="-2107080608"/>
        <c:scaling>
          <c:orientation val="minMax"/>
          <c:max val="100"/>
        </c:scaling>
        <c:delete val="0"/>
        <c:axPos val="b"/>
        <c:title>
          <c:tx>
            <c:rich>
              <a:bodyPr/>
              <a:lstStyle/>
              <a:p>
                <a:pPr>
                  <a:defRPr/>
                </a:pPr>
                <a:r>
                  <a:rPr lang="en-US"/>
                  <a:t>Number of training</a:t>
                </a:r>
                <a:r>
                  <a:rPr lang="en-US" baseline="0"/>
                  <a:t> epochs (1,000 sessions per epoch)</a:t>
                </a:r>
                <a:endParaRPr lang="en-US"/>
              </a:p>
            </c:rich>
          </c:tx>
          <c:overlay val="0"/>
        </c:title>
        <c:majorTickMark val="none"/>
        <c:minorTickMark val="none"/>
        <c:tickLblPos val="nextTo"/>
        <c:spPr>
          <a:noFill/>
          <a:ln w="9525" cap="flat" cmpd="sng" algn="ctr">
            <a:solidFill>
              <a:schemeClr val="tx1"/>
            </a:solidFill>
            <a:round/>
          </a:ln>
          <a:effectLst/>
        </c:spPr>
        <c:txPr>
          <a:bodyPr rot="-60000000" vert="horz"/>
          <a:lstStyle/>
          <a:p>
            <a:pPr>
              <a:defRPr/>
            </a:pPr>
            <a:endParaRPr lang="en-US"/>
          </a:p>
        </c:txPr>
        <c:crossAx val="-2122982880"/>
        <c:crosses val="autoZero"/>
        <c:crossBetween val="midCat"/>
      </c:valAx>
      <c:valAx>
        <c:axId val="-2122982880"/>
        <c:scaling>
          <c:orientation val="minMax"/>
          <c:max val="1"/>
        </c:scaling>
        <c:delete val="0"/>
        <c:axPos val="l"/>
        <c:title>
          <c:tx>
            <c:rich>
              <a:bodyPr/>
              <a:lstStyle/>
              <a:p>
                <a:pPr>
                  <a:defRPr/>
                </a:pPr>
                <a:r>
                  <a:rPr lang="en-US"/>
                  <a:t>Area under the receiver operating curve (AUC)</a:t>
                </a:r>
              </a:p>
            </c:rich>
          </c:tx>
          <c:overlay val="0"/>
        </c:title>
        <c:numFmt formatCode="0.0" sourceLinked="1"/>
        <c:majorTickMark val="none"/>
        <c:minorTickMark val="none"/>
        <c:tickLblPos val="nextTo"/>
        <c:spPr>
          <a:noFill/>
          <a:ln w="9525" cap="flat" cmpd="sng" algn="ctr">
            <a:solidFill>
              <a:schemeClr val="tx1"/>
            </a:solidFill>
            <a:round/>
          </a:ln>
          <a:effectLst/>
        </c:spPr>
        <c:txPr>
          <a:bodyPr rot="-60000000" vert="horz"/>
          <a:lstStyle/>
          <a:p>
            <a:pPr>
              <a:defRPr/>
            </a:pPr>
            <a:endParaRPr lang="en-US"/>
          </a:p>
        </c:txPr>
        <c:crossAx val="-2107080608"/>
        <c:crosses val="autoZero"/>
        <c:crossBetween val="midCat"/>
      </c:valAx>
    </c:plotArea>
    <c:plotVisOnly val="1"/>
    <c:dispBlanksAs val="gap"/>
    <c:showDLblsOverMax val="0"/>
    <c:extLst/>
  </c:chart>
  <c:spPr>
    <a:ln>
      <a:noFill/>
    </a:ln>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Clouston, Sean</dc:creator>
  <cp:keywords/>
  <dc:description/>
  <cp:lastModifiedBy>Clouston, Sean</cp:lastModifiedBy>
  <cp:revision>1</cp:revision>
  <dcterms:created xsi:type="dcterms:W3CDTF">2021-04-29T16:58:00Z</dcterms:created>
  <dcterms:modified xsi:type="dcterms:W3CDTF">2021-04-29T17:00:00Z</dcterms:modified>
</cp:coreProperties>
</file>