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91865" w14:textId="77777777" w:rsidR="0084085C" w:rsidRPr="002D0C5D" w:rsidRDefault="0084085C" w:rsidP="00C223BA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t>A genome-wide association study of obstructive heart defects among participants in the National Birth Defects Prevention Study</w:t>
      </w:r>
    </w:p>
    <w:p w14:paraId="3D43443C" w14:textId="700234AC" w:rsidR="00A737F7" w:rsidRPr="002D0C5D" w:rsidRDefault="0084085C" w:rsidP="00C223BA">
      <w:pPr>
        <w:tabs>
          <w:tab w:val="left" w:pos="3769"/>
        </w:tabs>
        <w:rPr>
          <w:rFonts w:ascii="Arial" w:hAnsi="Arial" w:cs="Arial"/>
          <w:b/>
          <w:bCs/>
          <w:sz w:val="22"/>
          <w:szCs w:val="22"/>
        </w:rPr>
      </w:pPr>
      <w:r w:rsidRPr="002D0C5D">
        <w:rPr>
          <w:rFonts w:ascii="Arial" w:hAnsi="Arial" w:cs="Arial"/>
          <w:sz w:val="22"/>
          <w:szCs w:val="22"/>
        </w:rPr>
        <w:t>Rashkin et. al.</w:t>
      </w:r>
      <w:r w:rsidR="00C223BA" w:rsidRPr="002D0C5D">
        <w:rPr>
          <w:rFonts w:ascii="Arial" w:hAnsi="Arial" w:cs="Arial"/>
          <w:b/>
          <w:bCs/>
          <w:sz w:val="22"/>
          <w:szCs w:val="22"/>
        </w:rPr>
        <w:tab/>
      </w:r>
    </w:p>
    <w:p w14:paraId="11CBF461" w14:textId="586AE0F0" w:rsidR="00C223BA" w:rsidRPr="002D0C5D" w:rsidRDefault="00C223BA" w:rsidP="00C223BA">
      <w:pPr>
        <w:tabs>
          <w:tab w:val="left" w:pos="3769"/>
        </w:tabs>
        <w:rPr>
          <w:rFonts w:ascii="Arial" w:hAnsi="Arial" w:cs="Arial"/>
          <w:sz w:val="22"/>
          <w:szCs w:val="22"/>
        </w:rPr>
      </w:pPr>
    </w:p>
    <w:p w14:paraId="7E79CDEB" w14:textId="7AF257BE" w:rsidR="0018568C" w:rsidRDefault="0018568C">
      <w:pPr>
        <w:rPr>
          <w:rFonts w:ascii="Arial" w:hAnsi="Arial" w:cs="Arial"/>
        </w:rPr>
      </w:pPr>
      <w:r w:rsidRPr="002D0C5D">
        <w:rPr>
          <w:rFonts w:ascii="Arial" w:hAnsi="Arial" w:cs="Arial"/>
          <w:b/>
          <w:bCs/>
          <w:sz w:val="22"/>
          <w:szCs w:val="22"/>
        </w:rPr>
        <w:t>Supplementary Table 1.</w:t>
      </w:r>
      <w:r w:rsidR="005D1F52" w:rsidRPr="002D0C5D">
        <w:rPr>
          <w:rFonts w:ascii="Arial" w:hAnsi="Arial" w:cs="Arial"/>
          <w:b/>
          <w:bCs/>
          <w:sz w:val="22"/>
          <w:szCs w:val="22"/>
        </w:rPr>
        <w:t xml:space="preserve"> Type of heart defect for each included case infant.</w:t>
      </w:r>
    </w:p>
    <w:p w14:paraId="3E1D150D" w14:textId="77777777" w:rsidR="004423D0" w:rsidRDefault="004423D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4680"/>
        <w:gridCol w:w="2835"/>
        <w:gridCol w:w="2835"/>
      </w:tblGrid>
      <w:tr w:rsidR="0018568C" w:rsidRPr="002D0C5D" w14:paraId="51FA44C9" w14:textId="77777777" w:rsidTr="00A623B4">
        <w:trPr>
          <w:trHeight w:val="317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89FE0" w14:textId="77777777" w:rsidR="0018568C" w:rsidRPr="002D0C5D" w:rsidRDefault="0018568C" w:rsidP="001856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A3ED8" w14:textId="2E21AC83" w:rsidR="0018568C" w:rsidRPr="002D0C5D" w:rsidRDefault="0018568C" w:rsidP="002D0C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0C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Discovery</w:t>
            </w:r>
            <w:r w:rsidR="002D0C5D" w:rsidRPr="005E139F">
              <w:rPr>
                <w:rFonts w:ascii="Arial" w:hAnsi="Arial" w:cs="Arial"/>
                <w:color w:val="1C1D1E"/>
                <w:sz w:val="21"/>
                <w:szCs w:val="21"/>
                <w:shd w:val="clear" w:color="auto" w:fill="FFFFFF"/>
                <w:vertAlign w:val="superscript"/>
              </w:rPr>
              <w:t>†</w:t>
            </w:r>
            <w:r w:rsidRPr="002D0C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(N = 66</w:t>
            </w:r>
            <w:r w:rsidR="002D0C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Pr="002D0C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C9E8F0" w14:textId="08AC84BA" w:rsidR="0018568C" w:rsidRPr="002D0C5D" w:rsidRDefault="0018568C" w:rsidP="002D0C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0C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Replication</w:t>
            </w:r>
            <w:r w:rsidR="002D0C5D" w:rsidRPr="005E139F">
              <w:rPr>
                <w:rFonts w:ascii="Arial" w:hAnsi="Arial" w:cs="Arial"/>
                <w:color w:val="1C1D1E"/>
                <w:sz w:val="21"/>
                <w:szCs w:val="21"/>
                <w:shd w:val="clear" w:color="auto" w:fill="FFFFFF"/>
                <w:vertAlign w:val="superscript"/>
              </w:rPr>
              <w:t>†</w:t>
            </w:r>
            <w:r w:rsidRPr="002D0C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(N = 471)</w:t>
            </w:r>
          </w:p>
        </w:tc>
      </w:tr>
      <w:tr w:rsidR="0018568C" w:rsidRPr="002D0C5D" w14:paraId="1C2C2E1D" w14:textId="77777777" w:rsidTr="00A623B4">
        <w:trPr>
          <w:trHeight w:val="317"/>
        </w:trPr>
        <w:tc>
          <w:tcPr>
            <w:tcW w:w="4680" w:type="dxa"/>
            <w:tcBorders>
              <w:top w:val="single" w:sz="4" w:space="0" w:color="auto"/>
            </w:tcBorders>
            <w:vAlign w:val="center"/>
          </w:tcPr>
          <w:p w14:paraId="092DA7C4" w14:textId="7C8D72FA" w:rsidR="0018568C" w:rsidRPr="002D0C5D" w:rsidRDefault="0018568C" w:rsidP="0018568C">
            <w:pPr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sz w:val="20"/>
                <w:szCs w:val="20"/>
              </w:rPr>
              <w:t>Right obstructive heart defects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3789CE64" w14:textId="77777777" w:rsidR="0018568C" w:rsidRPr="004D47DA" w:rsidRDefault="0018568C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3CBF910B" w14:textId="77777777" w:rsidR="0018568C" w:rsidRPr="004D47DA" w:rsidRDefault="0018568C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47DA" w:rsidRPr="002D0C5D" w14:paraId="6CDD50AE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65F1BD37" w14:textId="2AAC14B4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Pulmonary atresia</w:t>
            </w:r>
          </w:p>
        </w:tc>
        <w:tc>
          <w:tcPr>
            <w:tcW w:w="2835" w:type="dxa"/>
            <w:vAlign w:val="center"/>
          </w:tcPr>
          <w:p w14:paraId="05F4C70B" w14:textId="2B7E1896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45 (6.76)</w:t>
            </w:r>
          </w:p>
        </w:tc>
        <w:tc>
          <w:tcPr>
            <w:tcW w:w="2835" w:type="dxa"/>
            <w:vAlign w:val="center"/>
          </w:tcPr>
          <w:p w14:paraId="1A849F3B" w14:textId="5AEC2CE1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19 (4.03)</w:t>
            </w:r>
          </w:p>
        </w:tc>
      </w:tr>
      <w:tr w:rsidR="004D47DA" w:rsidRPr="002D0C5D" w14:paraId="787F3EED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016D1089" w14:textId="35CFA643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Tricuspid atresia</w:t>
            </w:r>
          </w:p>
        </w:tc>
        <w:tc>
          <w:tcPr>
            <w:tcW w:w="2835" w:type="dxa"/>
            <w:vAlign w:val="center"/>
          </w:tcPr>
          <w:p w14:paraId="50200BD8" w14:textId="780B3D9B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30 (4.50)</w:t>
            </w:r>
          </w:p>
        </w:tc>
        <w:tc>
          <w:tcPr>
            <w:tcW w:w="2835" w:type="dxa"/>
            <w:vAlign w:val="center"/>
          </w:tcPr>
          <w:p w14:paraId="78734086" w14:textId="69651774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11 (2.34)</w:t>
            </w:r>
          </w:p>
        </w:tc>
      </w:tr>
      <w:tr w:rsidR="004D47DA" w:rsidRPr="002D0C5D" w14:paraId="57781489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449DF9D1" w14:textId="6006C3AB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Pulmonary valve stenosis</w:t>
            </w:r>
          </w:p>
        </w:tc>
        <w:tc>
          <w:tcPr>
            <w:tcW w:w="2835" w:type="dxa"/>
            <w:vAlign w:val="center"/>
          </w:tcPr>
          <w:p w14:paraId="7B859A2B" w14:textId="0015ACA8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286 (42.94)</w:t>
            </w:r>
          </w:p>
        </w:tc>
        <w:tc>
          <w:tcPr>
            <w:tcW w:w="2835" w:type="dxa"/>
            <w:vAlign w:val="center"/>
          </w:tcPr>
          <w:p w14:paraId="4F785C41" w14:textId="7D8448FD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183 (38.85)</w:t>
            </w:r>
          </w:p>
        </w:tc>
      </w:tr>
      <w:tr w:rsidR="004D47DA" w:rsidRPr="002D0C5D" w14:paraId="42729C88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34B8AD54" w14:textId="42AAA7C1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Tetrology</w:t>
            </w:r>
            <w:proofErr w:type="spellEnd"/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 xml:space="preserve"> of Fallot</w:t>
            </w:r>
          </w:p>
        </w:tc>
        <w:tc>
          <w:tcPr>
            <w:tcW w:w="2835" w:type="dxa"/>
            <w:vAlign w:val="center"/>
          </w:tcPr>
          <w:p w14:paraId="2BDE3606" w14:textId="7A114BB0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9 (1.35)</w:t>
            </w:r>
          </w:p>
        </w:tc>
        <w:tc>
          <w:tcPr>
            <w:tcW w:w="2835" w:type="dxa"/>
            <w:vAlign w:val="center"/>
          </w:tcPr>
          <w:p w14:paraId="06CB5B1A" w14:textId="62760FAE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2 (0.42)</w:t>
            </w:r>
          </w:p>
        </w:tc>
      </w:tr>
      <w:tr w:rsidR="004D47DA" w:rsidRPr="002D0C5D" w14:paraId="257F7A49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41EBEE10" w14:textId="50C25039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Ebstein</w:t>
            </w:r>
            <w:proofErr w:type="spellEnd"/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 xml:space="preserve"> Malformation</w:t>
            </w:r>
          </w:p>
        </w:tc>
        <w:tc>
          <w:tcPr>
            <w:tcW w:w="2835" w:type="dxa"/>
            <w:vAlign w:val="center"/>
          </w:tcPr>
          <w:p w14:paraId="1318C1CB" w14:textId="6D1F0B1A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8 (1.20)</w:t>
            </w:r>
          </w:p>
        </w:tc>
        <w:tc>
          <w:tcPr>
            <w:tcW w:w="2835" w:type="dxa"/>
            <w:vAlign w:val="center"/>
          </w:tcPr>
          <w:p w14:paraId="37CF4464" w14:textId="3C530DAE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2 (0.42)</w:t>
            </w:r>
          </w:p>
        </w:tc>
      </w:tr>
      <w:tr w:rsidR="0018568C" w:rsidRPr="002D0C5D" w14:paraId="73B90E93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268300B6" w14:textId="608E17F0" w:rsidR="0018568C" w:rsidRPr="002D0C5D" w:rsidRDefault="0018568C" w:rsidP="0018568C">
            <w:pPr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sz w:val="20"/>
                <w:szCs w:val="20"/>
              </w:rPr>
              <w:t>Left obstructive heart defects</w:t>
            </w:r>
          </w:p>
        </w:tc>
        <w:tc>
          <w:tcPr>
            <w:tcW w:w="2835" w:type="dxa"/>
            <w:vAlign w:val="center"/>
          </w:tcPr>
          <w:p w14:paraId="0ABF16D2" w14:textId="77777777" w:rsidR="0018568C" w:rsidRPr="004D47DA" w:rsidRDefault="0018568C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FDB1B74" w14:textId="77777777" w:rsidR="0018568C" w:rsidRPr="004D47DA" w:rsidRDefault="0018568C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47DA" w:rsidRPr="002D0C5D" w14:paraId="0D66781D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1D710AA6" w14:textId="6988A697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Coarctation of the aorta</w:t>
            </w:r>
          </w:p>
        </w:tc>
        <w:tc>
          <w:tcPr>
            <w:tcW w:w="2835" w:type="dxa"/>
            <w:vAlign w:val="center"/>
          </w:tcPr>
          <w:p w14:paraId="14B255DA" w14:textId="2D76B43C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216 (32.43)</w:t>
            </w:r>
          </w:p>
        </w:tc>
        <w:tc>
          <w:tcPr>
            <w:tcW w:w="2835" w:type="dxa"/>
            <w:vAlign w:val="center"/>
          </w:tcPr>
          <w:p w14:paraId="189453FB" w14:textId="4F74E0A3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172 (36.52)</w:t>
            </w:r>
          </w:p>
        </w:tc>
      </w:tr>
      <w:tr w:rsidR="004D47DA" w:rsidRPr="002D0C5D" w14:paraId="14860AE3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2F1A9F4B" w14:textId="1B725C05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Aortic stenosis</w:t>
            </w:r>
          </w:p>
        </w:tc>
        <w:tc>
          <w:tcPr>
            <w:tcW w:w="2835" w:type="dxa"/>
            <w:vAlign w:val="center"/>
          </w:tcPr>
          <w:p w14:paraId="2B5DC0E9" w14:textId="4F865062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89 (13.36)</w:t>
            </w:r>
          </w:p>
        </w:tc>
        <w:tc>
          <w:tcPr>
            <w:tcW w:w="2835" w:type="dxa"/>
            <w:vAlign w:val="center"/>
          </w:tcPr>
          <w:p w14:paraId="46BE7B1E" w14:textId="53A5F979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77 (16.35)</w:t>
            </w:r>
          </w:p>
        </w:tc>
      </w:tr>
      <w:tr w:rsidR="004D47DA" w:rsidRPr="002D0C5D" w14:paraId="7363E070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755C69E6" w14:textId="655CA798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Hypoplastic left heart syndrome</w:t>
            </w:r>
          </w:p>
        </w:tc>
        <w:tc>
          <w:tcPr>
            <w:tcW w:w="2835" w:type="dxa"/>
            <w:vAlign w:val="center"/>
          </w:tcPr>
          <w:p w14:paraId="755788AC" w14:textId="0C6F4CCD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59 (8.86)</w:t>
            </w:r>
          </w:p>
        </w:tc>
        <w:tc>
          <w:tcPr>
            <w:tcW w:w="2835" w:type="dxa"/>
            <w:vAlign w:val="center"/>
          </w:tcPr>
          <w:p w14:paraId="3A2332E2" w14:textId="0F6BBA8A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37 (7.86)</w:t>
            </w:r>
          </w:p>
        </w:tc>
      </w:tr>
      <w:tr w:rsidR="004D47DA" w:rsidRPr="002D0C5D" w14:paraId="2B63BBDB" w14:textId="77777777" w:rsidTr="00A623B4">
        <w:trPr>
          <w:trHeight w:val="317"/>
        </w:trPr>
        <w:tc>
          <w:tcPr>
            <w:tcW w:w="4680" w:type="dxa"/>
            <w:vAlign w:val="center"/>
          </w:tcPr>
          <w:p w14:paraId="59A62ECF" w14:textId="16A783C4" w:rsidR="004D47DA" w:rsidRPr="002D0C5D" w:rsidRDefault="004D47DA" w:rsidP="004D47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color w:val="000000"/>
                <w:sz w:val="20"/>
                <w:szCs w:val="20"/>
              </w:rPr>
              <w:t>Interrupted Aortic Arch</w:t>
            </w:r>
          </w:p>
        </w:tc>
        <w:tc>
          <w:tcPr>
            <w:tcW w:w="2835" w:type="dxa"/>
            <w:vAlign w:val="center"/>
          </w:tcPr>
          <w:p w14:paraId="575E9A6F" w14:textId="52B44ED0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2835" w:type="dxa"/>
            <w:vAlign w:val="center"/>
          </w:tcPr>
          <w:p w14:paraId="635768FE" w14:textId="40F6DBFD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6 (1.27)</w:t>
            </w:r>
          </w:p>
        </w:tc>
      </w:tr>
      <w:tr w:rsidR="004D47DA" w:rsidRPr="002D0C5D" w14:paraId="112FC17F" w14:textId="77777777" w:rsidTr="00A623B4">
        <w:trPr>
          <w:trHeight w:val="317"/>
        </w:trPr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C2A8365" w14:textId="3E129A45" w:rsidR="004D47DA" w:rsidRPr="002D0C5D" w:rsidRDefault="004D47DA" w:rsidP="004D47DA">
            <w:pPr>
              <w:rPr>
                <w:rFonts w:ascii="Arial" w:hAnsi="Arial" w:cs="Arial"/>
                <w:sz w:val="20"/>
                <w:szCs w:val="20"/>
              </w:rPr>
            </w:pPr>
            <w:r w:rsidRPr="002D0C5D">
              <w:rPr>
                <w:rFonts w:ascii="Arial" w:hAnsi="Arial" w:cs="Arial"/>
                <w:sz w:val="20"/>
                <w:szCs w:val="20"/>
              </w:rPr>
              <w:t>Missing phenotype data</w:t>
            </w:r>
            <w:r w:rsidRPr="005E139F">
              <w:rPr>
                <w:rFonts w:ascii="Arial" w:hAnsi="Arial" w:cs="Arial"/>
                <w:color w:val="1C1D1E"/>
                <w:sz w:val="21"/>
                <w:szCs w:val="21"/>
                <w:shd w:val="clear" w:color="auto" w:fill="FFFFFF"/>
                <w:vertAlign w:val="superscript"/>
              </w:rPr>
              <w:t>‡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5FF946D" w14:textId="206F8278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3 (0.45)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8EE1886" w14:textId="4B997601" w:rsidR="004D47DA" w:rsidRPr="004D47DA" w:rsidRDefault="004D47DA" w:rsidP="004D4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7DA">
              <w:rPr>
                <w:rFonts w:ascii="Arial" w:hAnsi="Arial" w:cs="Arial"/>
                <w:color w:val="000000"/>
                <w:sz w:val="20"/>
                <w:szCs w:val="20"/>
              </w:rPr>
              <w:t>4 (0.85)</w:t>
            </w:r>
          </w:p>
        </w:tc>
      </w:tr>
    </w:tbl>
    <w:p w14:paraId="67F76699" w14:textId="364EC71A" w:rsidR="002D0C5D" w:rsidRDefault="002D0C5D">
      <w:pPr>
        <w:rPr>
          <w:rFonts w:ascii="Arial" w:hAnsi="Arial" w:cs="Arial"/>
          <w:sz w:val="20"/>
          <w:szCs w:val="20"/>
        </w:rPr>
      </w:pPr>
      <w:r w:rsidRPr="005E139F">
        <w:rPr>
          <w:rFonts w:ascii="Arial" w:hAnsi="Arial" w:cs="Arial"/>
          <w:color w:val="1C1D1E"/>
          <w:sz w:val="21"/>
          <w:szCs w:val="21"/>
          <w:shd w:val="clear" w:color="auto" w:fill="FFFFFF"/>
          <w:vertAlign w:val="superscript"/>
        </w:rPr>
        <w:t>†</w:t>
      </w:r>
      <w:r w:rsidRPr="005E13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Data </w:t>
      </w:r>
      <w:r w:rsidR="005E4E3E">
        <w:rPr>
          <w:rFonts w:ascii="Arial" w:hAnsi="Arial" w:cs="Arial"/>
          <w:sz w:val="20"/>
          <w:szCs w:val="20"/>
        </w:rPr>
        <w:t xml:space="preserve">are </w:t>
      </w:r>
      <w:r>
        <w:rPr>
          <w:rFonts w:ascii="Arial" w:hAnsi="Arial" w:cs="Arial"/>
          <w:sz w:val="20"/>
          <w:szCs w:val="20"/>
        </w:rPr>
        <w:t xml:space="preserve">presented as N (% of </w:t>
      </w:r>
      <w:r w:rsidR="00E43436">
        <w:rPr>
          <w:rFonts w:ascii="Arial" w:hAnsi="Arial" w:cs="Arial"/>
          <w:sz w:val="20"/>
          <w:szCs w:val="20"/>
        </w:rPr>
        <w:t xml:space="preserve">Discovery or Replication </w:t>
      </w:r>
      <w:r>
        <w:rPr>
          <w:rFonts w:ascii="Arial" w:hAnsi="Arial" w:cs="Arial"/>
          <w:sz w:val="20"/>
          <w:szCs w:val="20"/>
        </w:rPr>
        <w:t>infants with this defect). Some infants were affected by more than one obstructive heart defect</w:t>
      </w:r>
      <w:r w:rsidR="004423D0">
        <w:rPr>
          <w:rFonts w:ascii="Arial" w:hAnsi="Arial" w:cs="Arial"/>
          <w:sz w:val="20"/>
          <w:szCs w:val="20"/>
        </w:rPr>
        <w:t>.</w:t>
      </w:r>
    </w:p>
    <w:p w14:paraId="59307E75" w14:textId="6AB5120B" w:rsidR="0018568C" w:rsidRDefault="002D0C5D">
      <w:pPr>
        <w:rPr>
          <w:rFonts w:ascii="Arial" w:hAnsi="Arial" w:cs="Arial"/>
          <w:b/>
          <w:bCs/>
        </w:rPr>
      </w:pPr>
      <w:r w:rsidRPr="005E139F">
        <w:rPr>
          <w:rFonts w:ascii="Arial" w:hAnsi="Arial" w:cs="Arial"/>
          <w:color w:val="1C1D1E"/>
          <w:sz w:val="21"/>
          <w:szCs w:val="21"/>
          <w:shd w:val="clear" w:color="auto" w:fill="FFFFFF"/>
          <w:vertAlign w:val="superscript"/>
        </w:rPr>
        <w:t>‡</w:t>
      </w:r>
      <w:r w:rsidRPr="005E139F">
        <w:rPr>
          <w:rFonts w:ascii="Arial" w:hAnsi="Arial" w:cs="Arial"/>
          <w:color w:val="1C1D1E"/>
          <w:sz w:val="21"/>
          <w:szCs w:val="21"/>
          <w:shd w:val="clear" w:color="auto" w:fill="FFFFFF"/>
        </w:rPr>
        <w:t xml:space="preserve"> </w:t>
      </w:r>
      <w:r w:rsidRPr="002D0C5D">
        <w:rPr>
          <w:rFonts w:ascii="Arial" w:hAnsi="Arial" w:cs="Arial"/>
          <w:sz w:val="20"/>
          <w:szCs w:val="20"/>
        </w:rPr>
        <w:t xml:space="preserve">All </w:t>
      </w:r>
      <w:r>
        <w:rPr>
          <w:rFonts w:ascii="Arial" w:hAnsi="Arial" w:cs="Arial"/>
          <w:sz w:val="20"/>
          <w:szCs w:val="20"/>
        </w:rPr>
        <w:t xml:space="preserve">are </w:t>
      </w:r>
      <w:r w:rsidRPr="002D0C5D">
        <w:rPr>
          <w:rFonts w:ascii="Arial" w:hAnsi="Arial" w:cs="Arial"/>
          <w:sz w:val="20"/>
          <w:szCs w:val="20"/>
        </w:rPr>
        <w:t xml:space="preserve">coded for </w:t>
      </w:r>
      <w:r>
        <w:rPr>
          <w:rFonts w:ascii="Arial" w:hAnsi="Arial" w:cs="Arial"/>
          <w:sz w:val="20"/>
          <w:szCs w:val="20"/>
        </w:rPr>
        <w:t>h</w:t>
      </w:r>
      <w:r w:rsidRPr="002D0C5D">
        <w:rPr>
          <w:rFonts w:ascii="Arial" w:hAnsi="Arial" w:cs="Arial"/>
          <w:sz w:val="20"/>
          <w:szCs w:val="20"/>
        </w:rPr>
        <w:t xml:space="preserve">eart </w:t>
      </w:r>
      <w:r>
        <w:rPr>
          <w:rFonts w:ascii="Arial" w:hAnsi="Arial" w:cs="Arial"/>
          <w:sz w:val="20"/>
          <w:szCs w:val="20"/>
        </w:rPr>
        <w:t>d</w:t>
      </w:r>
      <w:r w:rsidRPr="002D0C5D">
        <w:rPr>
          <w:rFonts w:ascii="Arial" w:hAnsi="Arial" w:cs="Arial"/>
          <w:sz w:val="20"/>
          <w:szCs w:val="20"/>
        </w:rPr>
        <w:t xml:space="preserve">efects, but </w:t>
      </w:r>
      <w:r>
        <w:rPr>
          <w:rFonts w:ascii="Arial" w:hAnsi="Arial" w:cs="Arial"/>
          <w:sz w:val="20"/>
          <w:szCs w:val="20"/>
        </w:rPr>
        <w:t xml:space="preserve">the </w:t>
      </w:r>
      <w:r w:rsidRPr="002D0C5D">
        <w:rPr>
          <w:rFonts w:ascii="Arial" w:hAnsi="Arial" w:cs="Arial"/>
          <w:sz w:val="20"/>
          <w:szCs w:val="20"/>
        </w:rPr>
        <w:t xml:space="preserve">specific obstructive heart defect code </w:t>
      </w:r>
      <w:r>
        <w:rPr>
          <w:rFonts w:ascii="Arial" w:hAnsi="Arial" w:cs="Arial"/>
          <w:sz w:val="20"/>
          <w:szCs w:val="20"/>
        </w:rPr>
        <w:t xml:space="preserve">is </w:t>
      </w:r>
      <w:r w:rsidRPr="002D0C5D">
        <w:rPr>
          <w:rFonts w:ascii="Arial" w:hAnsi="Arial" w:cs="Arial"/>
          <w:sz w:val="20"/>
          <w:szCs w:val="20"/>
        </w:rPr>
        <w:t>not listed in available National Birth Defects Prevention Study clinical dataset</w:t>
      </w:r>
      <w:r w:rsidR="0018568C">
        <w:rPr>
          <w:rFonts w:ascii="Arial" w:hAnsi="Arial" w:cs="Arial"/>
          <w:b/>
          <w:bCs/>
        </w:rPr>
        <w:br w:type="page"/>
      </w:r>
    </w:p>
    <w:p w14:paraId="17443DC4" w14:textId="17880B91" w:rsidR="00C223BA" w:rsidRPr="002D0C5D" w:rsidRDefault="00C223BA" w:rsidP="00C223BA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>Supplementary Figure 1. Manhattan and QQ plots for discovery TDT.</w:t>
      </w:r>
      <w:r w:rsidR="0084085C" w:rsidRPr="002D0C5D">
        <w:rPr>
          <w:rFonts w:ascii="Arial" w:hAnsi="Arial" w:cs="Arial"/>
          <w:sz w:val="22"/>
          <w:szCs w:val="22"/>
        </w:rPr>
        <w:t xml:space="preserve"> The red line in the Manhattan plot represents the genome-wide significance threshold (P &lt; 5x10</w:t>
      </w:r>
      <w:r w:rsidR="0084085C" w:rsidRPr="002D0C5D">
        <w:rPr>
          <w:rFonts w:ascii="Arial" w:hAnsi="Arial" w:cs="Arial"/>
          <w:sz w:val="22"/>
          <w:szCs w:val="22"/>
          <w:vertAlign w:val="superscript"/>
        </w:rPr>
        <w:t>-8</w:t>
      </w:r>
      <w:r w:rsidR="0084085C" w:rsidRPr="002D0C5D">
        <w:rPr>
          <w:rFonts w:ascii="Arial" w:hAnsi="Arial" w:cs="Arial"/>
          <w:sz w:val="22"/>
          <w:szCs w:val="22"/>
        </w:rPr>
        <w:t>), and the blue line represents a suggestive threshold (P &lt; 1x10</w:t>
      </w:r>
      <w:r w:rsidR="0084085C"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="0084085C" w:rsidRPr="002D0C5D">
        <w:rPr>
          <w:rFonts w:ascii="Arial" w:hAnsi="Arial" w:cs="Arial"/>
          <w:sz w:val="22"/>
          <w:szCs w:val="22"/>
        </w:rPr>
        <w:t>).</w:t>
      </w:r>
    </w:p>
    <w:p w14:paraId="7408A18E" w14:textId="1D74E9FD" w:rsidR="004423D0" w:rsidRPr="002D0C5D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247DCF" wp14:editId="7C3D601B">
            <wp:extent cx="6858000" cy="42862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4DC0" w14:textId="310C9F63" w:rsidR="00C223BA" w:rsidRPr="002D0C5D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842D93" wp14:editId="32380447">
            <wp:extent cx="3200400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141" cy="32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78A6" w14:textId="5ADF89A8" w:rsidR="00C223BA" w:rsidRPr="002D0C5D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sz w:val="22"/>
          <w:szCs w:val="22"/>
        </w:rPr>
        <w:br w:type="page"/>
      </w:r>
    </w:p>
    <w:p w14:paraId="49AC802D" w14:textId="77777777" w:rsidR="0084085C" w:rsidRPr="002D0C5D" w:rsidRDefault="00C223BA" w:rsidP="0084085C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>Supplementary Figure 2. Manhattan and QQ plots for replication TDT.</w:t>
      </w:r>
      <w:r w:rsidR="0084085C" w:rsidRPr="002D0C5D">
        <w:rPr>
          <w:rFonts w:ascii="Arial" w:hAnsi="Arial" w:cs="Arial"/>
          <w:sz w:val="22"/>
          <w:szCs w:val="22"/>
        </w:rPr>
        <w:t xml:space="preserve"> The red line in the Manhattan plot represents the genome-wide significance threshold (P &lt; 5x10</w:t>
      </w:r>
      <w:r w:rsidR="0084085C" w:rsidRPr="002D0C5D">
        <w:rPr>
          <w:rFonts w:ascii="Arial" w:hAnsi="Arial" w:cs="Arial"/>
          <w:sz w:val="22"/>
          <w:szCs w:val="22"/>
          <w:vertAlign w:val="superscript"/>
        </w:rPr>
        <w:t>-8</w:t>
      </w:r>
      <w:r w:rsidR="0084085C" w:rsidRPr="002D0C5D">
        <w:rPr>
          <w:rFonts w:ascii="Arial" w:hAnsi="Arial" w:cs="Arial"/>
          <w:sz w:val="22"/>
          <w:szCs w:val="22"/>
        </w:rPr>
        <w:t>), and the blue line represents a suggestive threshold (P &lt; 1x10</w:t>
      </w:r>
      <w:r w:rsidR="0084085C"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="0084085C" w:rsidRPr="002D0C5D">
        <w:rPr>
          <w:rFonts w:ascii="Arial" w:hAnsi="Arial" w:cs="Arial"/>
          <w:sz w:val="22"/>
          <w:szCs w:val="22"/>
        </w:rPr>
        <w:t>).</w:t>
      </w:r>
    </w:p>
    <w:p w14:paraId="5A47CC35" w14:textId="79BE212D" w:rsidR="00C223BA" w:rsidRPr="002D0C5D" w:rsidRDefault="00C223BA" w:rsidP="00C223BA">
      <w:pPr>
        <w:tabs>
          <w:tab w:val="left" w:pos="3769"/>
        </w:tabs>
        <w:rPr>
          <w:rFonts w:ascii="Arial" w:hAnsi="Arial" w:cs="Arial"/>
          <w:sz w:val="22"/>
          <w:szCs w:val="22"/>
        </w:rPr>
      </w:pPr>
    </w:p>
    <w:p w14:paraId="4CB0E86B" w14:textId="77777777" w:rsidR="00C223BA" w:rsidRPr="002D0C5D" w:rsidRDefault="00C223BA">
      <w:pPr>
        <w:rPr>
          <w:rFonts w:ascii="Arial" w:hAnsi="Arial" w:cs="Arial"/>
          <w:sz w:val="22"/>
          <w:szCs w:val="22"/>
        </w:rPr>
      </w:pPr>
    </w:p>
    <w:p w14:paraId="7EE0A76C" w14:textId="3D745856" w:rsidR="00C223BA" w:rsidRPr="002D0C5D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BA53CA" wp14:editId="0EB8914A">
            <wp:extent cx="6858000" cy="4286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C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FAC462" wp14:editId="4C60725B">
            <wp:extent cx="32004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C019" w14:textId="343C4316" w:rsidR="00C223BA" w:rsidRPr="002D0C5D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sz w:val="22"/>
          <w:szCs w:val="22"/>
        </w:rPr>
        <w:br w:type="page"/>
      </w:r>
    </w:p>
    <w:p w14:paraId="0DF3B1AE" w14:textId="26B557D6" w:rsidR="0084085C" w:rsidRPr="002D0C5D" w:rsidRDefault="00C223BA" w:rsidP="0084085C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>Supplementary Figure 3. Manhattan and QQ plots for combined TDT.</w:t>
      </w:r>
      <w:r w:rsidR="0084085C" w:rsidRPr="002D0C5D">
        <w:rPr>
          <w:rFonts w:ascii="Arial" w:hAnsi="Arial" w:cs="Arial"/>
          <w:b/>
          <w:bCs/>
          <w:sz w:val="22"/>
          <w:szCs w:val="22"/>
        </w:rPr>
        <w:t xml:space="preserve"> </w:t>
      </w:r>
      <w:r w:rsidR="0084085C" w:rsidRPr="002D0C5D">
        <w:rPr>
          <w:rFonts w:ascii="Arial" w:hAnsi="Arial" w:cs="Arial"/>
          <w:sz w:val="22"/>
          <w:szCs w:val="22"/>
        </w:rPr>
        <w:t>The red line in the Manhattan plot represents the genome-wide significance threshold (P &lt; 5x10</w:t>
      </w:r>
      <w:r w:rsidR="0084085C" w:rsidRPr="002D0C5D">
        <w:rPr>
          <w:rFonts w:ascii="Arial" w:hAnsi="Arial" w:cs="Arial"/>
          <w:sz w:val="22"/>
          <w:szCs w:val="22"/>
          <w:vertAlign w:val="superscript"/>
        </w:rPr>
        <w:t>-8</w:t>
      </w:r>
      <w:r w:rsidR="0084085C" w:rsidRPr="002D0C5D">
        <w:rPr>
          <w:rFonts w:ascii="Arial" w:hAnsi="Arial" w:cs="Arial"/>
          <w:sz w:val="22"/>
          <w:szCs w:val="22"/>
        </w:rPr>
        <w:t>), and the blue line represents a suggestive threshold (P &lt; 1x10</w:t>
      </w:r>
      <w:r w:rsidR="0084085C"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="0084085C" w:rsidRPr="002D0C5D">
        <w:rPr>
          <w:rFonts w:ascii="Arial" w:hAnsi="Arial" w:cs="Arial"/>
          <w:sz w:val="22"/>
          <w:szCs w:val="22"/>
        </w:rPr>
        <w:t>).</w:t>
      </w:r>
    </w:p>
    <w:p w14:paraId="517E1E00" w14:textId="58F41423" w:rsidR="00C223BA" w:rsidRPr="002D0C5D" w:rsidRDefault="00C223BA" w:rsidP="00C223BA">
      <w:pPr>
        <w:tabs>
          <w:tab w:val="left" w:pos="3769"/>
        </w:tabs>
        <w:rPr>
          <w:rFonts w:ascii="Arial" w:hAnsi="Arial" w:cs="Arial"/>
          <w:sz w:val="22"/>
          <w:szCs w:val="22"/>
        </w:rPr>
      </w:pPr>
    </w:p>
    <w:p w14:paraId="06E670B2" w14:textId="77777777" w:rsidR="00C223BA" w:rsidRPr="002D0C5D" w:rsidRDefault="00C223BA">
      <w:pPr>
        <w:rPr>
          <w:rFonts w:ascii="Arial" w:hAnsi="Arial" w:cs="Arial"/>
          <w:sz w:val="22"/>
          <w:szCs w:val="22"/>
        </w:rPr>
      </w:pPr>
    </w:p>
    <w:p w14:paraId="384C1E46" w14:textId="0B83C3D0" w:rsidR="00C223BA" w:rsidRPr="002D0C5D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CAB1BE" wp14:editId="1B78DE79">
            <wp:extent cx="6858000" cy="4286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B37D" w14:textId="77777777" w:rsidR="00C223BA" w:rsidRPr="002D0C5D" w:rsidRDefault="00C223BA">
      <w:pPr>
        <w:rPr>
          <w:rFonts w:ascii="Arial" w:hAnsi="Arial" w:cs="Arial"/>
          <w:sz w:val="22"/>
          <w:szCs w:val="22"/>
        </w:rPr>
      </w:pPr>
    </w:p>
    <w:p w14:paraId="32008AC1" w14:textId="5BF24B17" w:rsidR="00C223BA" w:rsidRPr="002D0C5D" w:rsidRDefault="00C223BA">
      <w:pPr>
        <w:rPr>
          <w:rFonts w:ascii="Arial" w:hAnsi="Arial" w:cs="Arial"/>
          <w:sz w:val="22"/>
          <w:szCs w:val="22"/>
        </w:rPr>
      </w:pPr>
    </w:p>
    <w:p w14:paraId="5D622639" w14:textId="1AC73DCF" w:rsidR="00C223BA" w:rsidRDefault="00C223BA">
      <w:pPr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F7D7F3" wp14:editId="78C0E2BC">
            <wp:extent cx="3200400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FD3F" w14:textId="1CF24BEE" w:rsidR="004471C6" w:rsidRDefault="004471C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FF3E59A" w14:textId="2548DBC8" w:rsidR="00852B76" w:rsidRDefault="00852B76">
      <w:pPr>
        <w:rPr>
          <w:rFonts w:ascii="Arial" w:hAnsi="Arial" w:cs="Arial"/>
          <w:sz w:val="22"/>
          <w:szCs w:val="22"/>
        </w:rPr>
      </w:pPr>
    </w:p>
    <w:p w14:paraId="5F68315C" w14:textId="79C47E11" w:rsidR="00852B76" w:rsidRPr="002D0C5D" w:rsidRDefault="00852B76" w:rsidP="00852B76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586089">
        <w:rPr>
          <w:rFonts w:ascii="Arial" w:hAnsi="Arial" w:cs="Arial"/>
          <w:b/>
          <w:bCs/>
          <w:sz w:val="22"/>
          <w:szCs w:val="22"/>
        </w:rPr>
        <w:t>4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. Manhattan and QQ plots for discovery </w:t>
      </w:r>
      <w:r>
        <w:rPr>
          <w:rFonts w:ascii="Arial" w:hAnsi="Arial" w:cs="Arial"/>
          <w:b/>
          <w:bCs/>
          <w:sz w:val="22"/>
          <w:szCs w:val="22"/>
        </w:rPr>
        <w:t>mother case-control GWAS</w:t>
      </w:r>
      <w:r w:rsidRPr="002D0C5D">
        <w:rPr>
          <w:rFonts w:ascii="Arial" w:hAnsi="Arial" w:cs="Arial"/>
          <w:b/>
          <w:bCs/>
          <w:sz w:val="22"/>
          <w:szCs w:val="22"/>
        </w:rPr>
        <w:t>.</w:t>
      </w:r>
      <w:r w:rsidRPr="002D0C5D">
        <w:rPr>
          <w:rFonts w:ascii="Arial" w:hAnsi="Arial" w:cs="Arial"/>
          <w:sz w:val="22"/>
          <w:szCs w:val="22"/>
        </w:rPr>
        <w:t xml:space="preserve"> The red line in the Manhattan plot represents the </w:t>
      </w:r>
      <w:r>
        <w:rPr>
          <w:rFonts w:ascii="Arial" w:hAnsi="Arial" w:cs="Arial"/>
          <w:sz w:val="22"/>
          <w:szCs w:val="22"/>
        </w:rPr>
        <w:t>suggestive</w:t>
      </w:r>
      <w:r w:rsidRPr="002D0C5D">
        <w:rPr>
          <w:rFonts w:ascii="Arial" w:hAnsi="Arial" w:cs="Arial"/>
          <w:sz w:val="22"/>
          <w:szCs w:val="22"/>
        </w:rPr>
        <w:t xml:space="preserve"> significance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Pr="002D0C5D">
        <w:rPr>
          <w:rFonts w:ascii="Arial" w:hAnsi="Arial" w:cs="Arial"/>
          <w:sz w:val="22"/>
          <w:szCs w:val="22"/>
        </w:rPr>
        <w:t xml:space="preserve">), and the blue line represents a </w:t>
      </w:r>
      <w:r>
        <w:rPr>
          <w:rFonts w:ascii="Arial" w:hAnsi="Arial" w:cs="Arial"/>
          <w:sz w:val="22"/>
          <w:szCs w:val="22"/>
        </w:rPr>
        <w:t>relaxed</w:t>
      </w:r>
      <w:r w:rsidRPr="002D0C5D">
        <w:rPr>
          <w:rFonts w:ascii="Arial" w:hAnsi="Arial" w:cs="Arial"/>
          <w:sz w:val="22"/>
          <w:szCs w:val="22"/>
        </w:rPr>
        <w:t xml:space="preserve">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2D0C5D">
        <w:rPr>
          <w:rFonts w:ascii="Arial" w:hAnsi="Arial" w:cs="Arial"/>
          <w:sz w:val="22"/>
          <w:szCs w:val="22"/>
        </w:rPr>
        <w:t>).</w:t>
      </w:r>
    </w:p>
    <w:p w14:paraId="3B3A7189" w14:textId="77777777" w:rsidR="00852B76" w:rsidRDefault="00852B76" w:rsidP="00852B76">
      <w:pPr>
        <w:rPr>
          <w:rFonts w:ascii="Arial" w:hAnsi="Arial" w:cs="Arial"/>
          <w:sz w:val="22"/>
          <w:szCs w:val="22"/>
        </w:rPr>
      </w:pPr>
    </w:p>
    <w:p w14:paraId="0ED0FC53" w14:textId="77777777" w:rsidR="00BA7FC0" w:rsidRDefault="00BA7FC0" w:rsidP="00852B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FEB748" wp14:editId="41AF78B5">
            <wp:extent cx="6858000" cy="42862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69D0" w14:textId="03B69724" w:rsidR="00852B76" w:rsidRDefault="00BA7FC0" w:rsidP="00852B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23537B" wp14:editId="1ED40293">
            <wp:extent cx="3200400" cy="3200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309E" w14:textId="77777777" w:rsidR="00852B76" w:rsidRDefault="00852B76" w:rsidP="00852B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950185C" w14:textId="6C96E7D4" w:rsidR="00852B76" w:rsidRPr="002D0C5D" w:rsidRDefault="00852B76" w:rsidP="00852B76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Figure </w:t>
      </w:r>
      <w:r w:rsidR="00586089">
        <w:rPr>
          <w:rFonts w:ascii="Arial" w:hAnsi="Arial" w:cs="Arial"/>
          <w:b/>
          <w:bCs/>
          <w:sz w:val="22"/>
          <w:szCs w:val="22"/>
        </w:rPr>
        <w:t>5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. Manhattan and QQ plots for </w:t>
      </w:r>
      <w:r>
        <w:rPr>
          <w:rFonts w:ascii="Arial" w:hAnsi="Arial" w:cs="Arial"/>
          <w:b/>
          <w:bCs/>
          <w:sz w:val="22"/>
          <w:szCs w:val="22"/>
        </w:rPr>
        <w:t>replication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mother case-control GWAS</w:t>
      </w:r>
      <w:r w:rsidRPr="002D0C5D">
        <w:rPr>
          <w:rFonts w:ascii="Arial" w:hAnsi="Arial" w:cs="Arial"/>
          <w:b/>
          <w:bCs/>
          <w:sz w:val="22"/>
          <w:szCs w:val="22"/>
        </w:rPr>
        <w:t>.</w:t>
      </w:r>
      <w:r w:rsidRPr="002D0C5D">
        <w:rPr>
          <w:rFonts w:ascii="Arial" w:hAnsi="Arial" w:cs="Arial"/>
          <w:sz w:val="22"/>
          <w:szCs w:val="22"/>
        </w:rPr>
        <w:t xml:space="preserve"> The red line in the Manhattan plot represents the </w:t>
      </w:r>
      <w:r>
        <w:rPr>
          <w:rFonts w:ascii="Arial" w:hAnsi="Arial" w:cs="Arial"/>
          <w:sz w:val="22"/>
          <w:szCs w:val="22"/>
        </w:rPr>
        <w:t>suggestive</w:t>
      </w:r>
      <w:r w:rsidRPr="002D0C5D">
        <w:rPr>
          <w:rFonts w:ascii="Arial" w:hAnsi="Arial" w:cs="Arial"/>
          <w:sz w:val="22"/>
          <w:szCs w:val="22"/>
        </w:rPr>
        <w:t xml:space="preserve"> significance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Pr="002D0C5D">
        <w:rPr>
          <w:rFonts w:ascii="Arial" w:hAnsi="Arial" w:cs="Arial"/>
          <w:sz w:val="22"/>
          <w:szCs w:val="22"/>
        </w:rPr>
        <w:t xml:space="preserve">), and the blue line represents a </w:t>
      </w:r>
      <w:r>
        <w:rPr>
          <w:rFonts w:ascii="Arial" w:hAnsi="Arial" w:cs="Arial"/>
          <w:sz w:val="22"/>
          <w:szCs w:val="22"/>
        </w:rPr>
        <w:t>relaxed</w:t>
      </w:r>
      <w:r w:rsidRPr="002D0C5D">
        <w:rPr>
          <w:rFonts w:ascii="Arial" w:hAnsi="Arial" w:cs="Arial"/>
          <w:sz w:val="22"/>
          <w:szCs w:val="22"/>
        </w:rPr>
        <w:t xml:space="preserve">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2D0C5D">
        <w:rPr>
          <w:rFonts w:ascii="Arial" w:hAnsi="Arial" w:cs="Arial"/>
          <w:sz w:val="22"/>
          <w:szCs w:val="22"/>
        </w:rPr>
        <w:t>).</w:t>
      </w:r>
    </w:p>
    <w:p w14:paraId="60C337AB" w14:textId="00A90D5C" w:rsidR="00852B76" w:rsidRDefault="00852B76" w:rsidP="00852B76">
      <w:pPr>
        <w:rPr>
          <w:rFonts w:ascii="Arial" w:hAnsi="Arial" w:cs="Arial"/>
          <w:sz w:val="22"/>
          <w:szCs w:val="22"/>
        </w:rPr>
      </w:pPr>
    </w:p>
    <w:p w14:paraId="032DCB01" w14:textId="77777777" w:rsidR="00BA7FC0" w:rsidRDefault="00BA7FC0" w:rsidP="00852B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FFA1EB" wp14:editId="576CC90B">
            <wp:extent cx="6858000" cy="42862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40E9" w14:textId="03698C08" w:rsidR="00BA7FC0" w:rsidRDefault="00BA7FC0" w:rsidP="00852B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7401F3" wp14:editId="18041740">
            <wp:extent cx="3200400" cy="3200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8871" w14:textId="77777777" w:rsidR="00852B76" w:rsidRDefault="00852B76" w:rsidP="00852B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2EE316A" w14:textId="20EE3C01" w:rsidR="00852B76" w:rsidRPr="002D0C5D" w:rsidRDefault="00852B76" w:rsidP="00852B76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Figure </w:t>
      </w:r>
      <w:r w:rsidR="00586089">
        <w:rPr>
          <w:rFonts w:ascii="Arial" w:hAnsi="Arial" w:cs="Arial"/>
          <w:b/>
          <w:bCs/>
          <w:sz w:val="22"/>
          <w:szCs w:val="22"/>
        </w:rPr>
        <w:t>6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. Manhattan and QQ plots for </w:t>
      </w:r>
      <w:r>
        <w:rPr>
          <w:rFonts w:ascii="Arial" w:hAnsi="Arial" w:cs="Arial"/>
          <w:b/>
          <w:bCs/>
          <w:sz w:val="22"/>
          <w:szCs w:val="22"/>
        </w:rPr>
        <w:t>the mother case-control meta-analysis</w:t>
      </w:r>
      <w:r w:rsidRPr="002D0C5D">
        <w:rPr>
          <w:rFonts w:ascii="Arial" w:hAnsi="Arial" w:cs="Arial"/>
          <w:b/>
          <w:bCs/>
          <w:sz w:val="22"/>
          <w:szCs w:val="22"/>
        </w:rPr>
        <w:t>.</w:t>
      </w:r>
      <w:r w:rsidRPr="002D0C5D">
        <w:rPr>
          <w:rFonts w:ascii="Arial" w:hAnsi="Arial" w:cs="Arial"/>
          <w:sz w:val="22"/>
          <w:szCs w:val="22"/>
        </w:rPr>
        <w:t xml:space="preserve"> The red line in the Manhattan plot represents the </w:t>
      </w:r>
      <w:r>
        <w:rPr>
          <w:rFonts w:ascii="Arial" w:hAnsi="Arial" w:cs="Arial"/>
          <w:sz w:val="22"/>
          <w:szCs w:val="22"/>
        </w:rPr>
        <w:t>suggestive</w:t>
      </w:r>
      <w:r w:rsidRPr="002D0C5D">
        <w:rPr>
          <w:rFonts w:ascii="Arial" w:hAnsi="Arial" w:cs="Arial"/>
          <w:sz w:val="22"/>
          <w:szCs w:val="22"/>
        </w:rPr>
        <w:t xml:space="preserve"> significance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Pr="002D0C5D">
        <w:rPr>
          <w:rFonts w:ascii="Arial" w:hAnsi="Arial" w:cs="Arial"/>
          <w:sz w:val="22"/>
          <w:szCs w:val="22"/>
        </w:rPr>
        <w:t xml:space="preserve">), and the blue line represents a </w:t>
      </w:r>
      <w:r>
        <w:rPr>
          <w:rFonts w:ascii="Arial" w:hAnsi="Arial" w:cs="Arial"/>
          <w:sz w:val="22"/>
          <w:szCs w:val="22"/>
        </w:rPr>
        <w:t>relaxed</w:t>
      </w:r>
      <w:r w:rsidRPr="002D0C5D">
        <w:rPr>
          <w:rFonts w:ascii="Arial" w:hAnsi="Arial" w:cs="Arial"/>
          <w:sz w:val="22"/>
          <w:szCs w:val="22"/>
        </w:rPr>
        <w:t xml:space="preserve">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2D0C5D">
        <w:rPr>
          <w:rFonts w:ascii="Arial" w:hAnsi="Arial" w:cs="Arial"/>
          <w:sz w:val="22"/>
          <w:szCs w:val="22"/>
        </w:rPr>
        <w:t>).</w:t>
      </w:r>
    </w:p>
    <w:p w14:paraId="16EA8B99" w14:textId="77777777" w:rsidR="00852B76" w:rsidRPr="002D0C5D" w:rsidRDefault="00852B76" w:rsidP="00852B76">
      <w:pPr>
        <w:rPr>
          <w:rFonts w:ascii="Arial" w:hAnsi="Arial" w:cs="Arial"/>
          <w:sz w:val="22"/>
          <w:szCs w:val="22"/>
        </w:rPr>
      </w:pPr>
    </w:p>
    <w:p w14:paraId="6B839EE4" w14:textId="77777777" w:rsidR="00D968A4" w:rsidRDefault="00D968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498D14" wp14:editId="5C5DF075">
            <wp:extent cx="6858000" cy="4286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28E9" w14:textId="77245BB9" w:rsidR="00852B76" w:rsidRDefault="00D968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C19AB4" wp14:editId="72873D8C">
            <wp:extent cx="3200400" cy="320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C0C4" w14:textId="4AF30315" w:rsidR="00586089" w:rsidRDefault="00586089">
      <w:pPr>
        <w:rPr>
          <w:rFonts w:ascii="Arial" w:hAnsi="Arial" w:cs="Arial"/>
          <w:sz w:val="22"/>
          <w:szCs w:val="22"/>
        </w:rPr>
      </w:pPr>
    </w:p>
    <w:p w14:paraId="67CA1B56" w14:textId="4F87A2DC" w:rsidR="00586089" w:rsidRDefault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9F5C920" w14:textId="5BE7D26D" w:rsidR="00586089" w:rsidRPr="002D0C5D" w:rsidRDefault="00586089" w:rsidP="00586089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. Manhattan and QQ plots for discovery </w:t>
      </w:r>
      <w:r>
        <w:rPr>
          <w:rFonts w:ascii="Arial" w:hAnsi="Arial" w:cs="Arial"/>
          <w:b/>
          <w:bCs/>
          <w:sz w:val="22"/>
          <w:szCs w:val="22"/>
        </w:rPr>
        <w:t>infant case-control GWAS</w:t>
      </w:r>
      <w:r w:rsidRPr="002D0C5D">
        <w:rPr>
          <w:rFonts w:ascii="Arial" w:hAnsi="Arial" w:cs="Arial"/>
          <w:b/>
          <w:bCs/>
          <w:sz w:val="22"/>
          <w:szCs w:val="22"/>
        </w:rPr>
        <w:t>.</w:t>
      </w:r>
      <w:r w:rsidRPr="002D0C5D">
        <w:rPr>
          <w:rFonts w:ascii="Arial" w:hAnsi="Arial" w:cs="Arial"/>
          <w:sz w:val="22"/>
          <w:szCs w:val="22"/>
        </w:rPr>
        <w:t xml:space="preserve"> The red line in the Manhattan plot represents the </w:t>
      </w:r>
      <w:r>
        <w:rPr>
          <w:rFonts w:ascii="Arial" w:hAnsi="Arial" w:cs="Arial"/>
          <w:sz w:val="22"/>
          <w:szCs w:val="22"/>
        </w:rPr>
        <w:t>suggestive</w:t>
      </w:r>
      <w:r w:rsidRPr="002D0C5D">
        <w:rPr>
          <w:rFonts w:ascii="Arial" w:hAnsi="Arial" w:cs="Arial"/>
          <w:sz w:val="22"/>
          <w:szCs w:val="22"/>
        </w:rPr>
        <w:t xml:space="preserve"> significance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Pr="002D0C5D">
        <w:rPr>
          <w:rFonts w:ascii="Arial" w:hAnsi="Arial" w:cs="Arial"/>
          <w:sz w:val="22"/>
          <w:szCs w:val="22"/>
        </w:rPr>
        <w:t xml:space="preserve">), and the blue line represents a </w:t>
      </w:r>
      <w:r>
        <w:rPr>
          <w:rFonts w:ascii="Arial" w:hAnsi="Arial" w:cs="Arial"/>
          <w:sz w:val="22"/>
          <w:szCs w:val="22"/>
        </w:rPr>
        <w:t>relaxed</w:t>
      </w:r>
      <w:r w:rsidRPr="002D0C5D">
        <w:rPr>
          <w:rFonts w:ascii="Arial" w:hAnsi="Arial" w:cs="Arial"/>
          <w:sz w:val="22"/>
          <w:szCs w:val="22"/>
        </w:rPr>
        <w:t xml:space="preserve">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2D0C5D">
        <w:rPr>
          <w:rFonts w:ascii="Arial" w:hAnsi="Arial" w:cs="Arial"/>
          <w:sz w:val="22"/>
          <w:szCs w:val="22"/>
        </w:rPr>
        <w:t>).</w:t>
      </w:r>
    </w:p>
    <w:p w14:paraId="25319DA7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</w:p>
    <w:p w14:paraId="7B79DF04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7A5257" wp14:editId="2EB5A461">
            <wp:extent cx="6858000" cy="4286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8402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6FEFBD" wp14:editId="264CD89D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F567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</w:p>
    <w:p w14:paraId="3E6C3E7E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9A64BF4" w14:textId="497CEFCE" w:rsidR="00586089" w:rsidRPr="002D0C5D" w:rsidRDefault="00586089" w:rsidP="00586089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. Manhattan and QQ plots for </w:t>
      </w:r>
      <w:r>
        <w:rPr>
          <w:rFonts w:ascii="Arial" w:hAnsi="Arial" w:cs="Arial"/>
          <w:b/>
          <w:bCs/>
          <w:sz w:val="22"/>
          <w:szCs w:val="22"/>
        </w:rPr>
        <w:t>replication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infant case-control GWAS</w:t>
      </w:r>
      <w:r w:rsidRPr="002D0C5D">
        <w:rPr>
          <w:rFonts w:ascii="Arial" w:hAnsi="Arial" w:cs="Arial"/>
          <w:b/>
          <w:bCs/>
          <w:sz w:val="22"/>
          <w:szCs w:val="22"/>
        </w:rPr>
        <w:t>.</w:t>
      </w:r>
      <w:r w:rsidRPr="002D0C5D">
        <w:rPr>
          <w:rFonts w:ascii="Arial" w:hAnsi="Arial" w:cs="Arial"/>
          <w:sz w:val="22"/>
          <w:szCs w:val="22"/>
        </w:rPr>
        <w:t xml:space="preserve"> The red line in the Manhattan plot represents the </w:t>
      </w:r>
      <w:r>
        <w:rPr>
          <w:rFonts w:ascii="Arial" w:hAnsi="Arial" w:cs="Arial"/>
          <w:sz w:val="22"/>
          <w:szCs w:val="22"/>
        </w:rPr>
        <w:t>suggestive</w:t>
      </w:r>
      <w:r w:rsidRPr="002D0C5D">
        <w:rPr>
          <w:rFonts w:ascii="Arial" w:hAnsi="Arial" w:cs="Arial"/>
          <w:sz w:val="22"/>
          <w:szCs w:val="22"/>
        </w:rPr>
        <w:t xml:space="preserve"> significance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Pr="002D0C5D">
        <w:rPr>
          <w:rFonts w:ascii="Arial" w:hAnsi="Arial" w:cs="Arial"/>
          <w:sz w:val="22"/>
          <w:szCs w:val="22"/>
        </w:rPr>
        <w:t xml:space="preserve">), and the blue line represents a </w:t>
      </w:r>
      <w:r>
        <w:rPr>
          <w:rFonts w:ascii="Arial" w:hAnsi="Arial" w:cs="Arial"/>
          <w:sz w:val="22"/>
          <w:szCs w:val="22"/>
        </w:rPr>
        <w:t>relaxed</w:t>
      </w:r>
      <w:r w:rsidRPr="002D0C5D">
        <w:rPr>
          <w:rFonts w:ascii="Arial" w:hAnsi="Arial" w:cs="Arial"/>
          <w:sz w:val="22"/>
          <w:szCs w:val="22"/>
        </w:rPr>
        <w:t xml:space="preserve">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2D0C5D">
        <w:rPr>
          <w:rFonts w:ascii="Arial" w:hAnsi="Arial" w:cs="Arial"/>
          <w:sz w:val="22"/>
          <w:szCs w:val="22"/>
        </w:rPr>
        <w:t>).</w:t>
      </w:r>
    </w:p>
    <w:p w14:paraId="5BBCA3DC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</w:p>
    <w:p w14:paraId="6EE70F0D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1EC64A" wp14:editId="50A9FB1E">
            <wp:extent cx="6858000" cy="4286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67A6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13A004" wp14:editId="1FEE856F">
            <wp:extent cx="3200400" cy="320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23F3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151D02E" w14:textId="369B8C43" w:rsidR="00586089" w:rsidRPr="002D0C5D" w:rsidRDefault="00586089" w:rsidP="00586089">
      <w:pPr>
        <w:tabs>
          <w:tab w:val="left" w:pos="3769"/>
        </w:tabs>
        <w:rPr>
          <w:rFonts w:ascii="Arial" w:hAnsi="Arial" w:cs="Arial"/>
          <w:sz w:val="22"/>
          <w:szCs w:val="22"/>
        </w:rPr>
      </w:pPr>
      <w:r w:rsidRPr="002D0C5D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Figure </w:t>
      </w:r>
      <w:r>
        <w:rPr>
          <w:rFonts w:ascii="Arial" w:hAnsi="Arial" w:cs="Arial"/>
          <w:b/>
          <w:bCs/>
          <w:sz w:val="22"/>
          <w:szCs w:val="22"/>
        </w:rPr>
        <w:t>9</w:t>
      </w:r>
      <w:r w:rsidRPr="002D0C5D">
        <w:rPr>
          <w:rFonts w:ascii="Arial" w:hAnsi="Arial" w:cs="Arial"/>
          <w:b/>
          <w:bCs/>
          <w:sz w:val="22"/>
          <w:szCs w:val="22"/>
        </w:rPr>
        <w:t xml:space="preserve">. Manhattan and QQ plots for </w:t>
      </w:r>
      <w:r>
        <w:rPr>
          <w:rFonts w:ascii="Arial" w:hAnsi="Arial" w:cs="Arial"/>
          <w:b/>
          <w:bCs/>
          <w:sz w:val="22"/>
          <w:szCs w:val="22"/>
        </w:rPr>
        <w:t>infant case-control meta-analysis</w:t>
      </w:r>
      <w:r w:rsidRPr="002D0C5D">
        <w:rPr>
          <w:rFonts w:ascii="Arial" w:hAnsi="Arial" w:cs="Arial"/>
          <w:b/>
          <w:bCs/>
          <w:sz w:val="22"/>
          <w:szCs w:val="22"/>
        </w:rPr>
        <w:t>.</w:t>
      </w:r>
      <w:r w:rsidRPr="002D0C5D">
        <w:rPr>
          <w:rFonts w:ascii="Arial" w:hAnsi="Arial" w:cs="Arial"/>
          <w:sz w:val="22"/>
          <w:szCs w:val="22"/>
        </w:rPr>
        <w:t xml:space="preserve"> The red line in the Manhattan plot represents the </w:t>
      </w:r>
      <w:r>
        <w:rPr>
          <w:rFonts w:ascii="Arial" w:hAnsi="Arial" w:cs="Arial"/>
          <w:sz w:val="22"/>
          <w:szCs w:val="22"/>
        </w:rPr>
        <w:t>suggestive</w:t>
      </w:r>
      <w:r w:rsidRPr="002D0C5D">
        <w:rPr>
          <w:rFonts w:ascii="Arial" w:hAnsi="Arial" w:cs="Arial"/>
          <w:sz w:val="22"/>
          <w:szCs w:val="22"/>
        </w:rPr>
        <w:t xml:space="preserve"> significance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-6</w:t>
      </w:r>
      <w:r w:rsidRPr="002D0C5D">
        <w:rPr>
          <w:rFonts w:ascii="Arial" w:hAnsi="Arial" w:cs="Arial"/>
          <w:sz w:val="22"/>
          <w:szCs w:val="22"/>
        </w:rPr>
        <w:t xml:space="preserve">), and the blue line represents a </w:t>
      </w:r>
      <w:r>
        <w:rPr>
          <w:rFonts w:ascii="Arial" w:hAnsi="Arial" w:cs="Arial"/>
          <w:sz w:val="22"/>
          <w:szCs w:val="22"/>
        </w:rPr>
        <w:t>relaxed</w:t>
      </w:r>
      <w:r w:rsidRPr="002D0C5D">
        <w:rPr>
          <w:rFonts w:ascii="Arial" w:hAnsi="Arial" w:cs="Arial"/>
          <w:sz w:val="22"/>
          <w:szCs w:val="22"/>
        </w:rPr>
        <w:t xml:space="preserve"> threshold (P &lt; 1x10</w:t>
      </w:r>
      <w:r w:rsidRPr="002D0C5D">
        <w:rPr>
          <w:rFonts w:ascii="Arial" w:hAnsi="Arial" w:cs="Arial"/>
          <w:sz w:val="22"/>
          <w:szCs w:val="22"/>
          <w:vertAlign w:val="superscript"/>
        </w:rPr>
        <w:t>-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2D0C5D">
        <w:rPr>
          <w:rFonts w:ascii="Arial" w:hAnsi="Arial" w:cs="Arial"/>
          <w:sz w:val="22"/>
          <w:szCs w:val="22"/>
        </w:rPr>
        <w:t>).</w:t>
      </w:r>
    </w:p>
    <w:p w14:paraId="6AAC69AD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</w:p>
    <w:p w14:paraId="735EF114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81ADD9" wp14:editId="35F70BFD">
            <wp:extent cx="6858000" cy="4286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874D" w14:textId="77777777" w:rsidR="00586089" w:rsidRDefault="00586089" w:rsidP="005860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93BE8D" wp14:editId="7C0218A9">
            <wp:extent cx="3200400" cy="320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ABFD" w14:textId="77777777" w:rsidR="00586089" w:rsidRPr="002D0C5D" w:rsidRDefault="00586089">
      <w:pPr>
        <w:rPr>
          <w:rFonts w:ascii="Arial" w:hAnsi="Arial" w:cs="Arial"/>
          <w:sz w:val="22"/>
          <w:szCs w:val="22"/>
        </w:rPr>
      </w:pPr>
    </w:p>
    <w:sectPr w:rsidR="00586089" w:rsidRPr="002D0C5D" w:rsidSect="00751ACC">
      <w:footerReference w:type="even" r:id="rId24"/>
      <w:footerReference w:type="default" r:id="rId25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F6FB" w14:textId="77777777" w:rsidR="00751ACC" w:rsidRDefault="00751ACC" w:rsidP="00751ACC">
      <w:r>
        <w:separator/>
      </w:r>
    </w:p>
  </w:endnote>
  <w:endnote w:type="continuationSeparator" w:id="0">
    <w:p w14:paraId="6C19257D" w14:textId="77777777" w:rsidR="00751ACC" w:rsidRDefault="00751ACC" w:rsidP="0075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2521450"/>
      <w:docPartObj>
        <w:docPartGallery w:val="Page Numbers (Bottom of Page)"/>
        <w:docPartUnique/>
      </w:docPartObj>
    </w:sdtPr>
    <w:sdtContent>
      <w:p w14:paraId="24BF2E25" w14:textId="797431C1" w:rsidR="00751ACC" w:rsidRDefault="00751ACC" w:rsidP="00D46F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8B516A" w14:textId="77777777" w:rsidR="00751ACC" w:rsidRDefault="00751ACC" w:rsidP="00751A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2"/>
        <w:szCs w:val="22"/>
      </w:rPr>
      <w:id w:val="890854121"/>
      <w:docPartObj>
        <w:docPartGallery w:val="Page Numbers (Bottom of Page)"/>
        <w:docPartUnique/>
      </w:docPartObj>
    </w:sdtPr>
    <w:sdtContent>
      <w:p w14:paraId="42AC8495" w14:textId="4DE4EB3C" w:rsidR="00751ACC" w:rsidRPr="00751ACC" w:rsidRDefault="00751ACC" w:rsidP="00D46FC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2"/>
            <w:szCs w:val="22"/>
          </w:rPr>
        </w:pPr>
        <w:r w:rsidRPr="00751ACC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751ACC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751ACC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751ACC">
          <w:rPr>
            <w:rStyle w:val="PageNumber"/>
            <w:rFonts w:ascii="Arial" w:hAnsi="Arial" w:cs="Arial"/>
            <w:noProof/>
            <w:sz w:val="22"/>
            <w:szCs w:val="22"/>
          </w:rPr>
          <w:t>1</w:t>
        </w:r>
        <w:r w:rsidRPr="00751ACC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432A23CF" w14:textId="77777777" w:rsidR="00751ACC" w:rsidRPr="00751ACC" w:rsidRDefault="00751ACC" w:rsidP="00751ACC">
    <w:pPr>
      <w:pStyle w:val="Footer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E830D" w14:textId="77777777" w:rsidR="00751ACC" w:rsidRDefault="00751ACC" w:rsidP="00751ACC">
      <w:r>
        <w:separator/>
      </w:r>
    </w:p>
  </w:footnote>
  <w:footnote w:type="continuationSeparator" w:id="0">
    <w:p w14:paraId="06993BF1" w14:textId="77777777" w:rsidR="00751ACC" w:rsidRDefault="00751ACC" w:rsidP="00751A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BA"/>
    <w:rsid w:val="00002FE4"/>
    <w:rsid w:val="000145BD"/>
    <w:rsid w:val="000D25E9"/>
    <w:rsid w:val="00102CDB"/>
    <w:rsid w:val="00130612"/>
    <w:rsid w:val="00182C4C"/>
    <w:rsid w:val="0018568C"/>
    <w:rsid w:val="001937C9"/>
    <w:rsid w:val="002D0C5D"/>
    <w:rsid w:val="003A4C9F"/>
    <w:rsid w:val="00427A28"/>
    <w:rsid w:val="004423D0"/>
    <w:rsid w:val="004471C6"/>
    <w:rsid w:val="0048227D"/>
    <w:rsid w:val="004B1832"/>
    <w:rsid w:val="004C7124"/>
    <w:rsid w:val="004C7B7A"/>
    <w:rsid w:val="004D47DA"/>
    <w:rsid w:val="00561132"/>
    <w:rsid w:val="00586089"/>
    <w:rsid w:val="005D1F52"/>
    <w:rsid w:val="005E4E3E"/>
    <w:rsid w:val="005F5625"/>
    <w:rsid w:val="00616C69"/>
    <w:rsid w:val="00632D68"/>
    <w:rsid w:val="006378E5"/>
    <w:rsid w:val="006A354C"/>
    <w:rsid w:val="006E3D9D"/>
    <w:rsid w:val="00711CD0"/>
    <w:rsid w:val="007467EF"/>
    <w:rsid w:val="00751ACC"/>
    <w:rsid w:val="007579F2"/>
    <w:rsid w:val="007970FB"/>
    <w:rsid w:val="0082466F"/>
    <w:rsid w:val="00837B29"/>
    <w:rsid w:val="0084085C"/>
    <w:rsid w:val="00844086"/>
    <w:rsid w:val="00852B76"/>
    <w:rsid w:val="008B1840"/>
    <w:rsid w:val="008B24D2"/>
    <w:rsid w:val="008C57B8"/>
    <w:rsid w:val="008D00E3"/>
    <w:rsid w:val="008D016B"/>
    <w:rsid w:val="008D73A2"/>
    <w:rsid w:val="009C4896"/>
    <w:rsid w:val="00A623B4"/>
    <w:rsid w:val="00A737F7"/>
    <w:rsid w:val="00B6122A"/>
    <w:rsid w:val="00B935E5"/>
    <w:rsid w:val="00BA7FC0"/>
    <w:rsid w:val="00BC44BC"/>
    <w:rsid w:val="00BE07F6"/>
    <w:rsid w:val="00C06539"/>
    <w:rsid w:val="00C223BA"/>
    <w:rsid w:val="00CB64DA"/>
    <w:rsid w:val="00CD5AE0"/>
    <w:rsid w:val="00CD75CD"/>
    <w:rsid w:val="00D62382"/>
    <w:rsid w:val="00D84CC3"/>
    <w:rsid w:val="00D968A4"/>
    <w:rsid w:val="00DC228F"/>
    <w:rsid w:val="00E43436"/>
    <w:rsid w:val="00E74586"/>
    <w:rsid w:val="00E75FBA"/>
    <w:rsid w:val="00F20363"/>
    <w:rsid w:val="00F20FF1"/>
    <w:rsid w:val="00F86DF2"/>
    <w:rsid w:val="00FB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A3B6A5"/>
  <w15:chartTrackingRefBased/>
  <w15:docId w15:val="{4C352B95-56F9-784A-B494-8872344A7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5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51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ACC"/>
  </w:style>
  <w:style w:type="character" w:styleId="PageNumber">
    <w:name w:val="page number"/>
    <w:basedOn w:val="DefaultParagraphFont"/>
    <w:uiPriority w:val="99"/>
    <w:semiHidden/>
    <w:unhideWhenUsed/>
    <w:rsid w:val="00751ACC"/>
  </w:style>
  <w:style w:type="paragraph" w:styleId="Header">
    <w:name w:val="header"/>
    <w:basedOn w:val="Normal"/>
    <w:link w:val="HeaderChar"/>
    <w:uiPriority w:val="99"/>
    <w:unhideWhenUsed/>
    <w:rsid w:val="00751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Jude Children's Research Hospital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Rashkin, Sara</dc:creator>
  <cp:keywords/>
  <dc:description/>
  <cp:lastModifiedBy>Rashkin, Sara</cp:lastModifiedBy>
  <cp:revision>6</cp:revision>
  <dcterms:created xsi:type="dcterms:W3CDTF">2022-01-11T23:36:00Z</dcterms:created>
  <dcterms:modified xsi:type="dcterms:W3CDTF">2022-01-12T16:30:00Z</dcterms:modified>
</cp:coreProperties>
</file>