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5132E" w14:textId="77777777" w:rsidR="002F33EB" w:rsidRPr="009F6561" w:rsidRDefault="002C4073" w:rsidP="009F6561">
      <w:pPr>
        <w:spacing w:after="360" w:line="240" w:lineRule="auto"/>
        <w:rPr>
          <w:rFonts w:ascii="Times New Roman" w:hAnsi="Times New Roman" w:cs="Times New Roman"/>
          <w:b/>
          <w:sz w:val="24"/>
          <w:szCs w:val="24"/>
        </w:rPr>
      </w:pPr>
      <w:r>
        <w:rPr>
          <w:rFonts w:ascii="Times New Roman" w:hAnsi="Times New Roman" w:cs="Times New Roman"/>
          <w:b/>
          <w:sz w:val="24"/>
          <w:szCs w:val="24"/>
          <w:u w:val="single"/>
        </w:rPr>
        <w:t>Supplemental File</w:t>
      </w:r>
      <w:r w:rsidR="009F6561" w:rsidRPr="009F6561">
        <w:rPr>
          <w:rFonts w:ascii="Times New Roman" w:hAnsi="Times New Roman" w:cs="Times New Roman"/>
          <w:b/>
          <w:sz w:val="24"/>
          <w:szCs w:val="24"/>
          <w:u w:val="single"/>
        </w:rPr>
        <w:t xml:space="preserve"> </w:t>
      </w:r>
      <w:r w:rsidR="007261F2">
        <w:rPr>
          <w:rFonts w:ascii="Times New Roman" w:hAnsi="Times New Roman" w:cs="Times New Roman"/>
          <w:b/>
          <w:sz w:val="24"/>
          <w:szCs w:val="24"/>
          <w:u w:val="single"/>
        </w:rPr>
        <w:t>2</w:t>
      </w:r>
      <w:r w:rsidR="009F6561" w:rsidRPr="009F6561">
        <w:rPr>
          <w:rFonts w:ascii="Times New Roman" w:hAnsi="Times New Roman" w:cs="Times New Roman"/>
          <w:b/>
          <w:sz w:val="24"/>
          <w:szCs w:val="24"/>
        </w:rPr>
        <w:t>: Sensitivity of Completion Rate Estimates to Varying Acti</w:t>
      </w:r>
      <w:r w:rsidR="009F6561">
        <w:rPr>
          <w:rFonts w:ascii="Times New Roman" w:hAnsi="Times New Roman" w:cs="Times New Roman"/>
          <w:b/>
          <w:sz w:val="24"/>
          <w:szCs w:val="24"/>
        </w:rPr>
        <w:t>ve Tuberculosis Exclusion Logic</w:t>
      </w:r>
    </w:p>
    <w:p w14:paraId="507D7D76" w14:textId="77777777" w:rsidR="009F6561" w:rsidRDefault="009F6561" w:rsidP="009F6561">
      <w:pPr>
        <w:spacing w:line="480" w:lineRule="auto"/>
        <w:rPr>
          <w:rFonts w:ascii="Times New Roman" w:hAnsi="Times New Roman" w:cs="Times New Roman"/>
          <w:sz w:val="24"/>
          <w:szCs w:val="24"/>
        </w:rPr>
      </w:pPr>
      <w:r>
        <w:rPr>
          <w:rFonts w:ascii="Times New Roman" w:hAnsi="Times New Roman" w:cs="Times New Roman"/>
          <w:sz w:val="24"/>
          <w:szCs w:val="24"/>
        </w:rPr>
        <w:tab/>
        <w:t>I</w:t>
      </w:r>
      <w:r w:rsidRPr="00E91F8F">
        <w:rPr>
          <w:rFonts w:ascii="Times New Roman" w:hAnsi="Times New Roman" w:cs="Times New Roman"/>
          <w:sz w:val="24"/>
          <w:szCs w:val="24"/>
        </w:rPr>
        <w:t>ndividuals diagnos</w:t>
      </w:r>
      <w:r>
        <w:rPr>
          <w:rFonts w:ascii="Times New Roman" w:hAnsi="Times New Roman" w:cs="Times New Roman"/>
          <w:sz w:val="24"/>
          <w:szCs w:val="24"/>
        </w:rPr>
        <w:t>ed with</w:t>
      </w:r>
      <w:r w:rsidRPr="00E91F8F">
        <w:rPr>
          <w:rFonts w:ascii="Times New Roman" w:hAnsi="Times New Roman" w:cs="Times New Roman"/>
          <w:sz w:val="24"/>
          <w:szCs w:val="24"/>
        </w:rPr>
        <w:t xml:space="preserve"> active TB in the 12 months after the</w:t>
      </w:r>
      <w:r w:rsidR="007261F2">
        <w:rPr>
          <w:rFonts w:ascii="Times New Roman" w:hAnsi="Times New Roman" w:cs="Times New Roman"/>
          <w:sz w:val="24"/>
          <w:szCs w:val="24"/>
        </w:rPr>
        <w:t xml:space="preserve"> date that the</w:t>
      </w:r>
      <w:r w:rsidRPr="00E91F8F">
        <w:rPr>
          <w:rFonts w:ascii="Times New Roman" w:hAnsi="Times New Roman" w:cs="Times New Roman"/>
          <w:sz w:val="24"/>
          <w:szCs w:val="24"/>
        </w:rPr>
        <w:t xml:space="preserve"> first isoniazid prescription </w:t>
      </w:r>
      <w:r w:rsidR="007261F2">
        <w:rPr>
          <w:rFonts w:ascii="Times New Roman" w:hAnsi="Times New Roman" w:cs="Times New Roman"/>
          <w:sz w:val="24"/>
          <w:szCs w:val="24"/>
        </w:rPr>
        <w:t>was</w:t>
      </w:r>
      <w:r w:rsidRPr="00E91F8F">
        <w:rPr>
          <w:rFonts w:ascii="Times New Roman" w:hAnsi="Times New Roman" w:cs="Times New Roman"/>
          <w:sz w:val="24"/>
          <w:szCs w:val="24"/>
        </w:rPr>
        <w:t xml:space="preserve"> filled </w:t>
      </w:r>
      <w:r>
        <w:rPr>
          <w:rFonts w:ascii="Times New Roman" w:hAnsi="Times New Roman" w:cs="Times New Roman"/>
          <w:sz w:val="24"/>
          <w:szCs w:val="24"/>
        </w:rPr>
        <w:t>we</w:t>
      </w:r>
      <w:r w:rsidRPr="00E91F8F">
        <w:rPr>
          <w:rFonts w:ascii="Times New Roman" w:hAnsi="Times New Roman" w:cs="Times New Roman"/>
          <w:sz w:val="24"/>
          <w:szCs w:val="24"/>
        </w:rPr>
        <w:t xml:space="preserve">re </w:t>
      </w:r>
      <w:r>
        <w:rPr>
          <w:rFonts w:ascii="Times New Roman" w:hAnsi="Times New Roman" w:cs="Times New Roman"/>
          <w:sz w:val="24"/>
          <w:szCs w:val="24"/>
        </w:rPr>
        <w:t xml:space="preserve">excluded from </w:t>
      </w:r>
      <w:r w:rsidR="000B2C45">
        <w:rPr>
          <w:rFonts w:ascii="Times New Roman" w:hAnsi="Times New Roman" w:cs="Times New Roman"/>
          <w:sz w:val="24"/>
          <w:szCs w:val="24"/>
        </w:rPr>
        <w:t xml:space="preserve">the </w:t>
      </w:r>
      <w:r>
        <w:rPr>
          <w:rFonts w:ascii="Times New Roman" w:hAnsi="Times New Roman" w:cs="Times New Roman"/>
          <w:sz w:val="24"/>
          <w:szCs w:val="24"/>
        </w:rPr>
        <w:t>latent tuberculosis infection (LTBI) treatment completion analyses (Figure 1 Cell 13). These</w:t>
      </w:r>
      <w:r w:rsidRPr="00E91F8F">
        <w:rPr>
          <w:rFonts w:ascii="Times New Roman" w:hAnsi="Times New Roman" w:cs="Times New Roman"/>
          <w:sz w:val="24"/>
          <w:szCs w:val="24"/>
        </w:rPr>
        <w:t xml:space="preserve"> people </w:t>
      </w:r>
      <w:r>
        <w:rPr>
          <w:rFonts w:ascii="Times New Roman" w:hAnsi="Times New Roman" w:cs="Times New Roman"/>
          <w:sz w:val="24"/>
          <w:szCs w:val="24"/>
        </w:rPr>
        <w:t>likely had</w:t>
      </w:r>
      <w:r w:rsidRPr="00E91F8F">
        <w:rPr>
          <w:rFonts w:ascii="Times New Roman" w:hAnsi="Times New Roman" w:cs="Times New Roman"/>
          <w:sz w:val="24"/>
          <w:szCs w:val="24"/>
        </w:rPr>
        <w:t xml:space="preserve"> active TB </w:t>
      </w:r>
      <w:r>
        <w:rPr>
          <w:rFonts w:ascii="Times New Roman" w:hAnsi="Times New Roman" w:cs="Times New Roman"/>
          <w:sz w:val="24"/>
          <w:szCs w:val="24"/>
        </w:rPr>
        <w:t>but</w:t>
      </w:r>
      <w:r w:rsidRPr="00E91F8F">
        <w:rPr>
          <w:rFonts w:ascii="Times New Roman" w:hAnsi="Times New Roman" w:cs="Times New Roman"/>
          <w:sz w:val="24"/>
          <w:szCs w:val="24"/>
        </w:rPr>
        <w:t xml:space="preserve"> were initially misdiagnosed with LTBI or they had LTBI which developed into active TB</w:t>
      </w:r>
      <w:r>
        <w:rPr>
          <w:rFonts w:ascii="Times New Roman" w:hAnsi="Times New Roman" w:cs="Times New Roman"/>
          <w:sz w:val="24"/>
          <w:szCs w:val="24"/>
        </w:rPr>
        <w:t xml:space="preserve"> during their course of treatment. The 12 month time period was selected because people who initiate LTBI treatment with isoniazid </w:t>
      </w:r>
      <w:r w:rsidR="00E63AC1">
        <w:rPr>
          <w:rFonts w:ascii="Times New Roman" w:hAnsi="Times New Roman" w:cs="Times New Roman"/>
          <w:sz w:val="24"/>
          <w:szCs w:val="24"/>
        </w:rPr>
        <w:t>are given</w:t>
      </w:r>
      <w:r>
        <w:rPr>
          <w:rFonts w:ascii="Times New Roman" w:hAnsi="Times New Roman" w:cs="Times New Roman"/>
          <w:sz w:val="24"/>
          <w:szCs w:val="24"/>
        </w:rPr>
        <w:t xml:space="preserve"> 12 months to complete a 9 month course of treatment.</w:t>
      </w:r>
      <w:r w:rsidR="00CD2CC8">
        <w:rPr>
          <w:rFonts w:ascii="Times New Roman" w:hAnsi="Times New Roman" w:cs="Times New Roman"/>
          <w:sz w:val="24"/>
          <w:szCs w:val="24"/>
        </w:rPr>
        <w:fldChar w:fldCharType="begin">
          <w:fldData xml:space="preserve">PEVuZE5vdGU+PENpdGU+PEF1dGhvcj5Ib3JzYnVyZ2g8L0F1dGhvcj48WWVhcj4yMDEwPC9ZZWFy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</w:fldData>
        </w:fldChar>
      </w:r>
      <w:r>
        <w:rPr>
          <w:rFonts w:ascii="Times New Roman" w:hAnsi="Times New Roman" w:cs="Times New Roman"/>
          <w:sz w:val="24"/>
          <w:szCs w:val="24"/>
        </w:rPr>
        <w:instrText xml:space="preserve"> ADDIN EN.CITE </w:instrText>
      </w:r>
      <w:r w:rsidR="00CD2CC8">
        <w:rPr>
          <w:rFonts w:ascii="Times New Roman" w:hAnsi="Times New Roman" w:cs="Times New Roman"/>
          <w:sz w:val="24"/>
          <w:szCs w:val="24"/>
        </w:rPr>
        <w:fldChar w:fldCharType="begin">
          <w:fldData xml:space="preserve">PEVuZE5vdGU+PENpdGU+PEF1dGhvcj5Ib3JzYnVyZ2g8L0F1dGhvcj48WWVhcj4yMDEwPC9ZZWFy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</w:fldData>
        </w:fldChar>
      </w:r>
      <w:r>
        <w:rPr>
          <w:rFonts w:ascii="Times New Roman" w:hAnsi="Times New Roman" w:cs="Times New Roman"/>
          <w:sz w:val="24"/>
          <w:szCs w:val="24"/>
        </w:rPr>
        <w:instrText xml:space="preserve"> ADDIN EN.CITE.DATA </w:instrText>
      </w:r>
      <w:r w:rsidR="00CD2CC8">
        <w:rPr>
          <w:rFonts w:ascii="Times New Roman" w:hAnsi="Times New Roman" w:cs="Times New Roman"/>
          <w:sz w:val="24"/>
          <w:szCs w:val="24"/>
        </w:rPr>
      </w:r>
      <w:r w:rsidR="00CD2CC8">
        <w:rPr>
          <w:rFonts w:ascii="Times New Roman" w:hAnsi="Times New Roman" w:cs="Times New Roman"/>
          <w:sz w:val="24"/>
          <w:szCs w:val="24"/>
        </w:rPr>
        <w:fldChar w:fldCharType="end"/>
      </w:r>
      <w:r w:rsidR="00CD2CC8">
        <w:rPr>
          <w:rFonts w:ascii="Times New Roman" w:hAnsi="Times New Roman" w:cs="Times New Roman"/>
          <w:sz w:val="24"/>
          <w:szCs w:val="24"/>
        </w:rPr>
      </w:r>
      <w:r w:rsidR="00CD2CC8">
        <w:rPr>
          <w:rFonts w:ascii="Times New Roman" w:hAnsi="Times New Roman" w:cs="Times New Roman"/>
          <w:sz w:val="24"/>
          <w:szCs w:val="24"/>
        </w:rPr>
        <w:fldChar w:fldCharType="separate"/>
      </w:r>
      <w:r w:rsidRPr="009F6561">
        <w:rPr>
          <w:rFonts w:ascii="Times New Roman" w:hAnsi="Times New Roman" w:cs="Times New Roman"/>
          <w:noProof/>
          <w:sz w:val="24"/>
          <w:szCs w:val="24"/>
          <w:vertAlign w:val="superscript"/>
        </w:rPr>
        <w:t>1</w:t>
      </w:r>
      <w:r w:rsidR="00CD2CC8">
        <w:rPr>
          <w:rFonts w:ascii="Times New Roman" w:hAnsi="Times New Roman" w:cs="Times New Roman"/>
          <w:sz w:val="24"/>
          <w:szCs w:val="24"/>
        </w:rPr>
        <w:fldChar w:fldCharType="end"/>
      </w:r>
    </w:p>
    <w:p w14:paraId="79430915" w14:textId="77777777" w:rsidR="009F6561" w:rsidRDefault="009F6561" w:rsidP="009F6561">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However, </w:t>
      </w:r>
      <w:r w:rsidR="000B2C45">
        <w:rPr>
          <w:rFonts w:ascii="Times New Roman" w:hAnsi="Times New Roman" w:cs="Times New Roman"/>
          <w:sz w:val="24"/>
          <w:szCs w:val="24"/>
        </w:rPr>
        <w:t xml:space="preserve">due to the limitations of claims data </w:t>
      </w:r>
      <w:r w:rsidR="007261F2">
        <w:rPr>
          <w:rFonts w:ascii="Times New Roman" w:hAnsi="Times New Roman" w:cs="Times New Roman"/>
          <w:sz w:val="24"/>
          <w:szCs w:val="24"/>
        </w:rPr>
        <w:t xml:space="preserve">there is </w:t>
      </w:r>
      <w:r w:rsidR="000B2C45">
        <w:rPr>
          <w:rFonts w:ascii="Times New Roman" w:hAnsi="Times New Roman" w:cs="Times New Roman"/>
          <w:sz w:val="24"/>
          <w:szCs w:val="24"/>
        </w:rPr>
        <w:t xml:space="preserve">a degree of </w:t>
      </w:r>
      <w:r w:rsidR="007261F2">
        <w:rPr>
          <w:rFonts w:ascii="Times New Roman" w:hAnsi="Times New Roman" w:cs="Times New Roman"/>
          <w:sz w:val="24"/>
          <w:szCs w:val="24"/>
        </w:rPr>
        <w:t xml:space="preserve">uncertainty about when </w:t>
      </w:r>
      <w:r w:rsidR="000B2C45">
        <w:rPr>
          <w:rFonts w:ascii="Times New Roman" w:hAnsi="Times New Roman" w:cs="Times New Roman"/>
          <w:sz w:val="24"/>
          <w:szCs w:val="24"/>
        </w:rPr>
        <w:t xml:space="preserve">the </w:t>
      </w:r>
      <w:r w:rsidR="007261F2">
        <w:rPr>
          <w:rFonts w:ascii="Times New Roman" w:hAnsi="Times New Roman" w:cs="Times New Roman"/>
          <w:sz w:val="24"/>
          <w:szCs w:val="24"/>
        </w:rPr>
        <w:t>active TB developed, and</w:t>
      </w:r>
      <w:r>
        <w:rPr>
          <w:rFonts w:ascii="Times New Roman" w:hAnsi="Times New Roman" w:cs="Times New Roman"/>
          <w:sz w:val="24"/>
          <w:szCs w:val="24"/>
        </w:rPr>
        <w:t xml:space="preserve"> changes in </w:t>
      </w:r>
      <w:r w:rsidR="000B2C45">
        <w:rPr>
          <w:rFonts w:ascii="Times New Roman" w:hAnsi="Times New Roman" w:cs="Times New Roman"/>
          <w:sz w:val="24"/>
          <w:szCs w:val="24"/>
        </w:rPr>
        <w:t xml:space="preserve">assumptions would result in changes in </w:t>
      </w:r>
      <w:r>
        <w:rPr>
          <w:rFonts w:ascii="Times New Roman" w:hAnsi="Times New Roman" w:cs="Times New Roman"/>
          <w:sz w:val="24"/>
          <w:szCs w:val="24"/>
        </w:rPr>
        <w:t xml:space="preserve">the </w:t>
      </w:r>
      <w:r w:rsidR="00480CDD">
        <w:rPr>
          <w:rFonts w:ascii="Times New Roman" w:hAnsi="Times New Roman" w:cs="Times New Roman"/>
          <w:sz w:val="24"/>
          <w:szCs w:val="24"/>
        </w:rPr>
        <w:t>inclusion or exclusion of</w:t>
      </w:r>
      <w:r>
        <w:rPr>
          <w:rFonts w:ascii="Times New Roman" w:hAnsi="Times New Roman" w:cs="Times New Roman"/>
          <w:sz w:val="24"/>
          <w:szCs w:val="24"/>
        </w:rPr>
        <w:t xml:space="preserve"> a subset of</w:t>
      </w:r>
      <w:r w:rsidR="000B2C45">
        <w:rPr>
          <w:rFonts w:ascii="Times New Roman" w:hAnsi="Times New Roman" w:cs="Times New Roman"/>
          <w:sz w:val="24"/>
          <w:szCs w:val="24"/>
        </w:rPr>
        <w:t xml:space="preserve"> these</w:t>
      </w:r>
      <w:r>
        <w:rPr>
          <w:rFonts w:ascii="Times New Roman" w:hAnsi="Times New Roman" w:cs="Times New Roman"/>
          <w:sz w:val="24"/>
          <w:szCs w:val="24"/>
        </w:rPr>
        <w:t xml:space="preserve"> individuals who have an active tuberculosis diagnosis in this 12 month period.  </w:t>
      </w:r>
      <w:r w:rsidR="007261F2">
        <w:rPr>
          <w:rFonts w:ascii="Times New Roman" w:hAnsi="Times New Roman" w:cs="Times New Roman"/>
          <w:sz w:val="24"/>
          <w:szCs w:val="24"/>
        </w:rPr>
        <w:t xml:space="preserve">This appendix explores how the inclusion </w:t>
      </w:r>
      <w:r w:rsidR="000B2C45">
        <w:rPr>
          <w:rFonts w:ascii="Times New Roman" w:hAnsi="Times New Roman" w:cs="Times New Roman"/>
          <w:sz w:val="24"/>
          <w:szCs w:val="24"/>
        </w:rPr>
        <w:t xml:space="preserve">and exclusion </w:t>
      </w:r>
      <w:r w:rsidR="007261F2">
        <w:rPr>
          <w:rFonts w:ascii="Times New Roman" w:hAnsi="Times New Roman" w:cs="Times New Roman"/>
          <w:sz w:val="24"/>
          <w:szCs w:val="24"/>
        </w:rPr>
        <w:t xml:space="preserve">of various groups </w:t>
      </w:r>
      <w:r w:rsidR="00E63AC1">
        <w:rPr>
          <w:rFonts w:ascii="Times New Roman" w:hAnsi="Times New Roman" w:cs="Times New Roman"/>
          <w:sz w:val="24"/>
          <w:szCs w:val="24"/>
        </w:rPr>
        <w:t xml:space="preserve">based on different assumptions </w:t>
      </w:r>
      <w:r w:rsidR="007261F2">
        <w:rPr>
          <w:rFonts w:ascii="Times New Roman" w:hAnsi="Times New Roman" w:cs="Times New Roman"/>
          <w:sz w:val="24"/>
          <w:szCs w:val="24"/>
        </w:rPr>
        <w:t>affects the obtained completion rates.  The groups of interest are as follows:</w:t>
      </w:r>
    </w:p>
    <w:p w14:paraId="1BC05614" w14:textId="77777777" w:rsidR="009F6561" w:rsidRDefault="009F6561" w:rsidP="000B2C45">
      <w:pPr>
        <w:pStyle w:val="ListParagraph"/>
        <w:numPr>
          <w:ilvl w:val="0"/>
          <w:numId w:val="1"/>
        </w:numPr>
        <w:spacing w:line="240" w:lineRule="auto"/>
        <w:rPr>
          <w:rFonts w:ascii="Times New Roman" w:hAnsi="Times New Roman" w:cs="Times New Roman"/>
          <w:sz w:val="24"/>
          <w:szCs w:val="24"/>
        </w:rPr>
      </w:pPr>
      <w:r w:rsidRPr="000B2C45">
        <w:rPr>
          <w:rFonts w:ascii="Times New Roman" w:hAnsi="Times New Roman" w:cs="Times New Roman"/>
          <w:b/>
          <w:sz w:val="24"/>
          <w:szCs w:val="24"/>
          <w:u w:val="single"/>
        </w:rPr>
        <w:t>Group</w:t>
      </w:r>
      <w:r w:rsidR="000B2C45" w:rsidRPr="000B2C45">
        <w:rPr>
          <w:rFonts w:ascii="Times New Roman" w:hAnsi="Times New Roman" w:cs="Times New Roman"/>
          <w:b/>
          <w:sz w:val="24"/>
          <w:szCs w:val="24"/>
          <w:u w:val="single"/>
        </w:rPr>
        <w:t>s</w:t>
      </w:r>
      <w:r w:rsidRPr="000B2C45">
        <w:rPr>
          <w:rFonts w:ascii="Times New Roman" w:hAnsi="Times New Roman" w:cs="Times New Roman"/>
          <w:b/>
          <w:sz w:val="24"/>
          <w:szCs w:val="24"/>
          <w:u w:val="single"/>
        </w:rPr>
        <w:t xml:space="preserve"> A</w:t>
      </w:r>
      <w:r w:rsidR="000B2C45" w:rsidRPr="000B2C45">
        <w:rPr>
          <w:rFonts w:ascii="Times New Roman" w:hAnsi="Times New Roman" w:cs="Times New Roman"/>
          <w:b/>
          <w:sz w:val="24"/>
          <w:szCs w:val="24"/>
          <w:u w:val="single"/>
        </w:rPr>
        <w:t>1 &amp; A2</w:t>
      </w:r>
      <w:r w:rsidRPr="009F6561">
        <w:rPr>
          <w:rFonts w:ascii="Times New Roman" w:hAnsi="Times New Roman" w:cs="Times New Roman"/>
          <w:sz w:val="24"/>
          <w:szCs w:val="24"/>
          <w:u w:val="single"/>
        </w:rPr>
        <w:t>: Individuals who did not complete 6 or 9 months of treatment</w:t>
      </w:r>
      <w:r w:rsidR="000B2C45">
        <w:rPr>
          <w:rFonts w:ascii="Times New Roman" w:hAnsi="Times New Roman" w:cs="Times New Roman"/>
          <w:sz w:val="24"/>
          <w:szCs w:val="24"/>
          <w:u w:val="single"/>
        </w:rPr>
        <w:t>, respectively,</w:t>
      </w:r>
      <w:r w:rsidRPr="009F6561">
        <w:rPr>
          <w:rFonts w:ascii="Times New Roman" w:hAnsi="Times New Roman" w:cs="Times New Roman"/>
          <w:sz w:val="24"/>
          <w:szCs w:val="24"/>
          <w:u w:val="single"/>
        </w:rPr>
        <w:t xml:space="preserve"> who have a diagnosis of active tuberculosis after their last day of isoniazid medication (i.e., the prescription fill date plus the </w:t>
      </w:r>
      <w:r w:rsidR="00480CDD">
        <w:rPr>
          <w:rFonts w:ascii="Times New Roman" w:hAnsi="Times New Roman" w:cs="Times New Roman"/>
          <w:sz w:val="24"/>
          <w:szCs w:val="24"/>
          <w:u w:val="single"/>
        </w:rPr>
        <w:t>days supply of isoniazid obtained on that date</w:t>
      </w:r>
      <w:r w:rsidRPr="009F6561">
        <w:rPr>
          <w:rFonts w:ascii="Times New Roman" w:hAnsi="Times New Roman" w:cs="Times New Roman"/>
          <w:sz w:val="24"/>
          <w:szCs w:val="24"/>
          <w:u w:val="single"/>
        </w:rPr>
        <w:t>) but before the end of the 12 month period</w:t>
      </w:r>
      <w:r>
        <w:rPr>
          <w:rFonts w:ascii="Times New Roman" w:hAnsi="Times New Roman" w:cs="Times New Roman"/>
          <w:sz w:val="24"/>
          <w:szCs w:val="24"/>
        </w:rPr>
        <w:t>. These people might be included in the completion analyses if one assumes that 1) the active tuberculosis did not develop until after the treatment was discontinued, and 2) tuberculosis might have been prevented had the treatment not been discontinued. Including these individuals would decrease the obtained completion rate.</w:t>
      </w:r>
    </w:p>
    <w:p w14:paraId="3CB30306" w14:textId="77777777" w:rsidR="000B2C45" w:rsidRPr="009F6561" w:rsidRDefault="000B2C45" w:rsidP="000B2C45">
      <w:pPr>
        <w:pStyle w:val="ListParagraph"/>
        <w:spacing w:line="240" w:lineRule="auto"/>
        <w:rPr>
          <w:rFonts w:ascii="Times New Roman" w:hAnsi="Times New Roman" w:cs="Times New Roman"/>
          <w:sz w:val="24"/>
          <w:szCs w:val="24"/>
        </w:rPr>
      </w:pPr>
    </w:p>
    <w:p w14:paraId="3A87DB24" w14:textId="77777777" w:rsidR="009F6561" w:rsidRDefault="009F6561" w:rsidP="000B2C45">
      <w:pPr>
        <w:pStyle w:val="ListParagraph"/>
        <w:numPr>
          <w:ilvl w:val="0"/>
          <w:numId w:val="1"/>
        </w:numPr>
        <w:spacing w:line="240" w:lineRule="auto"/>
        <w:rPr>
          <w:rFonts w:ascii="Times New Roman" w:hAnsi="Times New Roman" w:cs="Times New Roman"/>
          <w:sz w:val="24"/>
          <w:szCs w:val="24"/>
        </w:rPr>
      </w:pPr>
      <w:r w:rsidRPr="000B2C45">
        <w:rPr>
          <w:rFonts w:ascii="Times New Roman" w:hAnsi="Times New Roman" w:cs="Times New Roman"/>
          <w:b/>
          <w:sz w:val="24"/>
          <w:szCs w:val="24"/>
          <w:u w:val="single"/>
        </w:rPr>
        <w:t>Group</w:t>
      </w:r>
      <w:r w:rsidR="000B2C45" w:rsidRPr="000B2C45">
        <w:rPr>
          <w:rFonts w:ascii="Times New Roman" w:hAnsi="Times New Roman" w:cs="Times New Roman"/>
          <w:b/>
          <w:sz w:val="24"/>
          <w:szCs w:val="24"/>
          <w:u w:val="single"/>
        </w:rPr>
        <w:t>s</w:t>
      </w:r>
      <w:r w:rsidRPr="000B2C45">
        <w:rPr>
          <w:rFonts w:ascii="Times New Roman" w:hAnsi="Times New Roman" w:cs="Times New Roman"/>
          <w:b/>
          <w:sz w:val="24"/>
          <w:szCs w:val="24"/>
          <w:u w:val="single"/>
        </w:rPr>
        <w:t xml:space="preserve"> B</w:t>
      </w:r>
      <w:r w:rsidR="000B2C45" w:rsidRPr="000B2C45">
        <w:rPr>
          <w:rFonts w:ascii="Times New Roman" w:hAnsi="Times New Roman" w:cs="Times New Roman"/>
          <w:b/>
          <w:sz w:val="24"/>
          <w:szCs w:val="24"/>
          <w:u w:val="single"/>
        </w:rPr>
        <w:t>1 &amp; B2</w:t>
      </w:r>
      <w:r w:rsidRPr="009F6561">
        <w:rPr>
          <w:rFonts w:ascii="Times New Roman" w:hAnsi="Times New Roman" w:cs="Times New Roman"/>
          <w:sz w:val="24"/>
          <w:szCs w:val="24"/>
          <w:u w:val="single"/>
        </w:rPr>
        <w:t>: Individuals who compl</w:t>
      </w:r>
      <w:r w:rsidR="000B2C45">
        <w:rPr>
          <w:rFonts w:ascii="Times New Roman" w:hAnsi="Times New Roman" w:cs="Times New Roman"/>
          <w:sz w:val="24"/>
          <w:szCs w:val="24"/>
          <w:u w:val="single"/>
        </w:rPr>
        <w:t xml:space="preserve">eted 6 or 9 months of treatment, respectively, </w:t>
      </w:r>
      <w:r w:rsidRPr="009F6561">
        <w:rPr>
          <w:rFonts w:ascii="Times New Roman" w:hAnsi="Times New Roman" w:cs="Times New Roman"/>
          <w:sz w:val="24"/>
          <w:szCs w:val="24"/>
          <w:u w:val="single"/>
        </w:rPr>
        <w:t>who have a diagnosis of active tuberculosis after their last day of isoniazid medication but before the end of the 12 month period</w:t>
      </w:r>
      <w:r>
        <w:rPr>
          <w:rFonts w:ascii="Times New Roman" w:hAnsi="Times New Roman" w:cs="Times New Roman"/>
          <w:sz w:val="24"/>
          <w:szCs w:val="24"/>
        </w:rPr>
        <w:t>. These people might be included in completion analyses if one assumes that active tuberculosis did not develop until after the treatment was completed. Including these individuals would increase the obtained completion rate.</w:t>
      </w:r>
    </w:p>
    <w:p w14:paraId="08EEC561" w14:textId="77777777" w:rsidR="009F6561" w:rsidRDefault="009F6561" w:rsidP="000B2C45">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In order to determine the magnitude of </w:t>
      </w:r>
      <w:r w:rsidR="00C15DFF">
        <w:rPr>
          <w:rFonts w:ascii="Times New Roman" w:hAnsi="Times New Roman" w:cs="Times New Roman"/>
          <w:sz w:val="24"/>
          <w:szCs w:val="24"/>
        </w:rPr>
        <w:t xml:space="preserve">the </w:t>
      </w:r>
      <w:r>
        <w:rPr>
          <w:rFonts w:ascii="Times New Roman" w:hAnsi="Times New Roman" w:cs="Times New Roman"/>
          <w:sz w:val="24"/>
          <w:szCs w:val="24"/>
        </w:rPr>
        <w:t xml:space="preserve">change in the completion rate estimates under these different assumptions, we recalculated the completion rates </w:t>
      </w:r>
      <w:r w:rsidR="007261F2">
        <w:rPr>
          <w:rFonts w:ascii="Times New Roman" w:hAnsi="Times New Roman" w:cs="Times New Roman"/>
          <w:sz w:val="24"/>
          <w:szCs w:val="24"/>
        </w:rPr>
        <w:t>a number of different ways</w:t>
      </w:r>
      <w:r>
        <w:rPr>
          <w:rFonts w:ascii="Times New Roman" w:hAnsi="Times New Roman" w:cs="Times New Roman"/>
          <w:sz w:val="24"/>
          <w:szCs w:val="24"/>
        </w:rPr>
        <w:t xml:space="preserve">. </w:t>
      </w:r>
      <w:r w:rsidR="000B2C45">
        <w:rPr>
          <w:rFonts w:ascii="Times New Roman" w:hAnsi="Times New Roman" w:cs="Times New Roman"/>
          <w:sz w:val="24"/>
          <w:szCs w:val="24"/>
        </w:rPr>
        <w:t>The results are shown in the table below.</w:t>
      </w:r>
    </w:p>
    <w:p w14:paraId="4B16D0C9" w14:textId="77777777" w:rsidR="000B2C45" w:rsidRPr="00B50271" w:rsidRDefault="00B50271" w:rsidP="000B2C45">
      <w:pPr>
        <w:spacing w:line="240" w:lineRule="auto"/>
        <w:rPr>
          <w:rFonts w:ascii="Times New Roman" w:hAnsi="Times New Roman" w:cs="Times New Roman"/>
          <w:sz w:val="24"/>
          <w:szCs w:val="24"/>
        </w:rPr>
      </w:pPr>
      <w:r w:rsidRPr="00B50271">
        <w:rPr>
          <w:rFonts w:ascii="Times New Roman" w:hAnsi="Times New Roman" w:cs="Times New Roman"/>
          <w:sz w:val="24"/>
          <w:szCs w:val="24"/>
          <w:u w:val="single"/>
        </w:rPr>
        <w:t>Supplement 2</w:t>
      </w:r>
      <w:r w:rsidR="000B2C45" w:rsidRPr="00B50271">
        <w:rPr>
          <w:rFonts w:ascii="Times New Roman" w:hAnsi="Times New Roman" w:cs="Times New Roman"/>
          <w:sz w:val="24"/>
          <w:szCs w:val="24"/>
          <w:u w:val="single"/>
        </w:rPr>
        <w:t xml:space="preserve"> Table</w:t>
      </w:r>
      <w:r w:rsidR="000B2C45" w:rsidRPr="00B50271">
        <w:rPr>
          <w:rFonts w:ascii="Times New Roman" w:hAnsi="Times New Roman" w:cs="Times New Roman"/>
          <w:sz w:val="24"/>
          <w:szCs w:val="24"/>
        </w:rPr>
        <w:t>: Exploration of varying latent tuberculosis infection (LTBI) treatment completion rate estimates under different assumptions about tuberculosis diagnosed after the initiation of LTBI treatment.</w:t>
      </w:r>
    </w:p>
    <w:tbl>
      <w:tblPr>
        <w:tblStyle w:val="TableGrid"/>
        <w:tblW w:w="0" w:type="auto"/>
        <w:tblLayout w:type="fixed"/>
        <w:tblLook w:val="04A0" w:firstRow="1" w:lastRow="0" w:firstColumn="1" w:lastColumn="0" w:noHBand="0" w:noVBand="1"/>
      </w:tblPr>
      <w:tblGrid>
        <w:gridCol w:w="2538"/>
        <w:gridCol w:w="1350"/>
        <w:gridCol w:w="1260"/>
        <w:gridCol w:w="1530"/>
        <w:gridCol w:w="1350"/>
        <w:gridCol w:w="1322"/>
      </w:tblGrid>
      <w:tr w:rsidR="00FE0CBF" w14:paraId="3C4D3845" w14:textId="77777777" w:rsidTr="000C6AEB">
        <w:tc>
          <w:tcPr>
            <w:tcW w:w="2538" w:type="dxa"/>
            <w:shd w:val="clear" w:color="auto" w:fill="D9D9D9" w:themeFill="background1" w:themeFillShade="D9"/>
            <w:vAlign w:val="center"/>
          </w:tcPr>
          <w:p w14:paraId="455491DA" w14:textId="77777777" w:rsidR="00FE0CBF" w:rsidRPr="007261F2" w:rsidRDefault="00FE0CBF" w:rsidP="00FE0CBF">
            <w:pPr>
              <w:spacing w:line="480" w:lineRule="auto"/>
              <w:rPr>
                <w:rFonts w:ascii="Times New Roman" w:hAnsi="Times New Roman" w:cs="Times New Roman"/>
                <w:b/>
                <w:sz w:val="20"/>
                <w:szCs w:val="24"/>
              </w:rPr>
            </w:pPr>
          </w:p>
        </w:tc>
        <w:tc>
          <w:tcPr>
            <w:tcW w:w="1350" w:type="dxa"/>
            <w:shd w:val="clear" w:color="auto" w:fill="D9D9D9" w:themeFill="background1" w:themeFillShade="D9"/>
            <w:vAlign w:val="center"/>
          </w:tcPr>
          <w:p w14:paraId="586C2213" w14:textId="77777777" w:rsidR="00FE0CBF" w:rsidRPr="007261F2" w:rsidRDefault="00206030" w:rsidP="00FE0CBF">
            <w:pPr>
              <w:jc w:val="center"/>
              <w:rPr>
                <w:rFonts w:ascii="Times New Roman" w:hAnsi="Times New Roman" w:cs="Times New Roman"/>
                <w:b/>
                <w:sz w:val="20"/>
                <w:szCs w:val="24"/>
              </w:rPr>
            </w:pPr>
            <w:r w:rsidRPr="007261F2">
              <w:rPr>
                <w:rFonts w:ascii="Times New Roman" w:hAnsi="Times New Roman" w:cs="Times New Roman"/>
                <w:b/>
                <w:sz w:val="20"/>
                <w:szCs w:val="24"/>
              </w:rPr>
              <w:t xml:space="preserve"># in </w:t>
            </w:r>
            <w:r w:rsidR="00FE0CBF" w:rsidRPr="007261F2">
              <w:rPr>
                <w:rFonts w:ascii="Times New Roman" w:hAnsi="Times New Roman" w:cs="Times New Roman"/>
                <w:b/>
                <w:sz w:val="20"/>
                <w:szCs w:val="24"/>
              </w:rPr>
              <w:t>Denominator</w:t>
            </w:r>
          </w:p>
        </w:tc>
        <w:tc>
          <w:tcPr>
            <w:tcW w:w="1260" w:type="dxa"/>
            <w:shd w:val="clear" w:color="auto" w:fill="D9D9D9" w:themeFill="background1" w:themeFillShade="D9"/>
            <w:vAlign w:val="center"/>
          </w:tcPr>
          <w:p w14:paraId="4764107D" w14:textId="77777777" w:rsidR="00FE0CBF" w:rsidRPr="007261F2" w:rsidRDefault="00FE0CBF" w:rsidP="00FE0CBF">
            <w:pPr>
              <w:jc w:val="center"/>
              <w:rPr>
                <w:rFonts w:ascii="Times New Roman" w:hAnsi="Times New Roman" w:cs="Times New Roman"/>
                <w:b/>
                <w:sz w:val="20"/>
                <w:szCs w:val="24"/>
              </w:rPr>
            </w:pPr>
            <w:r w:rsidRPr="007261F2">
              <w:rPr>
                <w:rFonts w:ascii="Times New Roman" w:hAnsi="Times New Roman" w:cs="Times New Roman"/>
                <w:b/>
                <w:sz w:val="20"/>
                <w:szCs w:val="24"/>
              </w:rPr>
              <w:t># Completing 6 Months of Isoniazid</w:t>
            </w:r>
          </w:p>
        </w:tc>
        <w:tc>
          <w:tcPr>
            <w:tcW w:w="1530" w:type="dxa"/>
            <w:shd w:val="clear" w:color="auto" w:fill="D9D9D9" w:themeFill="background1" w:themeFillShade="D9"/>
            <w:vAlign w:val="center"/>
          </w:tcPr>
          <w:p w14:paraId="64D9603A" w14:textId="77777777" w:rsidR="00FE0CBF" w:rsidRPr="007261F2" w:rsidRDefault="00FE0CBF" w:rsidP="00FE0CBF">
            <w:pPr>
              <w:jc w:val="center"/>
              <w:rPr>
                <w:rFonts w:ascii="Times New Roman" w:hAnsi="Times New Roman" w:cs="Times New Roman"/>
                <w:b/>
                <w:sz w:val="20"/>
                <w:szCs w:val="24"/>
              </w:rPr>
            </w:pPr>
            <w:r w:rsidRPr="007261F2">
              <w:rPr>
                <w:rFonts w:ascii="Times New Roman" w:hAnsi="Times New Roman" w:cs="Times New Roman"/>
                <w:b/>
                <w:sz w:val="20"/>
                <w:szCs w:val="24"/>
              </w:rPr>
              <w:t>6 Month Completion Rate</w:t>
            </w:r>
            <w:r w:rsidR="007261F2" w:rsidRPr="007261F2">
              <w:rPr>
                <w:rFonts w:ascii="Times New Roman" w:hAnsi="Times New Roman" w:cs="Times New Roman"/>
                <w:b/>
                <w:sz w:val="20"/>
                <w:szCs w:val="24"/>
              </w:rPr>
              <w:t xml:space="preserve"> &amp; 95% Confidence Interval</w:t>
            </w:r>
          </w:p>
        </w:tc>
        <w:tc>
          <w:tcPr>
            <w:tcW w:w="1350" w:type="dxa"/>
            <w:shd w:val="clear" w:color="auto" w:fill="D9D9D9" w:themeFill="background1" w:themeFillShade="D9"/>
            <w:vAlign w:val="center"/>
          </w:tcPr>
          <w:p w14:paraId="024D8297" w14:textId="77777777" w:rsidR="00FE0CBF" w:rsidRPr="007261F2" w:rsidRDefault="00FE0CBF" w:rsidP="00FE0CBF">
            <w:pPr>
              <w:jc w:val="center"/>
              <w:rPr>
                <w:rFonts w:ascii="Times New Roman" w:hAnsi="Times New Roman" w:cs="Times New Roman"/>
                <w:b/>
                <w:sz w:val="20"/>
                <w:szCs w:val="24"/>
              </w:rPr>
            </w:pPr>
            <w:r w:rsidRPr="007261F2">
              <w:rPr>
                <w:rFonts w:ascii="Times New Roman" w:hAnsi="Times New Roman" w:cs="Times New Roman"/>
                <w:b/>
                <w:sz w:val="20"/>
                <w:szCs w:val="24"/>
              </w:rPr>
              <w:t># Completing 9 Months of Isoniazid</w:t>
            </w:r>
          </w:p>
        </w:tc>
        <w:tc>
          <w:tcPr>
            <w:tcW w:w="1322" w:type="dxa"/>
            <w:shd w:val="clear" w:color="auto" w:fill="D9D9D9" w:themeFill="background1" w:themeFillShade="D9"/>
            <w:vAlign w:val="center"/>
          </w:tcPr>
          <w:p w14:paraId="72979572" w14:textId="77777777" w:rsidR="00FE0CBF" w:rsidRPr="007261F2" w:rsidRDefault="00FE0CBF" w:rsidP="00FE0CBF">
            <w:pPr>
              <w:jc w:val="center"/>
              <w:rPr>
                <w:rFonts w:ascii="Times New Roman" w:hAnsi="Times New Roman" w:cs="Times New Roman"/>
                <w:b/>
                <w:sz w:val="20"/>
                <w:szCs w:val="24"/>
              </w:rPr>
            </w:pPr>
            <w:r w:rsidRPr="007261F2">
              <w:rPr>
                <w:rFonts w:ascii="Times New Roman" w:hAnsi="Times New Roman" w:cs="Times New Roman"/>
                <w:b/>
                <w:sz w:val="20"/>
                <w:szCs w:val="24"/>
              </w:rPr>
              <w:t>9 Month Completion Rate</w:t>
            </w:r>
            <w:r w:rsidR="007261F2" w:rsidRPr="007261F2">
              <w:rPr>
                <w:rFonts w:ascii="Times New Roman" w:hAnsi="Times New Roman" w:cs="Times New Roman"/>
                <w:b/>
                <w:sz w:val="20"/>
                <w:szCs w:val="24"/>
              </w:rPr>
              <w:t xml:space="preserve"> &amp; 95% Confidence Interval</w:t>
            </w:r>
          </w:p>
        </w:tc>
      </w:tr>
      <w:tr w:rsidR="00FE0CBF" w14:paraId="2AE0BCCF" w14:textId="77777777" w:rsidTr="000C6AEB">
        <w:tc>
          <w:tcPr>
            <w:tcW w:w="2538" w:type="dxa"/>
            <w:vAlign w:val="center"/>
          </w:tcPr>
          <w:p w14:paraId="7974713A" w14:textId="77777777" w:rsidR="00FE0CBF" w:rsidRPr="00FE0CBF" w:rsidRDefault="00FE0CBF" w:rsidP="00712995">
            <w:pPr>
              <w:rPr>
                <w:rFonts w:ascii="Times New Roman" w:hAnsi="Times New Roman" w:cs="Times New Roman"/>
                <w:sz w:val="20"/>
                <w:szCs w:val="24"/>
              </w:rPr>
            </w:pPr>
            <w:r w:rsidRPr="00FE0CBF">
              <w:rPr>
                <w:rFonts w:ascii="Times New Roman" w:hAnsi="Times New Roman" w:cs="Times New Roman"/>
                <w:sz w:val="20"/>
                <w:szCs w:val="24"/>
              </w:rPr>
              <w:t xml:space="preserve">No change to logic. </w:t>
            </w:r>
          </w:p>
        </w:tc>
        <w:tc>
          <w:tcPr>
            <w:tcW w:w="1350" w:type="dxa"/>
            <w:vAlign w:val="center"/>
          </w:tcPr>
          <w:p w14:paraId="0328A6D3" w14:textId="77777777" w:rsidR="00FE0CBF" w:rsidRPr="00FE0CBF" w:rsidRDefault="007261F2" w:rsidP="00FE0CBF">
            <w:pPr>
              <w:jc w:val="center"/>
              <w:rPr>
                <w:rFonts w:ascii="Times New Roman" w:hAnsi="Times New Roman" w:cs="Times New Roman"/>
                <w:sz w:val="20"/>
                <w:szCs w:val="24"/>
              </w:rPr>
            </w:pPr>
            <w:r>
              <w:rPr>
                <w:rFonts w:ascii="Times New Roman" w:hAnsi="Times New Roman" w:cs="Times New Roman"/>
                <w:sz w:val="20"/>
                <w:szCs w:val="24"/>
              </w:rPr>
              <w:t>1,074</w:t>
            </w:r>
          </w:p>
        </w:tc>
        <w:tc>
          <w:tcPr>
            <w:tcW w:w="1260" w:type="dxa"/>
            <w:vAlign w:val="center"/>
          </w:tcPr>
          <w:p w14:paraId="49949DBB" w14:textId="77777777" w:rsidR="00FE0CBF" w:rsidRPr="00FE0CBF" w:rsidRDefault="007261F2" w:rsidP="00FE0CBF">
            <w:pPr>
              <w:jc w:val="center"/>
              <w:rPr>
                <w:rFonts w:ascii="Times New Roman" w:hAnsi="Times New Roman" w:cs="Times New Roman"/>
                <w:sz w:val="20"/>
                <w:szCs w:val="24"/>
              </w:rPr>
            </w:pPr>
            <w:r>
              <w:rPr>
                <w:rFonts w:ascii="Times New Roman" w:hAnsi="Times New Roman" w:cs="Times New Roman"/>
                <w:sz w:val="20"/>
                <w:szCs w:val="24"/>
              </w:rPr>
              <w:t>497</w:t>
            </w:r>
          </w:p>
        </w:tc>
        <w:tc>
          <w:tcPr>
            <w:tcW w:w="1530" w:type="dxa"/>
            <w:vAlign w:val="center"/>
          </w:tcPr>
          <w:p w14:paraId="6573E7CD" w14:textId="77777777" w:rsidR="00FE0CBF" w:rsidRDefault="007261F2" w:rsidP="00FE0CBF">
            <w:pPr>
              <w:jc w:val="center"/>
              <w:rPr>
                <w:rFonts w:ascii="Times New Roman" w:hAnsi="Times New Roman" w:cs="Times New Roman"/>
                <w:sz w:val="20"/>
                <w:szCs w:val="24"/>
              </w:rPr>
            </w:pPr>
            <w:r>
              <w:rPr>
                <w:rFonts w:ascii="Times New Roman" w:hAnsi="Times New Roman" w:cs="Times New Roman"/>
                <w:sz w:val="20"/>
                <w:szCs w:val="24"/>
              </w:rPr>
              <w:t>46.3%</w:t>
            </w:r>
          </w:p>
          <w:p w14:paraId="2A907E4A" w14:textId="77777777" w:rsidR="007261F2" w:rsidRPr="00FE0CBF" w:rsidRDefault="007261F2" w:rsidP="007261F2">
            <w:pPr>
              <w:jc w:val="center"/>
              <w:rPr>
                <w:rFonts w:ascii="Times New Roman" w:hAnsi="Times New Roman" w:cs="Times New Roman"/>
                <w:sz w:val="20"/>
                <w:szCs w:val="24"/>
              </w:rPr>
            </w:pPr>
            <w:r>
              <w:rPr>
                <w:rFonts w:ascii="Times New Roman" w:hAnsi="Times New Roman" w:cs="Times New Roman"/>
                <w:sz w:val="20"/>
                <w:szCs w:val="24"/>
              </w:rPr>
              <w:t>(43.3, 49.3)</w:t>
            </w:r>
          </w:p>
        </w:tc>
        <w:tc>
          <w:tcPr>
            <w:tcW w:w="1350" w:type="dxa"/>
            <w:vAlign w:val="center"/>
          </w:tcPr>
          <w:p w14:paraId="0449960F" w14:textId="77777777" w:rsidR="00FE0CBF" w:rsidRPr="00FE0CBF" w:rsidRDefault="000C6AEB" w:rsidP="00FE0CBF">
            <w:pPr>
              <w:jc w:val="center"/>
              <w:rPr>
                <w:rFonts w:ascii="Times New Roman" w:hAnsi="Times New Roman" w:cs="Times New Roman"/>
                <w:sz w:val="20"/>
                <w:szCs w:val="24"/>
              </w:rPr>
            </w:pPr>
            <w:r>
              <w:rPr>
                <w:rFonts w:ascii="Times New Roman" w:hAnsi="Times New Roman" w:cs="Times New Roman"/>
                <w:sz w:val="20"/>
                <w:szCs w:val="24"/>
              </w:rPr>
              <w:t>243</w:t>
            </w:r>
          </w:p>
        </w:tc>
        <w:tc>
          <w:tcPr>
            <w:tcW w:w="1322" w:type="dxa"/>
            <w:vAlign w:val="center"/>
          </w:tcPr>
          <w:p w14:paraId="160E6145" w14:textId="77777777" w:rsidR="00FE0CBF" w:rsidRDefault="000C6AEB" w:rsidP="00FE0CBF">
            <w:pPr>
              <w:jc w:val="center"/>
              <w:rPr>
                <w:rFonts w:ascii="Times New Roman" w:hAnsi="Times New Roman" w:cs="Times New Roman"/>
                <w:sz w:val="20"/>
                <w:szCs w:val="24"/>
              </w:rPr>
            </w:pPr>
            <w:r>
              <w:rPr>
                <w:rFonts w:ascii="Times New Roman" w:hAnsi="Times New Roman" w:cs="Times New Roman"/>
                <w:sz w:val="20"/>
                <w:szCs w:val="24"/>
              </w:rPr>
              <w:t>22.6%</w:t>
            </w:r>
          </w:p>
          <w:p w14:paraId="40B640CD" w14:textId="77777777" w:rsidR="000C6AEB" w:rsidRPr="00FE0CBF" w:rsidRDefault="000C6AEB" w:rsidP="00FE0CBF">
            <w:pPr>
              <w:jc w:val="center"/>
              <w:rPr>
                <w:rFonts w:ascii="Times New Roman" w:hAnsi="Times New Roman" w:cs="Times New Roman"/>
                <w:sz w:val="20"/>
                <w:szCs w:val="24"/>
              </w:rPr>
            </w:pPr>
            <w:r>
              <w:rPr>
                <w:rFonts w:ascii="Times New Roman" w:hAnsi="Times New Roman" w:cs="Times New Roman"/>
                <w:sz w:val="20"/>
                <w:szCs w:val="24"/>
              </w:rPr>
              <w:t>(20.2, 25.2)</w:t>
            </w:r>
          </w:p>
        </w:tc>
      </w:tr>
      <w:tr w:rsidR="00FE0CBF" w14:paraId="7CCA494B" w14:textId="77777777" w:rsidTr="000C6AEB">
        <w:tc>
          <w:tcPr>
            <w:tcW w:w="2538" w:type="dxa"/>
            <w:vAlign w:val="center"/>
          </w:tcPr>
          <w:p w14:paraId="0AB81DDB" w14:textId="77777777" w:rsidR="00FE0CBF" w:rsidRPr="00FE0CBF" w:rsidRDefault="00FE0CBF" w:rsidP="00712995">
            <w:pPr>
              <w:rPr>
                <w:rFonts w:ascii="Times New Roman" w:hAnsi="Times New Roman" w:cs="Times New Roman"/>
                <w:sz w:val="20"/>
                <w:szCs w:val="24"/>
              </w:rPr>
            </w:pPr>
            <w:r w:rsidRPr="00FE0CBF">
              <w:rPr>
                <w:rFonts w:ascii="Times New Roman" w:hAnsi="Times New Roman" w:cs="Times New Roman"/>
                <w:sz w:val="20"/>
                <w:szCs w:val="24"/>
              </w:rPr>
              <w:t>Group A</w:t>
            </w:r>
            <w:r w:rsidR="00712995">
              <w:rPr>
                <w:rFonts w:ascii="Times New Roman" w:hAnsi="Times New Roman" w:cs="Times New Roman"/>
                <w:sz w:val="20"/>
                <w:szCs w:val="24"/>
              </w:rPr>
              <w:t>1*</w:t>
            </w:r>
            <w:r w:rsidRPr="00FE0CBF">
              <w:rPr>
                <w:rFonts w:ascii="Times New Roman" w:hAnsi="Times New Roman" w:cs="Times New Roman"/>
                <w:sz w:val="20"/>
                <w:szCs w:val="24"/>
              </w:rPr>
              <w:t xml:space="preserve"> not excluded</w:t>
            </w:r>
          </w:p>
        </w:tc>
        <w:tc>
          <w:tcPr>
            <w:tcW w:w="1350" w:type="dxa"/>
            <w:vAlign w:val="center"/>
          </w:tcPr>
          <w:p w14:paraId="545E0711" w14:textId="77777777" w:rsidR="00FE0CBF" w:rsidRPr="00FE0CBF" w:rsidRDefault="007261F2" w:rsidP="00FE0CBF">
            <w:pPr>
              <w:jc w:val="center"/>
              <w:rPr>
                <w:rFonts w:ascii="Times New Roman" w:hAnsi="Times New Roman" w:cs="Times New Roman"/>
                <w:sz w:val="20"/>
                <w:szCs w:val="24"/>
              </w:rPr>
            </w:pPr>
            <w:r>
              <w:rPr>
                <w:rFonts w:ascii="Times New Roman" w:hAnsi="Times New Roman" w:cs="Times New Roman"/>
                <w:sz w:val="20"/>
                <w:szCs w:val="24"/>
              </w:rPr>
              <w:t>1,085</w:t>
            </w:r>
          </w:p>
        </w:tc>
        <w:tc>
          <w:tcPr>
            <w:tcW w:w="1260" w:type="dxa"/>
            <w:vAlign w:val="center"/>
          </w:tcPr>
          <w:p w14:paraId="3641ECF8" w14:textId="77777777" w:rsidR="00FE0CBF" w:rsidRPr="00FE0CBF" w:rsidRDefault="007261F2" w:rsidP="00FE0CBF">
            <w:pPr>
              <w:jc w:val="center"/>
              <w:rPr>
                <w:rFonts w:ascii="Times New Roman" w:hAnsi="Times New Roman" w:cs="Times New Roman"/>
                <w:sz w:val="20"/>
                <w:szCs w:val="24"/>
              </w:rPr>
            </w:pPr>
            <w:r>
              <w:rPr>
                <w:rFonts w:ascii="Times New Roman" w:hAnsi="Times New Roman" w:cs="Times New Roman"/>
                <w:sz w:val="20"/>
                <w:szCs w:val="24"/>
              </w:rPr>
              <w:t>497</w:t>
            </w:r>
          </w:p>
        </w:tc>
        <w:tc>
          <w:tcPr>
            <w:tcW w:w="1530" w:type="dxa"/>
            <w:vAlign w:val="center"/>
          </w:tcPr>
          <w:p w14:paraId="1A2CBF1C" w14:textId="77777777" w:rsidR="00FE0CBF" w:rsidRDefault="007261F2" w:rsidP="00FE0CBF">
            <w:pPr>
              <w:jc w:val="center"/>
              <w:rPr>
                <w:rFonts w:ascii="Times New Roman" w:hAnsi="Times New Roman" w:cs="Times New Roman"/>
                <w:sz w:val="20"/>
                <w:szCs w:val="24"/>
              </w:rPr>
            </w:pPr>
            <w:r>
              <w:rPr>
                <w:rFonts w:ascii="Times New Roman" w:hAnsi="Times New Roman" w:cs="Times New Roman"/>
                <w:sz w:val="20"/>
                <w:szCs w:val="24"/>
              </w:rPr>
              <w:t>45.8%</w:t>
            </w:r>
          </w:p>
          <w:p w14:paraId="41AC66EB" w14:textId="77777777" w:rsidR="007261F2" w:rsidRPr="00FE0CBF" w:rsidRDefault="007261F2" w:rsidP="00FE0CBF">
            <w:pPr>
              <w:jc w:val="center"/>
              <w:rPr>
                <w:rFonts w:ascii="Times New Roman" w:hAnsi="Times New Roman" w:cs="Times New Roman"/>
                <w:sz w:val="20"/>
                <w:szCs w:val="24"/>
              </w:rPr>
            </w:pPr>
            <w:r>
              <w:rPr>
                <w:rFonts w:ascii="Times New Roman" w:hAnsi="Times New Roman" w:cs="Times New Roman"/>
                <w:sz w:val="20"/>
                <w:szCs w:val="24"/>
              </w:rPr>
              <w:t>(42.8, 48.8)</w:t>
            </w:r>
          </w:p>
        </w:tc>
        <w:tc>
          <w:tcPr>
            <w:tcW w:w="1350" w:type="dxa"/>
            <w:vAlign w:val="center"/>
          </w:tcPr>
          <w:p w14:paraId="0DF525BB" w14:textId="77777777" w:rsidR="00FE0CBF" w:rsidRPr="00FE0CBF" w:rsidRDefault="000C6AEB" w:rsidP="00FE0CBF">
            <w:pPr>
              <w:jc w:val="center"/>
              <w:rPr>
                <w:rFonts w:ascii="Times New Roman" w:hAnsi="Times New Roman" w:cs="Times New Roman"/>
                <w:sz w:val="20"/>
                <w:szCs w:val="24"/>
              </w:rPr>
            </w:pPr>
            <w:r>
              <w:rPr>
                <w:rFonts w:ascii="Times New Roman" w:hAnsi="Times New Roman" w:cs="Times New Roman"/>
                <w:sz w:val="20"/>
                <w:szCs w:val="24"/>
              </w:rPr>
              <w:t>243</w:t>
            </w:r>
          </w:p>
        </w:tc>
        <w:tc>
          <w:tcPr>
            <w:tcW w:w="1322" w:type="dxa"/>
            <w:vAlign w:val="center"/>
          </w:tcPr>
          <w:p w14:paraId="10B5410A" w14:textId="77777777" w:rsidR="00FE0CBF" w:rsidRDefault="000C6AEB" w:rsidP="00FE0CBF">
            <w:pPr>
              <w:jc w:val="center"/>
              <w:rPr>
                <w:rFonts w:ascii="Times New Roman" w:hAnsi="Times New Roman" w:cs="Times New Roman"/>
                <w:sz w:val="20"/>
                <w:szCs w:val="24"/>
              </w:rPr>
            </w:pPr>
            <w:r>
              <w:rPr>
                <w:rFonts w:ascii="Times New Roman" w:hAnsi="Times New Roman" w:cs="Times New Roman"/>
                <w:sz w:val="20"/>
                <w:szCs w:val="24"/>
              </w:rPr>
              <w:t>22.4%</w:t>
            </w:r>
          </w:p>
          <w:p w14:paraId="148CE8C3" w14:textId="77777777" w:rsidR="000C6AEB" w:rsidRPr="00FE0CBF" w:rsidRDefault="000C6AEB" w:rsidP="00FE0CBF">
            <w:pPr>
              <w:jc w:val="center"/>
              <w:rPr>
                <w:rFonts w:ascii="Times New Roman" w:hAnsi="Times New Roman" w:cs="Times New Roman"/>
                <w:sz w:val="20"/>
                <w:szCs w:val="24"/>
              </w:rPr>
            </w:pPr>
            <w:r>
              <w:rPr>
                <w:rFonts w:ascii="Times New Roman" w:hAnsi="Times New Roman" w:cs="Times New Roman"/>
                <w:sz w:val="20"/>
                <w:szCs w:val="24"/>
              </w:rPr>
              <w:t>(20.0, 25.0)</w:t>
            </w:r>
          </w:p>
        </w:tc>
      </w:tr>
      <w:tr w:rsidR="00712995" w14:paraId="7AC0B757" w14:textId="77777777" w:rsidTr="000C6AEB">
        <w:tc>
          <w:tcPr>
            <w:tcW w:w="2538" w:type="dxa"/>
            <w:vAlign w:val="center"/>
          </w:tcPr>
          <w:p w14:paraId="776AB4E2" w14:textId="77777777" w:rsidR="00712995" w:rsidRPr="00FE0CBF" w:rsidRDefault="00712995" w:rsidP="00712995">
            <w:pPr>
              <w:rPr>
                <w:rFonts w:ascii="Times New Roman" w:hAnsi="Times New Roman" w:cs="Times New Roman"/>
                <w:sz w:val="20"/>
                <w:szCs w:val="24"/>
              </w:rPr>
            </w:pPr>
            <w:r w:rsidRPr="00FE0CBF">
              <w:rPr>
                <w:rFonts w:ascii="Times New Roman" w:hAnsi="Times New Roman" w:cs="Times New Roman"/>
                <w:sz w:val="20"/>
                <w:szCs w:val="24"/>
              </w:rPr>
              <w:t>Group A</w:t>
            </w:r>
            <w:r>
              <w:rPr>
                <w:rFonts w:ascii="Times New Roman" w:hAnsi="Times New Roman" w:cs="Times New Roman"/>
                <w:sz w:val="20"/>
                <w:szCs w:val="24"/>
              </w:rPr>
              <w:t>2**</w:t>
            </w:r>
            <w:r w:rsidR="007261F2">
              <w:rPr>
                <w:rFonts w:ascii="Times New Roman" w:hAnsi="Times New Roman" w:cs="Times New Roman"/>
                <w:sz w:val="20"/>
                <w:szCs w:val="24"/>
              </w:rPr>
              <w:t xml:space="preserve"> not excluded</w:t>
            </w:r>
            <w:r w:rsidRPr="00FE0CBF">
              <w:rPr>
                <w:rFonts w:ascii="Times New Roman" w:hAnsi="Times New Roman" w:cs="Times New Roman"/>
                <w:sz w:val="20"/>
                <w:szCs w:val="24"/>
              </w:rPr>
              <w:t xml:space="preserve"> </w:t>
            </w:r>
          </w:p>
        </w:tc>
        <w:tc>
          <w:tcPr>
            <w:tcW w:w="1350" w:type="dxa"/>
            <w:vAlign w:val="center"/>
          </w:tcPr>
          <w:p w14:paraId="53AA3F02" w14:textId="77777777" w:rsidR="00712995" w:rsidRPr="00FE0CBF" w:rsidRDefault="007261F2" w:rsidP="00FE0CBF">
            <w:pPr>
              <w:jc w:val="center"/>
              <w:rPr>
                <w:rFonts w:ascii="Times New Roman" w:hAnsi="Times New Roman" w:cs="Times New Roman"/>
                <w:sz w:val="20"/>
                <w:szCs w:val="24"/>
              </w:rPr>
            </w:pPr>
            <w:r>
              <w:rPr>
                <w:rFonts w:ascii="Times New Roman" w:hAnsi="Times New Roman" w:cs="Times New Roman"/>
                <w:sz w:val="20"/>
                <w:szCs w:val="24"/>
              </w:rPr>
              <w:t>1,087</w:t>
            </w:r>
          </w:p>
        </w:tc>
        <w:tc>
          <w:tcPr>
            <w:tcW w:w="1260" w:type="dxa"/>
            <w:vAlign w:val="center"/>
          </w:tcPr>
          <w:p w14:paraId="454001C6" w14:textId="77777777" w:rsidR="00712995" w:rsidRPr="00FE0CBF" w:rsidRDefault="007261F2" w:rsidP="00FE0CBF">
            <w:pPr>
              <w:jc w:val="center"/>
              <w:rPr>
                <w:rFonts w:ascii="Times New Roman" w:hAnsi="Times New Roman" w:cs="Times New Roman"/>
                <w:sz w:val="20"/>
                <w:szCs w:val="24"/>
              </w:rPr>
            </w:pPr>
            <w:r>
              <w:rPr>
                <w:rFonts w:ascii="Times New Roman" w:hAnsi="Times New Roman" w:cs="Times New Roman"/>
                <w:sz w:val="20"/>
                <w:szCs w:val="24"/>
              </w:rPr>
              <w:t>499</w:t>
            </w:r>
          </w:p>
        </w:tc>
        <w:tc>
          <w:tcPr>
            <w:tcW w:w="1530" w:type="dxa"/>
            <w:vAlign w:val="center"/>
          </w:tcPr>
          <w:p w14:paraId="4390DECC" w14:textId="77777777" w:rsidR="00712995" w:rsidRDefault="007261F2" w:rsidP="00FE0CBF">
            <w:pPr>
              <w:jc w:val="center"/>
              <w:rPr>
                <w:rFonts w:ascii="Times New Roman" w:hAnsi="Times New Roman" w:cs="Times New Roman"/>
                <w:sz w:val="20"/>
                <w:szCs w:val="24"/>
              </w:rPr>
            </w:pPr>
            <w:r>
              <w:rPr>
                <w:rFonts w:ascii="Times New Roman" w:hAnsi="Times New Roman" w:cs="Times New Roman"/>
                <w:sz w:val="20"/>
                <w:szCs w:val="24"/>
              </w:rPr>
              <w:t>45.9%</w:t>
            </w:r>
          </w:p>
          <w:p w14:paraId="27C01818" w14:textId="77777777" w:rsidR="007261F2" w:rsidRPr="00FE0CBF" w:rsidRDefault="007261F2" w:rsidP="00FE0CBF">
            <w:pPr>
              <w:jc w:val="center"/>
              <w:rPr>
                <w:rFonts w:ascii="Times New Roman" w:hAnsi="Times New Roman" w:cs="Times New Roman"/>
                <w:sz w:val="20"/>
                <w:szCs w:val="24"/>
              </w:rPr>
            </w:pPr>
            <w:r>
              <w:rPr>
                <w:rFonts w:ascii="Times New Roman" w:hAnsi="Times New Roman" w:cs="Times New Roman"/>
                <w:sz w:val="20"/>
                <w:szCs w:val="24"/>
              </w:rPr>
              <w:t>(43.0, 48.9)</w:t>
            </w:r>
          </w:p>
        </w:tc>
        <w:tc>
          <w:tcPr>
            <w:tcW w:w="1350" w:type="dxa"/>
            <w:vAlign w:val="center"/>
          </w:tcPr>
          <w:p w14:paraId="0F691E59" w14:textId="77777777" w:rsidR="00712995" w:rsidRPr="00FE0CBF" w:rsidRDefault="000C6AEB" w:rsidP="00FE0CBF">
            <w:pPr>
              <w:jc w:val="center"/>
              <w:rPr>
                <w:rFonts w:ascii="Times New Roman" w:hAnsi="Times New Roman" w:cs="Times New Roman"/>
                <w:sz w:val="20"/>
                <w:szCs w:val="24"/>
              </w:rPr>
            </w:pPr>
            <w:r>
              <w:rPr>
                <w:rFonts w:ascii="Times New Roman" w:hAnsi="Times New Roman" w:cs="Times New Roman"/>
                <w:sz w:val="20"/>
                <w:szCs w:val="24"/>
              </w:rPr>
              <w:t>243</w:t>
            </w:r>
          </w:p>
        </w:tc>
        <w:tc>
          <w:tcPr>
            <w:tcW w:w="1322" w:type="dxa"/>
            <w:vAlign w:val="center"/>
          </w:tcPr>
          <w:p w14:paraId="4EBDF6B3" w14:textId="77777777" w:rsidR="00712995" w:rsidRDefault="000C6AEB" w:rsidP="00FE0CBF">
            <w:pPr>
              <w:jc w:val="center"/>
              <w:rPr>
                <w:rFonts w:ascii="Times New Roman" w:hAnsi="Times New Roman" w:cs="Times New Roman"/>
                <w:sz w:val="20"/>
                <w:szCs w:val="24"/>
              </w:rPr>
            </w:pPr>
            <w:r>
              <w:rPr>
                <w:rFonts w:ascii="Times New Roman" w:hAnsi="Times New Roman" w:cs="Times New Roman"/>
                <w:sz w:val="20"/>
                <w:szCs w:val="24"/>
              </w:rPr>
              <w:t>22.3%</w:t>
            </w:r>
          </w:p>
          <w:p w14:paraId="68AE1DF9" w14:textId="77777777" w:rsidR="000C6AEB" w:rsidRPr="00FE0CBF" w:rsidRDefault="000C6AEB" w:rsidP="00FE0CBF">
            <w:pPr>
              <w:jc w:val="center"/>
              <w:rPr>
                <w:rFonts w:ascii="Times New Roman" w:hAnsi="Times New Roman" w:cs="Times New Roman"/>
                <w:sz w:val="20"/>
                <w:szCs w:val="24"/>
              </w:rPr>
            </w:pPr>
            <w:r>
              <w:rPr>
                <w:rFonts w:ascii="Times New Roman" w:hAnsi="Times New Roman" w:cs="Times New Roman"/>
                <w:sz w:val="20"/>
                <w:szCs w:val="24"/>
              </w:rPr>
              <w:t>(20.0, 24.9)</w:t>
            </w:r>
          </w:p>
        </w:tc>
      </w:tr>
      <w:tr w:rsidR="00FE0CBF" w14:paraId="5D844A0F" w14:textId="77777777" w:rsidTr="000C6AEB">
        <w:tc>
          <w:tcPr>
            <w:tcW w:w="2538" w:type="dxa"/>
            <w:vAlign w:val="center"/>
          </w:tcPr>
          <w:p w14:paraId="4E46754C" w14:textId="77777777" w:rsidR="00FE0CBF" w:rsidRPr="00FE0CBF" w:rsidRDefault="00FE0CBF" w:rsidP="00712995">
            <w:pPr>
              <w:rPr>
                <w:rFonts w:ascii="Times New Roman" w:hAnsi="Times New Roman" w:cs="Times New Roman"/>
                <w:sz w:val="20"/>
                <w:szCs w:val="24"/>
              </w:rPr>
            </w:pPr>
            <w:r w:rsidRPr="00FE0CBF">
              <w:rPr>
                <w:rFonts w:ascii="Times New Roman" w:hAnsi="Times New Roman" w:cs="Times New Roman"/>
                <w:sz w:val="20"/>
                <w:szCs w:val="24"/>
              </w:rPr>
              <w:t>Group B</w:t>
            </w:r>
            <w:r w:rsidR="00712995">
              <w:rPr>
                <w:rFonts w:ascii="Times New Roman" w:hAnsi="Times New Roman" w:cs="Times New Roman"/>
                <w:sz w:val="20"/>
                <w:szCs w:val="24"/>
              </w:rPr>
              <w:t>1†</w:t>
            </w:r>
            <w:r w:rsidRPr="00FE0CBF">
              <w:rPr>
                <w:rFonts w:ascii="Times New Roman" w:hAnsi="Times New Roman" w:cs="Times New Roman"/>
                <w:sz w:val="20"/>
                <w:szCs w:val="24"/>
              </w:rPr>
              <w:t xml:space="preserve"> not excluded</w:t>
            </w:r>
          </w:p>
        </w:tc>
        <w:tc>
          <w:tcPr>
            <w:tcW w:w="1350" w:type="dxa"/>
            <w:vAlign w:val="center"/>
          </w:tcPr>
          <w:p w14:paraId="000EC5A5" w14:textId="77777777" w:rsidR="00FE0CBF" w:rsidRPr="00FE0CBF" w:rsidRDefault="007261F2" w:rsidP="00FE0CBF">
            <w:pPr>
              <w:jc w:val="center"/>
              <w:rPr>
                <w:rFonts w:ascii="Times New Roman" w:hAnsi="Times New Roman" w:cs="Times New Roman"/>
                <w:sz w:val="20"/>
                <w:szCs w:val="24"/>
              </w:rPr>
            </w:pPr>
            <w:r>
              <w:rPr>
                <w:rFonts w:ascii="Times New Roman" w:hAnsi="Times New Roman" w:cs="Times New Roman"/>
                <w:sz w:val="20"/>
                <w:szCs w:val="24"/>
              </w:rPr>
              <w:t>1,077</w:t>
            </w:r>
          </w:p>
        </w:tc>
        <w:tc>
          <w:tcPr>
            <w:tcW w:w="1260" w:type="dxa"/>
            <w:vAlign w:val="center"/>
          </w:tcPr>
          <w:p w14:paraId="51C10708" w14:textId="77777777" w:rsidR="00FE0CBF" w:rsidRPr="00FE0CBF" w:rsidRDefault="007261F2" w:rsidP="00FE0CBF">
            <w:pPr>
              <w:jc w:val="center"/>
              <w:rPr>
                <w:rFonts w:ascii="Times New Roman" w:hAnsi="Times New Roman" w:cs="Times New Roman"/>
                <w:sz w:val="20"/>
                <w:szCs w:val="24"/>
              </w:rPr>
            </w:pPr>
            <w:r>
              <w:rPr>
                <w:rFonts w:ascii="Times New Roman" w:hAnsi="Times New Roman" w:cs="Times New Roman"/>
                <w:sz w:val="20"/>
                <w:szCs w:val="24"/>
              </w:rPr>
              <w:t>500</w:t>
            </w:r>
          </w:p>
        </w:tc>
        <w:tc>
          <w:tcPr>
            <w:tcW w:w="1530" w:type="dxa"/>
            <w:vAlign w:val="center"/>
          </w:tcPr>
          <w:p w14:paraId="7537B1AB" w14:textId="77777777" w:rsidR="00FE0CBF" w:rsidRDefault="007261F2" w:rsidP="00FE0CBF">
            <w:pPr>
              <w:jc w:val="center"/>
              <w:rPr>
                <w:rFonts w:ascii="Times New Roman" w:hAnsi="Times New Roman" w:cs="Times New Roman"/>
                <w:sz w:val="20"/>
                <w:szCs w:val="24"/>
              </w:rPr>
            </w:pPr>
            <w:r>
              <w:rPr>
                <w:rFonts w:ascii="Times New Roman" w:hAnsi="Times New Roman" w:cs="Times New Roman"/>
                <w:sz w:val="20"/>
                <w:szCs w:val="24"/>
              </w:rPr>
              <w:t>46.4%</w:t>
            </w:r>
          </w:p>
          <w:p w14:paraId="74A7ECF2" w14:textId="77777777" w:rsidR="007261F2" w:rsidRPr="00FE0CBF" w:rsidRDefault="007261F2" w:rsidP="00FE0CBF">
            <w:pPr>
              <w:jc w:val="center"/>
              <w:rPr>
                <w:rFonts w:ascii="Times New Roman" w:hAnsi="Times New Roman" w:cs="Times New Roman"/>
                <w:sz w:val="20"/>
                <w:szCs w:val="24"/>
              </w:rPr>
            </w:pPr>
            <w:r>
              <w:rPr>
                <w:rFonts w:ascii="Times New Roman" w:hAnsi="Times New Roman" w:cs="Times New Roman"/>
                <w:sz w:val="20"/>
                <w:szCs w:val="24"/>
              </w:rPr>
              <w:t>(43.5, 49.4)</w:t>
            </w:r>
          </w:p>
        </w:tc>
        <w:tc>
          <w:tcPr>
            <w:tcW w:w="1350" w:type="dxa"/>
            <w:vAlign w:val="center"/>
          </w:tcPr>
          <w:p w14:paraId="6939FB9E" w14:textId="77777777" w:rsidR="00FE0CBF" w:rsidRPr="00FE0CBF" w:rsidRDefault="000C6AEB" w:rsidP="00FE0CBF">
            <w:pPr>
              <w:jc w:val="center"/>
              <w:rPr>
                <w:rFonts w:ascii="Times New Roman" w:hAnsi="Times New Roman" w:cs="Times New Roman"/>
                <w:sz w:val="20"/>
                <w:szCs w:val="24"/>
              </w:rPr>
            </w:pPr>
            <w:r>
              <w:rPr>
                <w:rFonts w:ascii="Times New Roman" w:hAnsi="Times New Roman" w:cs="Times New Roman"/>
                <w:sz w:val="20"/>
                <w:szCs w:val="24"/>
              </w:rPr>
              <w:t>244</w:t>
            </w:r>
          </w:p>
        </w:tc>
        <w:tc>
          <w:tcPr>
            <w:tcW w:w="1322" w:type="dxa"/>
            <w:vAlign w:val="center"/>
          </w:tcPr>
          <w:p w14:paraId="7076D867" w14:textId="77777777" w:rsidR="00FE0CBF" w:rsidRDefault="000C6AEB" w:rsidP="00FE0CBF">
            <w:pPr>
              <w:jc w:val="center"/>
              <w:rPr>
                <w:rFonts w:ascii="Times New Roman" w:hAnsi="Times New Roman" w:cs="Times New Roman"/>
                <w:sz w:val="20"/>
                <w:szCs w:val="24"/>
              </w:rPr>
            </w:pPr>
            <w:r>
              <w:rPr>
                <w:rFonts w:ascii="Times New Roman" w:hAnsi="Times New Roman" w:cs="Times New Roman"/>
                <w:sz w:val="20"/>
                <w:szCs w:val="24"/>
              </w:rPr>
              <w:t>22.7%</w:t>
            </w:r>
          </w:p>
          <w:p w14:paraId="1A58D8DD" w14:textId="77777777" w:rsidR="000C6AEB" w:rsidRPr="00FE0CBF" w:rsidRDefault="000C6AEB" w:rsidP="00FE0CBF">
            <w:pPr>
              <w:jc w:val="center"/>
              <w:rPr>
                <w:rFonts w:ascii="Times New Roman" w:hAnsi="Times New Roman" w:cs="Times New Roman"/>
                <w:sz w:val="20"/>
                <w:szCs w:val="24"/>
              </w:rPr>
            </w:pPr>
            <w:r>
              <w:rPr>
                <w:rFonts w:ascii="Times New Roman" w:hAnsi="Times New Roman" w:cs="Times New Roman"/>
                <w:sz w:val="20"/>
                <w:szCs w:val="24"/>
              </w:rPr>
              <w:t>(20.2, 25.3)</w:t>
            </w:r>
          </w:p>
        </w:tc>
      </w:tr>
      <w:tr w:rsidR="00712995" w14:paraId="54CE79B9" w14:textId="77777777" w:rsidTr="000C6AEB">
        <w:tc>
          <w:tcPr>
            <w:tcW w:w="2538" w:type="dxa"/>
            <w:vAlign w:val="center"/>
          </w:tcPr>
          <w:p w14:paraId="371A0EFF" w14:textId="77777777" w:rsidR="00712995" w:rsidRPr="00FE0CBF" w:rsidRDefault="00712995" w:rsidP="00712995">
            <w:pPr>
              <w:rPr>
                <w:rFonts w:ascii="Times New Roman" w:hAnsi="Times New Roman" w:cs="Times New Roman"/>
                <w:sz w:val="20"/>
                <w:szCs w:val="24"/>
              </w:rPr>
            </w:pPr>
            <w:r w:rsidRPr="00FE0CBF">
              <w:rPr>
                <w:rFonts w:ascii="Times New Roman" w:hAnsi="Times New Roman" w:cs="Times New Roman"/>
                <w:sz w:val="20"/>
                <w:szCs w:val="24"/>
              </w:rPr>
              <w:t>Group B</w:t>
            </w:r>
            <w:r>
              <w:rPr>
                <w:rFonts w:ascii="Times New Roman" w:hAnsi="Times New Roman" w:cs="Times New Roman"/>
                <w:sz w:val="20"/>
                <w:szCs w:val="24"/>
              </w:rPr>
              <w:t>2‡</w:t>
            </w:r>
            <w:r w:rsidRPr="00FE0CBF">
              <w:rPr>
                <w:rFonts w:ascii="Times New Roman" w:hAnsi="Times New Roman" w:cs="Times New Roman"/>
                <w:sz w:val="20"/>
                <w:szCs w:val="24"/>
              </w:rPr>
              <w:t xml:space="preserve"> not excluded</w:t>
            </w:r>
          </w:p>
        </w:tc>
        <w:tc>
          <w:tcPr>
            <w:tcW w:w="1350" w:type="dxa"/>
            <w:vAlign w:val="center"/>
          </w:tcPr>
          <w:p w14:paraId="7DBE158A" w14:textId="77777777" w:rsidR="00712995" w:rsidRPr="00FE0CBF" w:rsidRDefault="007261F2" w:rsidP="00712995">
            <w:pPr>
              <w:jc w:val="center"/>
              <w:rPr>
                <w:rFonts w:ascii="Times New Roman" w:hAnsi="Times New Roman" w:cs="Times New Roman"/>
                <w:sz w:val="20"/>
                <w:szCs w:val="24"/>
              </w:rPr>
            </w:pPr>
            <w:r>
              <w:rPr>
                <w:rFonts w:ascii="Times New Roman" w:hAnsi="Times New Roman" w:cs="Times New Roman"/>
                <w:sz w:val="20"/>
                <w:szCs w:val="24"/>
              </w:rPr>
              <w:t>1,075</w:t>
            </w:r>
          </w:p>
        </w:tc>
        <w:tc>
          <w:tcPr>
            <w:tcW w:w="1260" w:type="dxa"/>
            <w:vAlign w:val="center"/>
          </w:tcPr>
          <w:p w14:paraId="004D4539" w14:textId="77777777" w:rsidR="00712995" w:rsidRPr="00FE0CBF" w:rsidRDefault="007261F2" w:rsidP="00712995">
            <w:pPr>
              <w:jc w:val="center"/>
              <w:rPr>
                <w:rFonts w:ascii="Times New Roman" w:hAnsi="Times New Roman" w:cs="Times New Roman"/>
                <w:sz w:val="20"/>
                <w:szCs w:val="24"/>
              </w:rPr>
            </w:pPr>
            <w:r>
              <w:rPr>
                <w:rFonts w:ascii="Times New Roman" w:hAnsi="Times New Roman" w:cs="Times New Roman"/>
                <w:sz w:val="20"/>
                <w:szCs w:val="24"/>
              </w:rPr>
              <w:t>498</w:t>
            </w:r>
          </w:p>
        </w:tc>
        <w:tc>
          <w:tcPr>
            <w:tcW w:w="1530" w:type="dxa"/>
            <w:vAlign w:val="center"/>
          </w:tcPr>
          <w:p w14:paraId="2F655960" w14:textId="77777777" w:rsidR="00712995" w:rsidRDefault="007261F2" w:rsidP="00712995">
            <w:pPr>
              <w:jc w:val="center"/>
              <w:rPr>
                <w:rFonts w:ascii="Times New Roman" w:hAnsi="Times New Roman" w:cs="Times New Roman"/>
                <w:sz w:val="20"/>
                <w:szCs w:val="24"/>
              </w:rPr>
            </w:pPr>
            <w:r>
              <w:rPr>
                <w:rFonts w:ascii="Times New Roman" w:hAnsi="Times New Roman" w:cs="Times New Roman"/>
                <w:sz w:val="20"/>
                <w:szCs w:val="24"/>
              </w:rPr>
              <w:t>46.3%</w:t>
            </w:r>
          </w:p>
          <w:p w14:paraId="5E227E28" w14:textId="77777777" w:rsidR="007261F2" w:rsidRPr="00FE0CBF" w:rsidRDefault="007261F2" w:rsidP="00712995">
            <w:pPr>
              <w:jc w:val="center"/>
              <w:rPr>
                <w:rFonts w:ascii="Times New Roman" w:hAnsi="Times New Roman" w:cs="Times New Roman"/>
                <w:sz w:val="20"/>
                <w:szCs w:val="24"/>
              </w:rPr>
            </w:pPr>
            <w:r>
              <w:rPr>
                <w:rFonts w:ascii="Times New Roman" w:hAnsi="Times New Roman" w:cs="Times New Roman"/>
                <w:sz w:val="20"/>
                <w:szCs w:val="24"/>
              </w:rPr>
              <w:t>(43.4, 49.3)</w:t>
            </w:r>
          </w:p>
        </w:tc>
        <w:tc>
          <w:tcPr>
            <w:tcW w:w="1350" w:type="dxa"/>
            <w:vAlign w:val="center"/>
          </w:tcPr>
          <w:p w14:paraId="6C4EBB4A" w14:textId="77777777" w:rsidR="00712995" w:rsidRPr="00FE0CBF" w:rsidRDefault="000C6AEB" w:rsidP="00712995">
            <w:pPr>
              <w:jc w:val="center"/>
              <w:rPr>
                <w:rFonts w:ascii="Times New Roman" w:hAnsi="Times New Roman" w:cs="Times New Roman"/>
                <w:sz w:val="20"/>
                <w:szCs w:val="24"/>
              </w:rPr>
            </w:pPr>
            <w:r>
              <w:rPr>
                <w:rFonts w:ascii="Times New Roman" w:hAnsi="Times New Roman" w:cs="Times New Roman"/>
                <w:sz w:val="20"/>
                <w:szCs w:val="24"/>
              </w:rPr>
              <w:t>244</w:t>
            </w:r>
          </w:p>
        </w:tc>
        <w:tc>
          <w:tcPr>
            <w:tcW w:w="1322" w:type="dxa"/>
            <w:vAlign w:val="center"/>
          </w:tcPr>
          <w:p w14:paraId="23740244" w14:textId="77777777" w:rsidR="00712995" w:rsidRDefault="000C6AEB" w:rsidP="00712995">
            <w:pPr>
              <w:jc w:val="center"/>
              <w:rPr>
                <w:rFonts w:ascii="Times New Roman" w:hAnsi="Times New Roman" w:cs="Times New Roman"/>
                <w:sz w:val="20"/>
                <w:szCs w:val="24"/>
              </w:rPr>
            </w:pPr>
            <w:r>
              <w:rPr>
                <w:rFonts w:ascii="Times New Roman" w:hAnsi="Times New Roman" w:cs="Times New Roman"/>
                <w:sz w:val="20"/>
                <w:szCs w:val="24"/>
              </w:rPr>
              <w:t>22.7%</w:t>
            </w:r>
          </w:p>
          <w:p w14:paraId="3487B243" w14:textId="77777777" w:rsidR="000C6AEB" w:rsidRPr="00FE0CBF" w:rsidRDefault="000C6AEB" w:rsidP="00712995">
            <w:pPr>
              <w:jc w:val="center"/>
              <w:rPr>
                <w:rFonts w:ascii="Times New Roman" w:hAnsi="Times New Roman" w:cs="Times New Roman"/>
                <w:sz w:val="20"/>
                <w:szCs w:val="24"/>
              </w:rPr>
            </w:pPr>
            <w:r>
              <w:rPr>
                <w:rFonts w:ascii="Times New Roman" w:hAnsi="Times New Roman" w:cs="Times New Roman"/>
                <w:sz w:val="20"/>
                <w:szCs w:val="24"/>
              </w:rPr>
              <w:t>(20.3, 25.3)</w:t>
            </w:r>
          </w:p>
        </w:tc>
      </w:tr>
      <w:tr w:rsidR="00712995" w14:paraId="7A7A037F" w14:textId="77777777" w:rsidTr="000C6AEB">
        <w:tc>
          <w:tcPr>
            <w:tcW w:w="2538" w:type="dxa"/>
            <w:vAlign w:val="center"/>
          </w:tcPr>
          <w:p w14:paraId="10208FB1" w14:textId="77777777" w:rsidR="00712995" w:rsidRPr="00FE0CBF" w:rsidRDefault="00712995" w:rsidP="004A121F">
            <w:pPr>
              <w:rPr>
                <w:rFonts w:ascii="Times New Roman" w:hAnsi="Times New Roman" w:cs="Times New Roman"/>
                <w:sz w:val="20"/>
                <w:szCs w:val="24"/>
              </w:rPr>
            </w:pPr>
            <w:r>
              <w:rPr>
                <w:rFonts w:ascii="Times New Roman" w:hAnsi="Times New Roman" w:cs="Times New Roman"/>
                <w:sz w:val="20"/>
                <w:szCs w:val="24"/>
              </w:rPr>
              <w:t>Group</w:t>
            </w:r>
            <w:r w:rsidR="000C6AEB">
              <w:rPr>
                <w:rFonts w:ascii="Times New Roman" w:hAnsi="Times New Roman" w:cs="Times New Roman"/>
                <w:sz w:val="20"/>
                <w:szCs w:val="24"/>
              </w:rPr>
              <w:t>s</w:t>
            </w:r>
            <w:r>
              <w:rPr>
                <w:rFonts w:ascii="Times New Roman" w:hAnsi="Times New Roman" w:cs="Times New Roman"/>
                <w:sz w:val="20"/>
                <w:szCs w:val="24"/>
              </w:rPr>
              <w:t xml:space="preserve"> A1-B2 </w:t>
            </w:r>
            <w:r w:rsidR="004A121F">
              <w:rPr>
                <w:rFonts w:ascii="Times New Roman" w:hAnsi="Times New Roman" w:cs="Times New Roman"/>
                <w:sz w:val="20"/>
                <w:szCs w:val="24"/>
              </w:rPr>
              <w:t>not</w:t>
            </w:r>
            <w:r>
              <w:rPr>
                <w:rFonts w:ascii="Times New Roman" w:hAnsi="Times New Roman" w:cs="Times New Roman"/>
                <w:sz w:val="20"/>
                <w:szCs w:val="24"/>
              </w:rPr>
              <w:t xml:space="preserve"> excluded</w:t>
            </w:r>
          </w:p>
        </w:tc>
        <w:tc>
          <w:tcPr>
            <w:tcW w:w="1350" w:type="dxa"/>
            <w:vAlign w:val="center"/>
          </w:tcPr>
          <w:p w14:paraId="4C3538D7" w14:textId="77777777" w:rsidR="00712995" w:rsidRPr="00FE0CBF" w:rsidRDefault="007261F2" w:rsidP="00712995">
            <w:pPr>
              <w:jc w:val="center"/>
              <w:rPr>
                <w:rFonts w:ascii="Times New Roman" w:hAnsi="Times New Roman" w:cs="Times New Roman"/>
                <w:sz w:val="20"/>
                <w:szCs w:val="24"/>
              </w:rPr>
            </w:pPr>
            <w:r>
              <w:rPr>
                <w:rFonts w:ascii="Times New Roman" w:hAnsi="Times New Roman" w:cs="Times New Roman"/>
                <w:sz w:val="20"/>
                <w:szCs w:val="24"/>
              </w:rPr>
              <w:t>1,088</w:t>
            </w:r>
          </w:p>
        </w:tc>
        <w:tc>
          <w:tcPr>
            <w:tcW w:w="1260" w:type="dxa"/>
            <w:vAlign w:val="center"/>
          </w:tcPr>
          <w:p w14:paraId="30D26B25" w14:textId="77777777" w:rsidR="00712995" w:rsidRPr="00FE0CBF" w:rsidRDefault="007261F2" w:rsidP="00712995">
            <w:pPr>
              <w:jc w:val="center"/>
              <w:rPr>
                <w:rFonts w:ascii="Times New Roman" w:hAnsi="Times New Roman" w:cs="Times New Roman"/>
                <w:sz w:val="20"/>
                <w:szCs w:val="24"/>
              </w:rPr>
            </w:pPr>
            <w:r>
              <w:rPr>
                <w:rFonts w:ascii="Times New Roman" w:hAnsi="Times New Roman" w:cs="Times New Roman"/>
                <w:sz w:val="20"/>
                <w:szCs w:val="24"/>
              </w:rPr>
              <w:t>500</w:t>
            </w:r>
          </w:p>
        </w:tc>
        <w:tc>
          <w:tcPr>
            <w:tcW w:w="1530" w:type="dxa"/>
            <w:vAlign w:val="center"/>
          </w:tcPr>
          <w:p w14:paraId="13653885" w14:textId="77777777" w:rsidR="00712995" w:rsidRDefault="007261F2" w:rsidP="00712995">
            <w:pPr>
              <w:jc w:val="center"/>
              <w:rPr>
                <w:rFonts w:ascii="Times New Roman" w:hAnsi="Times New Roman" w:cs="Times New Roman"/>
                <w:sz w:val="20"/>
                <w:szCs w:val="24"/>
              </w:rPr>
            </w:pPr>
            <w:r>
              <w:rPr>
                <w:rFonts w:ascii="Times New Roman" w:hAnsi="Times New Roman" w:cs="Times New Roman"/>
                <w:sz w:val="20"/>
                <w:szCs w:val="24"/>
              </w:rPr>
              <w:t>45.9%</w:t>
            </w:r>
          </w:p>
          <w:p w14:paraId="2D360422" w14:textId="77777777" w:rsidR="007261F2" w:rsidRPr="00FE0CBF" w:rsidRDefault="007261F2" w:rsidP="00712995">
            <w:pPr>
              <w:jc w:val="center"/>
              <w:rPr>
                <w:rFonts w:ascii="Times New Roman" w:hAnsi="Times New Roman" w:cs="Times New Roman"/>
                <w:sz w:val="20"/>
                <w:szCs w:val="24"/>
              </w:rPr>
            </w:pPr>
            <w:r>
              <w:rPr>
                <w:rFonts w:ascii="Times New Roman" w:hAnsi="Times New Roman" w:cs="Times New Roman"/>
                <w:sz w:val="20"/>
                <w:szCs w:val="24"/>
              </w:rPr>
              <w:t>(43.0, 48.9)</w:t>
            </w:r>
          </w:p>
        </w:tc>
        <w:tc>
          <w:tcPr>
            <w:tcW w:w="1350" w:type="dxa"/>
            <w:vAlign w:val="center"/>
          </w:tcPr>
          <w:p w14:paraId="0C496093" w14:textId="77777777" w:rsidR="00712995" w:rsidRPr="00FE0CBF" w:rsidRDefault="000C6AEB" w:rsidP="00712995">
            <w:pPr>
              <w:jc w:val="center"/>
              <w:rPr>
                <w:rFonts w:ascii="Times New Roman" w:hAnsi="Times New Roman" w:cs="Times New Roman"/>
                <w:sz w:val="20"/>
                <w:szCs w:val="24"/>
              </w:rPr>
            </w:pPr>
            <w:r>
              <w:rPr>
                <w:rFonts w:ascii="Times New Roman" w:hAnsi="Times New Roman" w:cs="Times New Roman"/>
                <w:sz w:val="20"/>
                <w:szCs w:val="24"/>
              </w:rPr>
              <w:t>244</w:t>
            </w:r>
          </w:p>
        </w:tc>
        <w:tc>
          <w:tcPr>
            <w:tcW w:w="1322" w:type="dxa"/>
            <w:vAlign w:val="center"/>
          </w:tcPr>
          <w:p w14:paraId="760AA12B" w14:textId="77777777" w:rsidR="00712995" w:rsidRDefault="000C6AEB" w:rsidP="00712995">
            <w:pPr>
              <w:jc w:val="center"/>
              <w:rPr>
                <w:rFonts w:ascii="Times New Roman" w:hAnsi="Times New Roman" w:cs="Times New Roman"/>
                <w:sz w:val="20"/>
                <w:szCs w:val="24"/>
              </w:rPr>
            </w:pPr>
            <w:r>
              <w:rPr>
                <w:rFonts w:ascii="Times New Roman" w:hAnsi="Times New Roman" w:cs="Times New Roman"/>
                <w:sz w:val="20"/>
                <w:szCs w:val="24"/>
              </w:rPr>
              <w:t>22.4%</w:t>
            </w:r>
          </w:p>
          <w:p w14:paraId="10D5F08D" w14:textId="77777777" w:rsidR="000C6AEB" w:rsidRPr="00FE0CBF" w:rsidRDefault="000C6AEB" w:rsidP="00712995">
            <w:pPr>
              <w:jc w:val="center"/>
              <w:rPr>
                <w:rFonts w:ascii="Times New Roman" w:hAnsi="Times New Roman" w:cs="Times New Roman"/>
                <w:sz w:val="20"/>
                <w:szCs w:val="24"/>
              </w:rPr>
            </w:pPr>
            <w:r>
              <w:rPr>
                <w:rFonts w:ascii="Times New Roman" w:hAnsi="Times New Roman" w:cs="Times New Roman"/>
                <w:sz w:val="20"/>
                <w:szCs w:val="24"/>
              </w:rPr>
              <w:t>(20.0, 25.0)</w:t>
            </w:r>
          </w:p>
        </w:tc>
      </w:tr>
    </w:tbl>
    <w:p w14:paraId="35E51AC5" w14:textId="77777777" w:rsidR="000B2C45" w:rsidRDefault="00712995" w:rsidP="00712995">
      <w:pPr>
        <w:spacing w:after="0" w:line="240" w:lineRule="auto"/>
        <w:ind w:left="270" w:hanging="270"/>
        <w:rPr>
          <w:rFonts w:ascii="Times New Roman" w:hAnsi="Times New Roman" w:cs="Times New Roman"/>
          <w:sz w:val="20"/>
          <w:szCs w:val="20"/>
        </w:rPr>
      </w:pPr>
      <w:r w:rsidRPr="00712995">
        <w:rPr>
          <w:rFonts w:ascii="Times New Roman" w:hAnsi="Times New Roman" w:cs="Times New Roman"/>
          <w:sz w:val="20"/>
          <w:szCs w:val="20"/>
        </w:rPr>
        <w:t>* Group A1: Individuals who did not complete 6 months of treatment and who have a diagnosis of active tuberculosis after their last day of isoniazid medication but before the end of the 12 month period.</w:t>
      </w:r>
      <w:r>
        <w:rPr>
          <w:rFonts w:ascii="Times New Roman" w:hAnsi="Times New Roman" w:cs="Times New Roman"/>
          <w:sz w:val="20"/>
          <w:szCs w:val="20"/>
        </w:rPr>
        <w:t xml:space="preserve"> </w:t>
      </w:r>
    </w:p>
    <w:p w14:paraId="3140C651" w14:textId="77777777" w:rsidR="000B2C45" w:rsidRPr="000B2C45" w:rsidRDefault="00712995" w:rsidP="000B2C45">
      <w:pPr>
        <w:spacing w:after="0" w:line="240" w:lineRule="auto"/>
        <w:ind w:left="270" w:hanging="270"/>
        <w:rPr>
          <w:rFonts w:ascii="Times New Roman" w:hAnsi="Times New Roman" w:cs="Times New Roman"/>
          <w:sz w:val="20"/>
          <w:szCs w:val="24"/>
        </w:rPr>
      </w:pPr>
      <w:r w:rsidRPr="00712995">
        <w:rPr>
          <w:rFonts w:ascii="Times New Roman" w:hAnsi="Times New Roman" w:cs="Times New Roman"/>
          <w:sz w:val="20"/>
          <w:szCs w:val="20"/>
        </w:rPr>
        <w:t>** Group A2: Individuals who did not complete 9 months of treatment and who have a diagnosis of active tuberculosis after their last day of isoniazid medication but before the end of the 12 month period.</w:t>
      </w:r>
      <w:r>
        <w:rPr>
          <w:rFonts w:ascii="Times New Roman" w:hAnsi="Times New Roman" w:cs="Times New Roman"/>
          <w:sz w:val="20"/>
          <w:szCs w:val="20"/>
        </w:rPr>
        <w:t xml:space="preserve"> </w:t>
      </w:r>
    </w:p>
    <w:p w14:paraId="1D04E799" w14:textId="77777777" w:rsidR="000B2C45" w:rsidRPr="000B2C45" w:rsidRDefault="00712995" w:rsidP="000B2C45">
      <w:pPr>
        <w:spacing w:after="0" w:line="240" w:lineRule="auto"/>
        <w:ind w:left="270" w:hanging="270"/>
        <w:rPr>
          <w:rFonts w:ascii="Times New Roman" w:hAnsi="Times New Roman" w:cs="Times New Roman"/>
          <w:sz w:val="20"/>
          <w:szCs w:val="24"/>
        </w:rPr>
      </w:pPr>
      <w:r w:rsidRPr="00712995">
        <w:rPr>
          <w:rFonts w:ascii="Times New Roman" w:hAnsi="Times New Roman" w:cs="Times New Roman"/>
          <w:sz w:val="20"/>
          <w:szCs w:val="20"/>
        </w:rPr>
        <w:t xml:space="preserve">† Group B1: Individuals completed </w:t>
      </w:r>
      <w:r w:rsidR="00CD043E">
        <w:rPr>
          <w:rFonts w:ascii="Times New Roman" w:hAnsi="Times New Roman" w:cs="Times New Roman"/>
          <w:sz w:val="20"/>
          <w:szCs w:val="20"/>
        </w:rPr>
        <w:t>6</w:t>
      </w:r>
      <w:r w:rsidRPr="00712995">
        <w:rPr>
          <w:rFonts w:ascii="Times New Roman" w:hAnsi="Times New Roman" w:cs="Times New Roman"/>
          <w:sz w:val="20"/>
          <w:szCs w:val="20"/>
        </w:rPr>
        <w:t xml:space="preserve"> months of treatment and who have a diagnosis of active tuberculosis after their last day of isoniazid medication but before the end of the 12 month period.</w:t>
      </w:r>
      <w:r>
        <w:rPr>
          <w:rFonts w:ascii="Times New Roman" w:hAnsi="Times New Roman" w:cs="Times New Roman"/>
          <w:sz w:val="20"/>
          <w:szCs w:val="20"/>
        </w:rPr>
        <w:t xml:space="preserve"> </w:t>
      </w:r>
    </w:p>
    <w:p w14:paraId="603587B6" w14:textId="77777777" w:rsidR="00712995" w:rsidRPr="000B2C45" w:rsidRDefault="00712995" w:rsidP="000B2C45">
      <w:pPr>
        <w:spacing w:after="0" w:line="240" w:lineRule="auto"/>
        <w:ind w:left="270" w:hanging="270"/>
        <w:rPr>
          <w:rFonts w:ascii="Times New Roman" w:hAnsi="Times New Roman" w:cs="Times New Roman"/>
          <w:sz w:val="20"/>
          <w:szCs w:val="20"/>
        </w:rPr>
      </w:pPr>
      <w:r w:rsidRPr="00712995">
        <w:rPr>
          <w:rFonts w:ascii="Times New Roman" w:hAnsi="Times New Roman" w:cs="Times New Roman"/>
          <w:sz w:val="20"/>
          <w:szCs w:val="20"/>
        </w:rPr>
        <w:t>‡ Group B2: Individuals completed 9 months of treatment and who have a diagnosis of active tuberculosis after their last day of isoniazid medication but before the end of the 12 month period.</w:t>
      </w:r>
      <w:r>
        <w:rPr>
          <w:rFonts w:ascii="Times New Roman" w:hAnsi="Times New Roman" w:cs="Times New Roman"/>
          <w:sz w:val="20"/>
          <w:szCs w:val="20"/>
        </w:rPr>
        <w:t xml:space="preserve"> </w:t>
      </w:r>
    </w:p>
    <w:p w14:paraId="00A434A0" w14:textId="77777777" w:rsidR="00712995" w:rsidRPr="00712995" w:rsidRDefault="00712995" w:rsidP="00712995">
      <w:pPr>
        <w:spacing w:after="0" w:line="240" w:lineRule="auto"/>
        <w:rPr>
          <w:rFonts w:ascii="Times New Roman" w:hAnsi="Times New Roman" w:cs="Times New Roman"/>
          <w:sz w:val="24"/>
          <w:szCs w:val="24"/>
        </w:rPr>
      </w:pPr>
    </w:p>
    <w:p w14:paraId="368399FE" w14:textId="77777777" w:rsidR="009F6561" w:rsidRDefault="000B2C45" w:rsidP="000B2C45">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6 and 9 month completion rates calculated with varying logic differ less than 1% from the completion rates obtained with no change to the logic. These results indicate that the completion rates based on our algorithm are robust to excluding or including certain patients who have a TB diagnosis given after the initiation of isoniazid treatment for LTBI. Given these findings, and given the added complexity of the alternative options which would affect future users of the algorithm, the original logic was retained.</w:t>
      </w:r>
    </w:p>
    <w:p w14:paraId="71B78422" w14:textId="77777777" w:rsidR="009F6561" w:rsidRPr="000B2C45" w:rsidRDefault="00CD2CC8" w:rsidP="000B2C45">
      <w:pPr>
        <w:pStyle w:val="EndNoteBibliography"/>
        <w:ind w:left="720" w:hanging="720"/>
        <w:rPr>
          <w:rFonts w:ascii="Times New Roman" w:hAnsi="Times New Roman" w:cs="Times New Roman"/>
          <w:sz w:val="28"/>
          <w:szCs w:val="24"/>
        </w:rPr>
      </w:pPr>
      <w:r w:rsidRPr="000B2C45">
        <w:rPr>
          <w:rFonts w:ascii="Times New Roman" w:hAnsi="Times New Roman" w:cs="Times New Roman"/>
          <w:sz w:val="28"/>
          <w:szCs w:val="24"/>
        </w:rPr>
        <w:fldChar w:fldCharType="begin"/>
      </w:r>
      <w:r w:rsidR="009F6561" w:rsidRPr="000B2C45">
        <w:rPr>
          <w:rFonts w:ascii="Times New Roman" w:hAnsi="Times New Roman" w:cs="Times New Roman"/>
          <w:sz w:val="28"/>
          <w:szCs w:val="24"/>
        </w:rPr>
        <w:instrText xml:space="preserve"> ADDIN EN.REFLIST </w:instrText>
      </w:r>
      <w:r w:rsidRPr="000B2C45">
        <w:rPr>
          <w:rFonts w:ascii="Times New Roman" w:hAnsi="Times New Roman" w:cs="Times New Roman"/>
          <w:sz w:val="28"/>
          <w:szCs w:val="24"/>
        </w:rPr>
        <w:fldChar w:fldCharType="separate"/>
      </w:r>
      <w:r w:rsidR="009F6561" w:rsidRPr="000B2C45">
        <w:rPr>
          <w:rFonts w:ascii="Times New Roman" w:hAnsi="Times New Roman" w:cs="Times New Roman"/>
          <w:sz w:val="24"/>
        </w:rPr>
        <w:t>1.</w:t>
      </w:r>
      <w:r w:rsidR="009F6561" w:rsidRPr="000B2C45">
        <w:rPr>
          <w:rFonts w:ascii="Times New Roman" w:hAnsi="Times New Roman" w:cs="Times New Roman"/>
          <w:sz w:val="24"/>
        </w:rPr>
        <w:tab/>
        <w:t xml:space="preserve">Horsburgh CR, Jr., Goldberg S, Bethel J, et al. Latent TB infection treatment acceptance and completion in the United States and Canada. </w:t>
      </w:r>
      <w:r w:rsidR="009F6561" w:rsidRPr="000B2C45">
        <w:rPr>
          <w:rFonts w:ascii="Times New Roman" w:hAnsi="Times New Roman" w:cs="Times New Roman"/>
          <w:i/>
          <w:sz w:val="24"/>
        </w:rPr>
        <w:t xml:space="preserve">Chest. </w:t>
      </w:r>
      <w:r w:rsidR="009F6561" w:rsidRPr="000B2C45">
        <w:rPr>
          <w:rFonts w:ascii="Times New Roman" w:hAnsi="Times New Roman" w:cs="Times New Roman"/>
          <w:sz w:val="24"/>
        </w:rPr>
        <w:t>2010;137(2):401-409.</w:t>
      </w:r>
      <w:r w:rsidRPr="000B2C45">
        <w:rPr>
          <w:rFonts w:ascii="Times New Roman" w:hAnsi="Times New Roman" w:cs="Times New Roman"/>
          <w:sz w:val="28"/>
          <w:szCs w:val="24"/>
        </w:rPr>
        <w:fldChar w:fldCharType="end"/>
      </w:r>
    </w:p>
    <w:sectPr w:rsidR="009F6561" w:rsidRPr="000B2C45" w:rsidSect="00E63AC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8C973" w14:textId="77777777" w:rsidR="00407E83" w:rsidRDefault="00407E83" w:rsidP="00E63AC1">
      <w:pPr>
        <w:spacing w:after="0" w:line="240" w:lineRule="auto"/>
      </w:pPr>
      <w:r>
        <w:separator/>
      </w:r>
    </w:p>
  </w:endnote>
  <w:endnote w:type="continuationSeparator" w:id="0">
    <w:p w14:paraId="47052D14" w14:textId="77777777" w:rsidR="00407E83" w:rsidRDefault="00407E83" w:rsidP="00E6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22F83" w14:textId="77777777" w:rsidR="0091331E" w:rsidRDefault="00913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2107896"/>
      <w:docPartObj>
        <w:docPartGallery w:val="Page Numbers (Bottom of Page)"/>
        <w:docPartUnique/>
      </w:docPartObj>
    </w:sdtPr>
    <w:sdtEndPr>
      <w:rPr>
        <w:noProof/>
      </w:rPr>
    </w:sdtEndPr>
    <w:sdtContent>
      <w:p w14:paraId="715AD29A" w14:textId="77777777" w:rsidR="00E63AC1" w:rsidRDefault="00E63AC1">
        <w:pPr>
          <w:pStyle w:val="Footer"/>
          <w:jc w:val="center"/>
        </w:pPr>
        <w:r>
          <w:fldChar w:fldCharType="begin"/>
        </w:r>
        <w:r>
          <w:instrText xml:space="preserve"> PAGE   \* MERGEFORMAT </w:instrText>
        </w:r>
        <w:r>
          <w:fldChar w:fldCharType="separate"/>
        </w:r>
        <w:r w:rsidR="00B50271">
          <w:rPr>
            <w:noProof/>
          </w:rPr>
          <w:t>1</w:t>
        </w:r>
        <w:r>
          <w:rPr>
            <w:noProof/>
          </w:rPr>
          <w:fldChar w:fldCharType="end"/>
        </w:r>
      </w:p>
    </w:sdtContent>
  </w:sdt>
  <w:p w14:paraId="444E407A" w14:textId="77777777" w:rsidR="00E63AC1" w:rsidRDefault="00E63A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DD5BA" w14:textId="77777777" w:rsidR="0091331E" w:rsidRDefault="00913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4F002" w14:textId="77777777" w:rsidR="00407E83" w:rsidRDefault="00407E83" w:rsidP="00E63AC1">
      <w:pPr>
        <w:spacing w:after="0" w:line="240" w:lineRule="auto"/>
      </w:pPr>
      <w:r>
        <w:separator/>
      </w:r>
    </w:p>
  </w:footnote>
  <w:footnote w:type="continuationSeparator" w:id="0">
    <w:p w14:paraId="500C65C4" w14:textId="77777777" w:rsidR="00407E83" w:rsidRDefault="00407E83" w:rsidP="00E63A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49228" w14:textId="77777777" w:rsidR="0091331E" w:rsidRDefault="00913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E59CA" w14:textId="77777777" w:rsidR="0091331E" w:rsidRDefault="00913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960FD" w14:textId="77777777" w:rsidR="0091331E" w:rsidRDefault="00913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64FC1"/>
    <w:multiLevelType w:val="hybridMultilevel"/>
    <w:tmpl w:val="B7583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zwd50d0uspd0de0pwfpwap5evz9e2pza0wp&quot;&gt;My EndNote Library&lt;record-ids&gt;&lt;item&gt;278&lt;/item&gt;&lt;/record-ids&gt;&lt;/item&gt;&lt;/Libraries&gt;"/>
  </w:docVars>
  <w:rsids>
    <w:rsidRoot w:val="009F6561"/>
    <w:rsid w:val="0000062F"/>
    <w:rsid w:val="00006C44"/>
    <w:rsid w:val="000073FB"/>
    <w:rsid w:val="000078A4"/>
    <w:rsid w:val="00010C71"/>
    <w:rsid w:val="00012626"/>
    <w:rsid w:val="00014835"/>
    <w:rsid w:val="00015334"/>
    <w:rsid w:val="0001778D"/>
    <w:rsid w:val="00020662"/>
    <w:rsid w:val="00020DB5"/>
    <w:rsid w:val="0002257E"/>
    <w:rsid w:val="00023FCC"/>
    <w:rsid w:val="00025AC9"/>
    <w:rsid w:val="000308F9"/>
    <w:rsid w:val="00030E7D"/>
    <w:rsid w:val="000336BA"/>
    <w:rsid w:val="000404A3"/>
    <w:rsid w:val="000453BF"/>
    <w:rsid w:val="0004762E"/>
    <w:rsid w:val="00051642"/>
    <w:rsid w:val="0005372F"/>
    <w:rsid w:val="00053B30"/>
    <w:rsid w:val="00055BAE"/>
    <w:rsid w:val="00063FA7"/>
    <w:rsid w:val="00067C34"/>
    <w:rsid w:val="000712FB"/>
    <w:rsid w:val="000722C3"/>
    <w:rsid w:val="0007509D"/>
    <w:rsid w:val="0008118F"/>
    <w:rsid w:val="00082948"/>
    <w:rsid w:val="000852C7"/>
    <w:rsid w:val="00085DED"/>
    <w:rsid w:val="00090459"/>
    <w:rsid w:val="00090B35"/>
    <w:rsid w:val="00093B11"/>
    <w:rsid w:val="000A2DF9"/>
    <w:rsid w:val="000A38E6"/>
    <w:rsid w:val="000A6BB8"/>
    <w:rsid w:val="000A720E"/>
    <w:rsid w:val="000B2C45"/>
    <w:rsid w:val="000B405C"/>
    <w:rsid w:val="000B6C1C"/>
    <w:rsid w:val="000C123C"/>
    <w:rsid w:val="000C6AEB"/>
    <w:rsid w:val="000D32C4"/>
    <w:rsid w:val="000D5240"/>
    <w:rsid w:val="000D7119"/>
    <w:rsid w:val="000F0D32"/>
    <w:rsid w:val="000F78D0"/>
    <w:rsid w:val="001011D3"/>
    <w:rsid w:val="00102B19"/>
    <w:rsid w:val="00102C23"/>
    <w:rsid w:val="00103D19"/>
    <w:rsid w:val="00111ECF"/>
    <w:rsid w:val="00115BAE"/>
    <w:rsid w:val="00122D0E"/>
    <w:rsid w:val="001263D3"/>
    <w:rsid w:val="00130E34"/>
    <w:rsid w:val="00131B84"/>
    <w:rsid w:val="00133C5E"/>
    <w:rsid w:val="001341C5"/>
    <w:rsid w:val="001352BD"/>
    <w:rsid w:val="00135472"/>
    <w:rsid w:val="00136147"/>
    <w:rsid w:val="0014159D"/>
    <w:rsid w:val="00143BBF"/>
    <w:rsid w:val="00146F7A"/>
    <w:rsid w:val="00147BD1"/>
    <w:rsid w:val="00150980"/>
    <w:rsid w:val="00151F15"/>
    <w:rsid w:val="0016265A"/>
    <w:rsid w:val="001628C4"/>
    <w:rsid w:val="00172428"/>
    <w:rsid w:val="0018149F"/>
    <w:rsid w:val="00187A04"/>
    <w:rsid w:val="001963ED"/>
    <w:rsid w:val="00196D62"/>
    <w:rsid w:val="00197D85"/>
    <w:rsid w:val="001A7176"/>
    <w:rsid w:val="001B6E30"/>
    <w:rsid w:val="001C0504"/>
    <w:rsid w:val="001C0CAB"/>
    <w:rsid w:val="001D0088"/>
    <w:rsid w:val="001D24DD"/>
    <w:rsid w:val="001D6782"/>
    <w:rsid w:val="001D68D0"/>
    <w:rsid w:val="001E26F6"/>
    <w:rsid w:val="001E299D"/>
    <w:rsid w:val="001E40ED"/>
    <w:rsid w:val="001F4FE2"/>
    <w:rsid w:val="001F50CD"/>
    <w:rsid w:val="001F6EAA"/>
    <w:rsid w:val="00206030"/>
    <w:rsid w:val="002125FE"/>
    <w:rsid w:val="002153FE"/>
    <w:rsid w:val="002212E4"/>
    <w:rsid w:val="00235DC8"/>
    <w:rsid w:val="00235F77"/>
    <w:rsid w:val="0023798F"/>
    <w:rsid w:val="002442CB"/>
    <w:rsid w:val="002530E0"/>
    <w:rsid w:val="0025359D"/>
    <w:rsid w:val="00255033"/>
    <w:rsid w:val="00260454"/>
    <w:rsid w:val="00271B1D"/>
    <w:rsid w:val="00272E8D"/>
    <w:rsid w:val="00274909"/>
    <w:rsid w:val="0028345D"/>
    <w:rsid w:val="00284268"/>
    <w:rsid w:val="0028508A"/>
    <w:rsid w:val="00290C0E"/>
    <w:rsid w:val="00291F4C"/>
    <w:rsid w:val="0029396B"/>
    <w:rsid w:val="00293AC8"/>
    <w:rsid w:val="002A0B17"/>
    <w:rsid w:val="002A23E2"/>
    <w:rsid w:val="002B67B8"/>
    <w:rsid w:val="002C4073"/>
    <w:rsid w:val="002D592E"/>
    <w:rsid w:val="002E5ED9"/>
    <w:rsid w:val="002F1F1A"/>
    <w:rsid w:val="002F33EB"/>
    <w:rsid w:val="0030354D"/>
    <w:rsid w:val="00305CB9"/>
    <w:rsid w:val="00315BC0"/>
    <w:rsid w:val="0032008E"/>
    <w:rsid w:val="00321E3D"/>
    <w:rsid w:val="003224B6"/>
    <w:rsid w:val="003267F1"/>
    <w:rsid w:val="003344DF"/>
    <w:rsid w:val="003368F1"/>
    <w:rsid w:val="003372DC"/>
    <w:rsid w:val="00343003"/>
    <w:rsid w:val="00347C28"/>
    <w:rsid w:val="00350148"/>
    <w:rsid w:val="0035130B"/>
    <w:rsid w:val="00355B03"/>
    <w:rsid w:val="00370943"/>
    <w:rsid w:val="00372AAE"/>
    <w:rsid w:val="003834D0"/>
    <w:rsid w:val="00384BEB"/>
    <w:rsid w:val="00390412"/>
    <w:rsid w:val="00392481"/>
    <w:rsid w:val="003931B1"/>
    <w:rsid w:val="0039334E"/>
    <w:rsid w:val="00393FB7"/>
    <w:rsid w:val="003A5234"/>
    <w:rsid w:val="003C2B2B"/>
    <w:rsid w:val="003C56D0"/>
    <w:rsid w:val="003C5718"/>
    <w:rsid w:val="003C7190"/>
    <w:rsid w:val="003D1488"/>
    <w:rsid w:val="003D4BCF"/>
    <w:rsid w:val="003D758D"/>
    <w:rsid w:val="003F0054"/>
    <w:rsid w:val="003F0DAD"/>
    <w:rsid w:val="004040B4"/>
    <w:rsid w:val="00407E83"/>
    <w:rsid w:val="00425460"/>
    <w:rsid w:val="00427312"/>
    <w:rsid w:val="00430136"/>
    <w:rsid w:val="00440579"/>
    <w:rsid w:val="00443B9D"/>
    <w:rsid w:val="00446EB1"/>
    <w:rsid w:val="00450774"/>
    <w:rsid w:val="00451422"/>
    <w:rsid w:val="00452E09"/>
    <w:rsid w:val="00455CDC"/>
    <w:rsid w:val="00456B21"/>
    <w:rsid w:val="0046310D"/>
    <w:rsid w:val="00480CDD"/>
    <w:rsid w:val="004829C2"/>
    <w:rsid w:val="00494C93"/>
    <w:rsid w:val="0049618C"/>
    <w:rsid w:val="00496B86"/>
    <w:rsid w:val="004A121F"/>
    <w:rsid w:val="004A1251"/>
    <w:rsid w:val="004A20BC"/>
    <w:rsid w:val="004A329A"/>
    <w:rsid w:val="004A7B21"/>
    <w:rsid w:val="004B755B"/>
    <w:rsid w:val="004C6C52"/>
    <w:rsid w:val="004D6E60"/>
    <w:rsid w:val="004E461F"/>
    <w:rsid w:val="004F248D"/>
    <w:rsid w:val="004F2C9B"/>
    <w:rsid w:val="005026CE"/>
    <w:rsid w:val="005036D2"/>
    <w:rsid w:val="00507D57"/>
    <w:rsid w:val="00510ED6"/>
    <w:rsid w:val="005217CA"/>
    <w:rsid w:val="005222D1"/>
    <w:rsid w:val="00522C63"/>
    <w:rsid w:val="0052510D"/>
    <w:rsid w:val="005271BF"/>
    <w:rsid w:val="00527D5A"/>
    <w:rsid w:val="00531E32"/>
    <w:rsid w:val="00532972"/>
    <w:rsid w:val="00533B45"/>
    <w:rsid w:val="0053761A"/>
    <w:rsid w:val="00540B99"/>
    <w:rsid w:val="00550576"/>
    <w:rsid w:val="00554468"/>
    <w:rsid w:val="00556BB3"/>
    <w:rsid w:val="0057311F"/>
    <w:rsid w:val="00577752"/>
    <w:rsid w:val="00584D7F"/>
    <w:rsid w:val="005870D6"/>
    <w:rsid w:val="00593070"/>
    <w:rsid w:val="005968C0"/>
    <w:rsid w:val="005A3B73"/>
    <w:rsid w:val="005A79C0"/>
    <w:rsid w:val="005B179B"/>
    <w:rsid w:val="005B74E3"/>
    <w:rsid w:val="005C0658"/>
    <w:rsid w:val="005C0C7A"/>
    <w:rsid w:val="005C4AC6"/>
    <w:rsid w:val="005D6F37"/>
    <w:rsid w:val="005E298E"/>
    <w:rsid w:val="005E4F1A"/>
    <w:rsid w:val="005F0EC2"/>
    <w:rsid w:val="005F2ABF"/>
    <w:rsid w:val="005F2FB0"/>
    <w:rsid w:val="005F4304"/>
    <w:rsid w:val="005F5089"/>
    <w:rsid w:val="005F5DA1"/>
    <w:rsid w:val="005F6EBD"/>
    <w:rsid w:val="005F7A16"/>
    <w:rsid w:val="0060107D"/>
    <w:rsid w:val="00601C72"/>
    <w:rsid w:val="0060648F"/>
    <w:rsid w:val="00607B59"/>
    <w:rsid w:val="00611E6A"/>
    <w:rsid w:val="00614EE4"/>
    <w:rsid w:val="0062191C"/>
    <w:rsid w:val="00630F19"/>
    <w:rsid w:val="0063494F"/>
    <w:rsid w:val="00646640"/>
    <w:rsid w:val="006608E0"/>
    <w:rsid w:val="00661BA7"/>
    <w:rsid w:val="0066260F"/>
    <w:rsid w:val="00664F8B"/>
    <w:rsid w:val="006711B4"/>
    <w:rsid w:val="00677C3D"/>
    <w:rsid w:val="00684E78"/>
    <w:rsid w:val="006856E5"/>
    <w:rsid w:val="0068687C"/>
    <w:rsid w:val="00687585"/>
    <w:rsid w:val="00687CC7"/>
    <w:rsid w:val="00693D17"/>
    <w:rsid w:val="006941B7"/>
    <w:rsid w:val="00694691"/>
    <w:rsid w:val="006A0B63"/>
    <w:rsid w:val="006A159F"/>
    <w:rsid w:val="006A4101"/>
    <w:rsid w:val="006A4930"/>
    <w:rsid w:val="006B091D"/>
    <w:rsid w:val="006B2604"/>
    <w:rsid w:val="006E60A0"/>
    <w:rsid w:val="006F3471"/>
    <w:rsid w:val="0070540C"/>
    <w:rsid w:val="0071081C"/>
    <w:rsid w:val="007114F2"/>
    <w:rsid w:val="00712995"/>
    <w:rsid w:val="00720619"/>
    <w:rsid w:val="007210A5"/>
    <w:rsid w:val="007240E7"/>
    <w:rsid w:val="007261F2"/>
    <w:rsid w:val="00734280"/>
    <w:rsid w:val="0073459C"/>
    <w:rsid w:val="007403E9"/>
    <w:rsid w:val="00741F11"/>
    <w:rsid w:val="007653EE"/>
    <w:rsid w:val="007738E7"/>
    <w:rsid w:val="00774CAE"/>
    <w:rsid w:val="007756FE"/>
    <w:rsid w:val="0078199F"/>
    <w:rsid w:val="00781A42"/>
    <w:rsid w:val="00787751"/>
    <w:rsid w:val="00795DFF"/>
    <w:rsid w:val="007A2636"/>
    <w:rsid w:val="007A525D"/>
    <w:rsid w:val="007A5A30"/>
    <w:rsid w:val="007B23A3"/>
    <w:rsid w:val="007D29FF"/>
    <w:rsid w:val="007D4397"/>
    <w:rsid w:val="007D66AC"/>
    <w:rsid w:val="007D7547"/>
    <w:rsid w:val="007E13B1"/>
    <w:rsid w:val="007E14D0"/>
    <w:rsid w:val="007E2C21"/>
    <w:rsid w:val="007E5428"/>
    <w:rsid w:val="007F1FAD"/>
    <w:rsid w:val="007F4604"/>
    <w:rsid w:val="007F5220"/>
    <w:rsid w:val="00800CFA"/>
    <w:rsid w:val="008113AB"/>
    <w:rsid w:val="0081612D"/>
    <w:rsid w:val="008165B9"/>
    <w:rsid w:val="008257F4"/>
    <w:rsid w:val="00831FCD"/>
    <w:rsid w:val="008320EA"/>
    <w:rsid w:val="00833C05"/>
    <w:rsid w:val="00833FFA"/>
    <w:rsid w:val="00842596"/>
    <w:rsid w:val="00847B66"/>
    <w:rsid w:val="00851043"/>
    <w:rsid w:val="00861B07"/>
    <w:rsid w:val="00863C4D"/>
    <w:rsid w:val="00865BA0"/>
    <w:rsid w:val="008664C5"/>
    <w:rsid w:val="00867E34"/>
    <w:rsid w:val="00874AA7"/>
    <w:rsid w:val="00897086"/>
    <w:rsid w:val="00897449"/>
    <w:rsid w:val="008A5207"/>
    <w:rsid w:val="008A5E6A"/>
    <w:rsid w:val="008B7E45"/>
    <w:rsid w:val="008C385D"/>
    <w:rsid w:val="008C64E5"/>
    <w:rsid w:val="008D3C1F"/>
    <w:rsid w:val="008D5BFD"/>
    <w:rsid w:val="008D7DBF"/>
    <w:rsid w:val="008E40E5"/>
    <w:rsid w:val="008F1336"/>
    <w:rsid w:val="008F13C8"/>
    <w:rsid w:val="008F3AEC"/>
    <w:rsid w:val="008F50BA"/>
    <w:rsid w:val="00903322"/>
    <w:rsid w:val="0091331E"/>
    <w:rsid w:val="00921F36"/>
    <w:rsid w:val="0092421F"/>
    <w:rsid w:val="00926E6A"/>
    <w:rsid w:val="00943B0F"/>
    <w:rsid w:val="00946BA1"/>
    <w:rsid w:val="00946D03"/>
    <w:rsid w:val="00947B12"/>
    <w:rsid w:val="00947BB6"/>
    <w:rsid w:val="00950929"/>
    <w:rsid w:val="00950BCE"/>
    <w:rsid w:val="009532B7"/>
    <w:rsid w:val="009532CA"/>
    <w:rsid w:val="00954BF2"/>
    <w:rsid w:val="00956AF9"/>
    <w:rsid w:val="0096061D"/>
    <w:rsid w:val="009647A7"/>
    <w:rsid w:val="00971D85"/>
    <w:rsid w:val="00972385"/>
    <w:rsid w:val="009739C9"/>
    <w:rsid w:val="009752A9"/>
    <w:rsid w:val="00977252"/>
    <w:rsid w:val="009B1A6C"/>
    <w:rsid w:val="009B47D0"/>
    <w:rsid w:val="009B6DA2"/>
    <w:rsid w:val="009B6F46"/>
    <w:rsid w:val="009B7261"/>
    <w:rsid w:val="009E3F0A"/>
    <w:rsid w:val="009E6E8C"/>
    <w:rsid w:val="009F3C26"/>
    <w:rsid w:val="009F4FF8"/>
    <w:rsid w:val="009F6561"/>
    <w:rsid w:val="00A025C5"/>
    <w:rsid w:val="00A11415"/>
    <w:rsid w:val="00A1742E"/>
    <w:rsid w:val="00A203A1"/>
    <w:rsid w:val="00A22064"/>
    <w:rsid w:val="00A22336"/>
    <w:rsid w:val="00A3441A"/>
    <w:rsid w:val="00A41D42"/>
    <w:rsid w:val="00A42280"/>
    <w:rsid w:val="00A445D4"/>
    <w:rsid w:val="00A5736F"/>
    <w:rsid w:val="00A60B35"/>
    <w:rsid w:val="00A641A9"/>
    <w:rsid w:val="00A708A5"/>
    <w:rsid w:val="00A733FC"/>
    <w:rsid w:val="00A825FA"/>
    <w:rsid w:val="00AA1EE5"/>
    <w:rsid w:val="00AA2136"/>
    <w:rsid w:val="00AA35B5"/>
    <w:rsid w:val="00AA4B25"/>
    <w:rsid w:val="00AA5315"/>
    <w:rsid w:val="00AB23B0"/>
    <w:rsid w:val="00AB6523"/>
    <w:rsid w:val="00AC5564"/>
    <w:rsid w:val="00AC6366"/>
    <w:rsid w:val="00AE6796"/>
    <w:rsid w:val="00AF0383"/>
    <w:rsid w:val="00AF1D57"/>
    <w:rsid w:val="00AF36B8"/>
    <w:rsid w:val="00AF6EC5"/>
    <w:rsid w:val="00AF7E5F"/>
    <w:rsid w:val="00B013A6"/>
    <w:rsid w:val="00B041B1"/>
    <w:rsid w:val="00B1406A"/>
    <w:rsid w:val="00B156C3"/>
    <w:rsid w:val="00B15CB9"/>
    <w:rsid w:val="00B16912"/>
    <w:rsid w:val="00B1706B"/>
    <w:rsid w:val="00B17B28"/>
    <w:rsid w:val="00B2467C"/>
    <w:rsid w:val="00B26951"/>
    <w:rsid w:val="00B31B0D"/>
    <w:rsid w:val="00B43700"/>
    <w:rsid w:val="00B43908"/>
    <w:rsid w:val="00B47502"/>
    <w:rsid w:val="00B50271"/>
    <w:rsid w:val="00B511A6"/>
    <w:rsid w:val="00B60AB1"/>
    <w:rsid w:val="00B61035"/>
    <w:rsid w:val="00B61CEA"/>
    <w:rsid w:val="00B676B6"/>
    <w:rsid w:val="00B7746B"/>
    <w:rsid w:val="00B80440"/>
    <w:rsid w:val="00B86B7D"/>
    <w:rsid w:val="00B944EB"/>
    <w:rsid w:val="00BA0CDD"/>
    <w:rsid w:val="00BA524B"/>
    <w:rsid w:val="00BA6519"/>
    <w:rsid w:val="00BA7D0E"/>
    <w:rsid w:val="00BB3169"/>
    <w:rsid w:val="00BB6108"/>
    <w:rsid w:val="00BC1F73"/>
    <w:rsid w:val="00BC39EA"/>
    <w:rsid w:val="00BC44C0"/>
    <w:rsid w:val="00BD157C"/>
    <w:rsid w:val="00BE0A4B"/>
    <w:rsid w:val="00BE34D3"/>
    <w:rsid w:val="00C04B66"/>
    <w:rsid w:val="00C15DFF"/>
    <w:rsid w:val="00C24658"/>
    <w:rsid w:val="00C319D8"/>
    <w:rsid w:val="00C31FF8"/>
    <w:rsid w:val="00C344BD"/>
    <w:rsid w:val="00C60549"/>
    <w:rsid w:val="00C61C51"/>
    <w:rsid w:val="00C63B33"/>
    <w:rsid w:val="00C65E1F"/>
    <w:rsid w:val="00C65FE6"/>
    <w:rsid w:val="00C709D2"/>
    <w:rsid w:val="00C70A6C"/>
    <w:rsid w:val="00C77B42"/>
    <w:rsid w:val="00C869CE"/>
    <w:rsid w:val="00C94AC9"/>
    <w:rsid w:val="00C94E26"/>
    <w:rsid w:val="00C9524E"/>
    <w:rsid w:val="00C95F8D"/>
    <w:rsid w:val="00C97B35"/>
    <w:rsid w:val="00CA1328"/>
    <w:rsid w:val="00CB6A8D"/>
    <w:rsid w:val="00CC5BE1"/>
    <w:rsid w:val="00CC6AF1"/>
    <w:rsid w:val="00CC7CA6"/>
    <w:rsid w:val="00CD043E"/>
    <w:rsid w:val="00CD2CC8"/>
    <w:rsid w:val="00CD329E"/>
    <w:rsid w:val="00CE0E49"/>
    <w:rsid w:val="00CE2212"/>
    <w:rsid w:val="00CE6C96"/>
    <w:rsid w:val="00CF1ED7"/>
    <w:rsid w:val="00CF3783"/>
    <w:rsid w:val="00CF476D"/>
    <w:rsid w:val="00D05EF2"/>
    <w:rsid w:val="00D108C4"/>
    <w:rsid w:val="00D36DE9"/>
    <w:rsid w:val="00D37F0E"/>
    <w:rsid w:val="00D478CF"/>
    <w:rsid w:val="00D50378"/>
    <w:rsid w:val="00D50F7E"/>
    <w:rsid w:val="00D51067"/>
    <w:rsid w:val="00D56BF5"/>
    <w:rsid w:val="00D637C6"/>
    <w:rsid w:val="00D66608"/>
    <w:rsid w:val="00D668F3"/>
    <w:rsid w:val="00D6752C"/>
    <w:rsid w:val="00D67623"/>
    <w:rsid w:val="00D706DA"/>
    <w:rsid w:val="00D72260"/>
    <w:rsid w:val="00D80B13"/>
    <w:rsid w:val="00D854D3"/>
    <w:rsid w:val="00D920FB"/>
    <w:rsid w:val="00D97606"/>
    <w:rsid w:val="00DA3855"/>
    <w:rsid w:val="00DA494D"/>
    <w:rsid w:val="00DB73F1"/>
    <w:rsid w:val="00DB7D16"/>
    <w:rsid w:val="00DC0C5C"/>
    <w:rsid w:val="00DC3521"/>
    <w:rsid w:val="00DD20A2"/>
    <w:rsid w:val="00DD41D1"/>
    <w:rsid w:val="00DD6BB5"/>
    <w:rsid w:val="00DE526C"/>
    <w:rsid w:val="00DE5EC3"/>
    <w:rsid w:val="00DE6940"/>
    <w:rsid w:val="00DF24BE"/>
    <w:rsid w:val="00DF5D7D"/>
    <w:rsid w:val="00DF6813"/>
    <w:rsid w:val="00E001B7"/>
    <w:rsid w:val="00E11E41"/>
    <w:rsid w:val="00E145C7"/>
    <w:rsid w:val="00E1712B"/>
    <w:rsid w:val="00E22F92"/>
    <w:rsid w:val="00E3077F"/>
    <w:rsid w:val="00E416FC"/>
    <w:rsid w:val="00E4230D"/>
    <w:rsid w:val="00E522EF"/>
    <w:rsid w:val="00E53DB0"/>
    <w:rsid w:val="00E615D3"/>
    <w:rsid w:val="00E61C56"/>
    <w:rsid w:val="00E63AC1"/>
    <w:rsid w:val="00E65DF1"/>
    <w:rsid w:val="00E66141"/>
    <w:rsid w:val="00E6773B"/>
    <w:rsid w:val="00E704C5"/>
    <w:rsid w:val="00E7514A"/>
    <w:rsid w:val="00E80101"/>
    <w:rsid w:val="00E87A92"/>
    <w:rsid w:val="00E928AF"/>
    <w:rsid w:val="00E95BDF"/>
    <w:rsid w:val="00E97CD5"/>
    <w:rsid w:val="00EA188F"/>
    <w:rsid w:val="00EA6096"/>
    <w:rsid w:val="00EA65F3"/>
    <w:rsid w:val="00EB3467"/>
    <w:rsid w:val="00ED2422"/>
    <w:rsid w:val="00ED2B63"/>
    <w:rsid w:val="00ED6215"/>
    <w:rsid w:val="00EF0603"/>
    <w:rsid w:val="00EF0736"/>
    <w:rsid w:val="00EF4CEA"/>
    <w:rsid w:val="00F00236"/>
    <w:rsid w:val="00F0461B"/>
    <w:rsid w:val="00F077C3"/>
    <w:rsid w:val="00F10B4E"/>
    <w:rsid w:val="00F10ECD"/>
    <w:rsid w:val="00F13CB2"/>
    <w:rsid w:val="00F16A70"/>
    <w:rsid w:val="00F21F16"/>
    <w:rsid w:val="00F32F96"/>
    <w:rsid w:val="00F40890"/>
    <w:rsid w:val="00F40B11"/>
    <w:rsid w:val="00F41551"/>
    <w:rsid w:val="00F65682"/>
    <w:rsid w:val="00F73306"/>
    <w:rsid w:val="00F753C1"/>
    <w:rsid w:val="00F774D2"/>
    <w:rsid w:val="00F9423C"/>
    <w:rsid w:val="00F9774A"/>
    <w:rsid w:val="00FA04AD"/>
    <w:rsid w:val="00FA25AB"/>
    <w:rsid w:val="00FB22D1"/>
    <w:rsid w:val="00FB2F1C"/>
    <w:rsid w:val="00FB6A54"/>
    <w:rsid w:val="00FC3632"/>
    <w:rsid w:val="00FC3F0E"/>
    <w:rsid w:val="00FC66AD"/>
    <w:rsid w:val="00FC69C7"/>
    <w:rsid w:val="00FD27D8"/>
    <w:rsid w:val="00FE0947"/>
    <w:rsid w:val="00FE0CBF"/>
    <w:rsid w:val="00FE13DD"/>
    <w:rsid w:val="00FE1B7B"/>
    <w:rsid w:val="00FE2987"/>
    <w:rsid w:val="00FE6654"/>
    <w:rsid w:val="00FF6B8D"/>
    <w:rsid w:val="00FF6EF8"/>
    <w:rsid w:val="00FF7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6F9FCE"/>
  <w15:docId w15:val="{B02ADD64-F839-4E4E-A940-DBA16AB6C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C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9F6561"/>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9F6561"/>
    <w:rPr>
      <w:rFonts w:ascii="Calibri" w:hAnsi="Calibri"/>
      <w:noProof/>
    </w:rPr>
  </w:style>
  <w:style w:type="paragraph" w:customStyle="1" w:styleId="EndNoteBibliography">
    <w:name w:val="EndNote Bibliography"/>
    <w:basedOn w:val="Normal"/>
    <w:link w:val="EndNoteBibliographyChar"/>
    <w:rsid w:val="009F6561"/>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9F6561"/>
    <w:rPr>
      <w:rFonts w:ascii="Calibri" w:hAnsi="Calibri"/>
      <w:noProof/>
    </w:rPr>
  </w:style>
  <w:style w:type="paragraph" w:styleId="ListParagraph">
    <w:name w:val="List Paragraph"/>
    <w:basedOn w:val="Normal"/>
    <w:uiPriority w:val="34"/>
    <w:qFormat/>
    <w:rsid w:val="009F6561"/>
    <w:pPr>
      <w:ind w:left="720"/>
      <w:contextualSpacing/>
    </w:pPr>
  </w:style>
  <w:style w:type="table" w:styleId="TableGrid">
    <w:name w:val="Table Grid"/>
    <w:basedOn w:val="TableNormal"/>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E63AC1"/>
  </w:style>
  <w:style w:type="paragraph" w:styleId="Header">
    <w:name w:val="header"/>
    <w:basedOn w:val="Normal"/>
    <w:link w:val="HeaderChar"/>
    <w:uiPriority w:val="99"/>
    <w:unhideWhenUsed/>
    <w:rsid w:val="00E63A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3AC1"/>
  </w:style>
  <w:style w:type="paragraph" w:styleId="Footer">
    <w:name w:val="footer"/>
    <w:basedOn w:val="Normal"/>
    <w:link w:val="FooterChar"/>
    <w:uiPriority w:val="99"/>
    <w:unhideWhenUsed/>
    <w:rsid w:val="00E63A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3A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724</Words>
  <Characters>4129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Magellan Health Services</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Stockbridge</dc:creator>
  <cp:lastModifiedBy>Ho, Christine (CDC/DDPHSIS/CGH/DGHT)</cp:lastModifiedBy>
  <cp:revision>2</cp:revision>
  <dcterms:created xsi:type="dcterms:W3CDTF">2022-05-26T20:29:00Z</dcterms:created>
  <dcterms:modified xsi:type="dcterms:W3CDTF">2022-05-26T20:29:00Z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2022-05-26T20:29:12Z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026251c8-758c-4c01-aa90-edcb0b04f05c</vt:lpwstr>
  </property>
  <property fmtid="{D5CDD505-2E9C-101B-9397-08002B2CF9AE}" pid="8" name="MSIP_Label_8af03ff0-41c5-4c41-b55e-fabb8fae94be_ContentBits">
    <vt:lpwstr>0</vt:lpwstr>
  </property>
</Properties>
</file>