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1E0" w:rsidRDefault="006D61E0" w:rsidP="006D61E0">
      <w:pPr>
        <w:pStyle w:val="Heading1"/>
        <w:spacing w:before="400" w:beforeAutospacing="0" w:after="160" w:afterAutospacing="0" w:line="240" w:lineRule="auto"/>
        <w:jc w:val="left"/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</w:pPr>
      <w:r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  <w:t>Supplemental Information</w:t>
      </w:r>
    </w:p>
    <w:p w:rsidR="006D61E0" w:rsidRPr="00BF1DAE" w:rsidRDefault="006D61E0" w:rsidP="006D61E0">
      <w:pPr>
        <w:pStyle w:val="Heading1"/>
        <w:spacing w:before="400" w:beforeAutospacing="0" w:after="160" w:afterAutospacing="0" w:line="240" w:lineRule="auto"/>
      </w:pPr>
      <w:r w:rsidRPr="00EE228F"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  <w:t xml:space="preserve">Multivariate Calibration </w:t>
      </w:r>
      <w:r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  <w:t xml:space="preserve">Approaches </w:t>
      </w:r>
      <w:r w:rsidRPr="00EE228F"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  <w:t>for Measurement of Elemental Concentration</w:t>
      </w:r>
      <w:r>
        <w:rPr>
          <w:rFonts w:asciiTheme="minorHAnsi" w:eastAsia="SimSun" w:hAnsiTheme="minorHAnsi"/>
          <w:bCs w:val="0"/>
          <w:kern w:val="0"/>
          <w:sz w:val="29"/>
          <w:szCs w:val="32"/>
          <w:lang w:val="en-GB" w:eastAsia="en-US"/>
        </w:rPr>
        <w:t xml:space="preserve"> of Aerosols</w:t>
      </w:r>
    </w:p>
    <w:p w:rsidR="006D61E0" w:rsidRDefault="006D61E0" w:rsidP="006D61E0">
      <w:pPr>
        <w:pStyle w:val="RSCH02PaperAuthorsandByline"/>
        <w:jc w:val="center"/>
        <w:rPr>
          <w:vertAlign w:val="superscript"/>
        </w:rPr>
      </w:pPr>
      <w:r>
        <w:t xml:space="preserve">L. </w:t>
      </w:r>
      <w:proofErr w:type="gramStart"/>
      <w:r>
        <w:rPr>
          <w:lang w:val="en-US"/>
        </w:rPr>
        <w:t>Zheng,</w:t>
      </w:r>
      <w:r w:rsidRPr="00F21465">
        <w:rPr>
          <w:vertAlign w:val="superscript"/>
        </w:rPr>
        <w:t>a</w:t>
      </w:r>
      <w:proofErr w:type="gramEnd"/>
      <w:r>
        <w:rPr>
          <w:vertAlign w:val="superscript"/>
        </w:rPr>
        <w:t>, b</w:t>
      </w:r>
      <w:r>
        <w:rPr>
          <w:lang w:val="en-US"/>
        </w:rPr>
        <w:t xml:space="preserve"> P. Kulkarni,</w:t>
      </w:r>
      <w:r w:rsidRPr="00F21465">
        <w:rPr>
          <w:vertAlign w:val="superscript"/>
        </w:rPr>
        <w:t>a</w:t>
      </w:r>
      <w:r w:rsidRPr="00241ACD">
        <w:t>†</w:t>
      </w:r>
      <w:r>
        <w:rPr>
          <w:lang w:val="en-US"/>
        </w:rPr>
        <w:t xml:space="preserve"> and D. D. Dionysiou</w:t>
      </w:r>
      <w:r>
        <w:rPr>
          <w:vertAlign w:val="superscript"/>
        </w:rPr>
        <w:t>b</w:t>
      </w:r>
    </w:p>
    <w:p w:rsidR="00CB3D07" w:rsidRDefault="00CB3D07"/>
    <w:p w:rsidR="006D61E0" w:rsidRDefault="006D61E0"/>
    <w:p w:rsidR="006D61E0" w:rsidRDefault="006D61E0"/>
    <w:p w:rsidR="006D61E0" w:rsidRDefault="006D61E0"/>
    <w:p w:rsidR="006D61E0" w:rsidRDefault="006D61E0"/>
    <w:p w:rsidR="006D61E0" w:rsidRPr="006D61E0" w:rsidRDefault="006D61E0" w:rsidP="006D61E0">
      <w:pPr>
        <w:pStyle w:val="RSCF01FootnoteAuthorAddress"/>
        <w:jc w:val="both"/>
        <w:rPr>
          <w:sz w:val="20"/>
          <w:szCs w:val="20"/>
        </w:rPr>
      </w:pPr>
      <w:proofErr w:type="spellStart"/>
      <w:r w:rsidRPr="006D61E0">
        <w:rPr>
          <w:sz w:val="20"/>
          <w:szCs w:val="20"/>
        </w:rPr>
        <w:t>Centers</w:t>
      </w:r>
      <w:proofErr w:type="spellEnd"/>
      <w:r w:rsidRPr="006D61E0">
        <w:rPr>
          <w:sz w:val="20"/>
          <w:szCs w:val="20"/>
        </w:rPr>
        <w:t xml:space="preserve"> for Disease Control and Prevention, National Institute for Occupational Safety and Health, Cincinnati, OH 45226, USA. </w:t>
      </w:r>
    </w:p>
    <w:p w:rsidR="006D61E0" w:rsidRPr="006D61E0" w:rsidRDefault="006D61E0" w:rsidP="006D61E0">
      <w:pPr>
        <w:pStyle w:val="RSCF01FootnoteAuthorAddress"/>
        <w:jc w:val="both"/>
        <w:rPr>
          <w:sz w:val="20"/>
          <w:szCs w:val="20"/>
        </w:rPr>
      </w:pPr>
      <w:r w:rsidRPr="006D61E0">
        <w:rPr>
          <w:sz w:val="20"/>
          <w:szCs w:val="20"/>
        </w:rPr>
        <w:t>Environmental Engineering and Science Program, Department of Biomedical, Chemical, and Environmental Engineering, University of Cincinnati, OH, 45221, USA.</w:t>
      </w:r>
    </w:p>
    <w:p w:rsidR="006D61E0" w:rsidRPr="006D61E0" w:rsidRDefault="006D61E0" w:rsidP="006D61E0">
      <w:pPr>
        <w:pStyle w:val="RSCF02FootnotestoTitleAuthors"/>
        <w:rPr>
          <w:sz w:val="20"/>
          <w:szCs w:val="20"/>
        </w:rPr>
      </w:pPr>
      <w:r w:rsidRPr="006D61E0">
        <w:rPr>
          <w:sz w:val="20"/>
          <w:szCs w:val="20"/>
        </w:rPr>
        <w:t xml:space="preserve">† Author to whom correspondence should be addressed to: Phone: (513) 841-4300; Fax: (513) 841-4545; Email: PSKulkarni@cdc.gov </w:t>
      </w:r>
    </w:p>
    <w:p w:rsidR="006D61E0" w:rsidRDefault="006D61E0"/>
    <w:p w:rsidR="006D61E0" w:rsidRDefault="006D61E0"/>
    <w:p w:rsidR="006D61E0" w:rsidRDefault="006D61E0"/>
    <w:p w:rsidR="006D61E0" w:rsidRDefault="006D61E0">
      <w:pPr>
        <w:rPr>
          <w:noProof/>
        </w:rPr>
      </w:pPr>
    </w:p>
    <w:p w:rsidR="006D61E0" w:rsidRPr="006D61E0" w:rsidRDefault="006D61E0" w:rsidP="006D61E0"/>
    <w:p w:rsidR="006D61E0" w:rsidRPr="006D61E0" w:rsidRDefault="006D61E0" w:rsidP="006D61E0"/>
    <w:p w:rsidR="006D61E0" w:rsidRPr="006D61E0" w:rsidRDefault="006D61E0" w:rsidP="006D61E0"/>
    <w:p w:rsidR="006D61E0" w:rsidRPr="006D61E0" w:rsidRDefault="006D61E0" w:rsidP="006D61E0"/>
    <w:p w:rsidR="006D61E0" w:rsidRPr="006D61E0" w:rsidRDefault="006D61E0" w:rsidP="006D61E0"/>
    <w:p w:rsidR="006D61E0" w:rsidRDefault="006D61E0" w:rsidP="006D61E0"/>
    <w:p w:rsidR="006D61E0" w:rsidRDefault="006D61E0" w:rsidP="006D61E0"/>
    <w:p w:rsidR="006D61E0" w:rsidRDefault="006D61E0" w:rsidP="006D61E0"/>
    <w:p w:rsidR="006D61E0" w:rsidRDefault="006D61E0" w:rsidP="006D61E0"/>
    <w:p w:rsidR="006D61E0" w:rsidRDefault="006D61E0" w:rsidP="006D61E0"/>
    <w:p w:rsidR="006D61E0" w:rsidRDefault="006D61E0" w:rsidP="006D61E0"/>
    <w:p w:rsidR="001314AD" w:rsidRPr="006D61E0" w:rsidRDefault="001314AD" w:rsidP="001314AD">
      <w:pPr>
        <w:rPr>
          <w:rFonts w:asciiTheme="minorHAnsi" w:eastAsia="SimSun" w:hAnsiTheme="minorHAnsi"/>
          <w:b/>
          <w:kern w:val="0"/>
          <w:lang w:val="en-GB" w:eastAsia="en-US"/>
        </w:rPr>
      </w:pPr>
      <w:r>
        <w:rPr>
          <w:rFonts w:asciiTheme="minorHAnsi" w:eastAsia="SimSun" w:hAnsiTheme="minorHAnsi"/>
          <w:b/>
          <w:kern w:val="0"/>
          <w:lang w:val="en-GB" w:eastAsia="en-US"/>
        </w:rPr>
        <w:lastRenderedPageBreak/>
        <w:t xml:space="preserve">S1. </w:t>
      </w:r>
      <w:r w:rsidR="00A259D9">
        <w:rPr>
          <w:rFonts w:asciiTheme="minorHAnsi" w:eastAsia="SimSun" w:hAnsiTheme="minorHAnsi"/>
          <w:b/>
          <w:kern w:val="0"/>
          <w:lang w:val="en-GB" w:eastAsia="en-US"/>
        </w:rPr>
        <w:t xml:space="preserve">Plots of </w:t>
      </w:r>
      <w:r>
        <w:rPr>
          <w:rFonts w:asciiTheme="minorHAnsi" w:eastAsia="SimSun" w:hAnsiTheme="minorHAnsi"/>
          <w:b/>
          <w:kern w:val="0"/>
          <w:lang w:val="en-GB" w:eastAsia="en-US"/>
        </w:rPr>
        <w:t>PLS regression coefficient</w:t>
      </w:r>
      <w:r w:rsidR="00A259D9">
        <w:rPr>
          <w:rFonts w:asciiTheme="minorHAnsi" w:eastAsia="SimSun" w:hAnsiTheme="minorHAnsi"/>
          <w:b/>
          <w:kern w:val="0"/>
          <w:lang w:val="en-GB" w:eastAsia="en-US"/>
        </w:rPr>
        <w:t>s for each element</w:t>
      </w:r>
    </w:p>
    <w:p w:rsidR="00443DF7" w:rsidRDefault="00443DF7">
      <w:pPr>
        <w:rPr>
          <w:rFonts w:asciiTheme="minorHAnsi" w:eastAsia="SimSun" w:hAnsiTheme="minorHAnsi"/>
          <w:kern w:val="0"/>
          <w:sz w:val="20"/>
          <w:szCs w:val="22"/>
          <w:lang w:eastAsia="en-US"/>
        </w:rPr>
      </w:pP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drawing>
          <wp:inline distT="0" distB="0" distL="0" distR="0">
            <wp:extent cx="4572000" cy="3209925"/>
            <wp:effectExtent l="0" t="0" r="0" b="9525"/>
            <wp:docPr id="17" name="Picture 17" descr="G:\cincinnati study\NIOSH RESEARCH\paper writing\multivariate calibration\post review\1Ti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incinnati study\NIOSH RESEARCH\paper writing\multivariate calibration\post review\1Ti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drawing>
          <wp:inline distT="0" distB="0" distL="0" distR="0">
            <wp:extent cx="4572000" cy="3209925"/>
            <wp:effectExtent l="0" t="0" r="0" b="9525"/>
            <wp:docPr id="16" name="Picture 16" descr="G:\cincinnati study\NIOSH RESEARCH\paper writing\multivariate calibration\post review\1Pb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incinnati study\NIOSH RESEARCH\paper writing\multivariate calibration\post review\1Pb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lastRenderedPageBreak/>
        <w:drawing>
          <wp:inline distT="0" distB="0" distL="0" distR="0">
            <wp:extent cx="4572000" cy="3209925"/>
            <wp:effectExtent l="0" t="0" r="0" b="9525"/>
            <wp:docPr id="15" name="Picture 15" descr="G:\cincinnati study\NIOSH RESEARCH\paper writing\multivariate calibration\post review\1Ni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incinnati study\NIOSH RESEARCH\paper writing\multivariate calibration\post review\1Ni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drawing>
          <wp:inline distT="0" distB="0" distL="0" distR="0">
            <wp:extent cx="4572000" cy="3209925"/>
            <wp:effectExtent l="0" t="0" r="0" b="9525"/>
            <wp:docPr id="14" name="Picture 14" descr="G:\cincinnati study\NIOSH RESEARCH\paper writing\multivariate calibration\post review\1Mn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incinnati study\NIOSH RESEARCH\paper writing\multivariate calibration\post review\1Mn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lastRenderedPageBreak/>
        <w:drawing>
          <wp:inline distT="0" distB="0" distL="0" distR="0">
            <wp:extent cx="4572000" cy="3209925"/>
            <wp:effectExtent l="0" t="0" r="0" b="9525"/>
            <wp:docPr id="13" name="Picture 13" descr="G:\cincinnati study\NIOSH RESEARCH\paper writing\multivariate calibration\post review\1Fe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incinnati study\NIOSH RESEARCH\paper writing\multivariate calibration\post review\1Fe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drawing>
          <wp:inline distT="0" distB="0" distL="0" distR="0">
            <wp:extent cx="4572000" cy="3209925"/>
            <wp:effectExtent l="0" t="0" r="0" b="9525"/>
            <wp:docPr id="12" name="Picture 12" descr="G:\cincinnati study\NIOSH RESEARCH\paper writing\multivariate calibration\post review\1Cu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incinnati study\NIOSH RESEARCH\paper writing\multivariate calibration\post review\1Cu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lastRenderedPageBreak/>
        <w:drawing>
          <wp:inline distT="0" distB="0" distL="0" distR="0">
            <wp:extent cx="4572000" cy="3209925"/>
            <wp:effectExtent l="0" t="0" r="0" b="9525"/>
            <wp:docPr id="11" name="Picture 11" descr="G:\cincinnati study\NIOSH RESEARCH\paper writing\multivariate calibration\post review\1Cd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incinnati study\NIOSH RESEARCH\paper writing\multivariate calibration\post review\1Cd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DF7">
        <w:rPr>
          <w:rFonts w:asciiTheme="minorHAnsi" w:eastAsia="SimSun" w:hAnsiTheme="minorHAnsi"/>
          <w:noProof/>
          <w:kern w:val="0"/>
          <w:sz w:val="20"/>
          <w:szCs w:val="22"/>
          <w:lang w:eastAsia="en-US"/>
        </w:rPr>
        <w:drawing>
          <wp:inline distT="0" distB="0" distL="0" distR="0">
            <wp:extent cx="4572000" cy="3209925"/>
            <wp:effectExtent l="0" t="0" r="0" b="9525"/>
            <wp:docPr id="10" name="Picture 10" descr="G:\cincinnati study\NIOSH RESEARCH\paper writing\multivariate calibration\post review\1Zn regression coef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incinnati study\NIOSH RESEARCH\paper writing\multivariate calibration\post review\1Zn regression coeffici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F7" w:rsidRDefault="00443DF7">
      <w:pPr>
        <w:rPr>
          <w:rFonts w:asciiTheme="minorHAnsi" w:eastAsia="SimSun" w:hAnsiTheme="minorHAnsi"/>
          <w:kern w:val="0"/>
          <w:sz w:val="20"/>
          <w:szCs w:val="22"/>
          <w:lang w:eastAsia="en-US"/>
        </w:rPr>
      </w:pPr>
    </w:p>
    <w:p w:rsidR="001314AD" w:rsidRDefault="001314AD">
      <w:pPr>
        <w:rPr>
          <w:rFonts w:eastAsia="AdvPSTim"/>
          <w:sz w:val="18"/>
          <w:szCs w:val="18"/>
        </w:rPr>
      </w:pPr>
      <w:r>
        <w:rPr>
          <w:rFonts w:asciiTheme="minorHAnsi" w:eastAsia="SimSun" w:hAnsiTheme="minorHAnsi"/>
          <w:kern w:val="0"/>
          <w:sz w:val="20"/>
          <w:szCs w:val="22"/>
          <w:lang w:eastAsia="en-US"/>
        </w:rPr>
        <w:t xml:space="preserve">Fig. S1 </w:t>
      </w:r>
      <w:r>
        <w:rPr>
          <w:sz w:val="18"/>
          <w:szCs w:val="18"/>
        </w:rPr>
        <w:t xml:space="preserve">PLS Regression coefficients for </w:t>
      </w:r>
      <w:proofErr w:type="spellStart"/>
      <w:r>
        <w:rPr>
          <w:sz w:val="18"/>
          <w:szCs w:val="18"/>
        </w:rPr>
        <w:t>Mn</w:t>
      </w:r>
      <w:proofErr w:type="spellEnd"/>
      <w:r>
        <w:rPr>
          <w:sz w:val="18"/>
          <w:szCs w:val="18"/>
        </w:rPr>
        <w:t xml:space="preserve">, Fe, Ni, Cu, Zn, Cd, </w:t>
      </w:r>
      <w:proofErr w:type="spellStart"/>
      <w:r>
        <w:rPr>
          <w:sz w:val="18"/>
          <w:szCs w:val="18"/>
        </w:rPr>
        <w:t>Pb</w:t>
      </w:r>
      <w:proofErr w:type="spellEnd"/>
      <w:r>
        <w:rPr>
          <w:sz w:val="18"/>
          <w:szCs w:val="18"/>
        </w:rPr>
        <w:t xml:space="preserve">, and </w:t>
      </w:r>
      <w:proofErr w:type="spellStart"/>
      <w:r>
        <w:rPr>
          <w:sz w:val="18"/>
          <w:szCs w:val="18"/>
        </w:rPr>
        <w:t>Ti</w:t>
      </w:r>
      <w:proofErr w:type="spellEnd"/>
      <w:r>
        <w:rPr>
          <w:sz w:val="18"/>
          <w:szCs w:val="18"/>
        </w:rPr>
        <w:t>,</w:t>
      </w:r>
      <w:r>
        <w:rPr>
          <w:rFonts w:eastAsia="AdvPSTim"/>
          <w:sz w:val="18"/>
          <w:szCs w:val="18"/>
        </w:rPr>
        <w:t xml:space="preserve"> by analysis of the full range spectra (300 – 540 nm)</w:t>
      </w:r>
    </w:p>
    <w:p w:rsidR="001314AD" w:rsidRDefault="001314AD">
      <w:pPr>
        <w:rPr>
          <w:rFonts w:eastAsia="AdvPSTim"/>
          <w:sz w:val="18"/>
          <w:szCs w:val="18"/>
        </w:rPr>
      </w:pPr>
    </w:p>
    <w:p w:rsidR="001314AD" w:rsidRDefault="001314AD">
      <w:pPr>
        <w:rPr>
          <w:rFonts w:eastAsia="AdvPSTim"/>
          <w:sz w:val="18"/>
          <w:szCs w:val="18"/>
        </w:rPr>
      </w:pPr>
    </w:p>
    <w:p w:rsidR="001314AD" w:rsidRPr="006D61E0" w:rsidRDefault="001314AD" w:rsidP="001314AD">
      <w:pPr>
        <w:rPr>
          <w:rFonts w:asciiTheme="minorHAnsi" w:eastAsia="SimSun" w:hAnsiTheme="minorHAnsi"/>
          <w:b/>
          <w:kern w:val="0"/>
          <w:lang w:val="en-GB" w:eastAsia="en-US"/>
        </w:rPr>
      </w:pPr>
      <w:r>
        <w:rPr>
          <w:rFonts w:asciiTheme="minorHAnsi" w:eastAsia="SimSun" w:hAnsiTheme="minorHAnsi"/>
          <w:b/>
          <w:kern w:val="0"/>
          <w:lang w:val="en-GB" w:eastAsia="en-US"/>
        </w:rPr>
        <w:t xml:space="preserve">S2. </w:t>
      </w:r>
      <w:r w:rsidRPr="006D61E0">
        <w:rPr>
          <w:rFonts w:asciiTheme="minorHAnsi" w:eastAsia="SimSun" w:hAnsiTheme="minorHAnsi"/>
          <w:b/>
          <w:kern w:val="0"/>
          <w:lang w:val="en-GB" w:eastAsia="en-US"/>
        </w:rPr>
        <w:t>Univariate calibration curves</w:t>
      </w:r>
    </w:p>
    <w:p w:rsidR="001314AD" w:rsidRPr="006D61E0" w:rsidRDefault="001314AD" w:rsidP="001314AD"/>
    <w:p w:rsidR="0090162C" w:rsidRDefault="001314AD" w:rsidP="001314AD">
      <w:bookmarkStart w:id="0" w:name="_GoBack"/>
      <w:r>
        <w:rPr>
          <w:noProof/>
          <w:lang w:eastAsia="en-US"/>
        </w:rPr>
        <w:lastRenderedPageBreak/>
        <w:drawing>
          <wp:inline distT="0" distB="0" distL="0" distR="0" wp14:anchorId="7395F832" wp14:editId="5B5F9B9C">
            <wp:extent cx="5978285" cy="478262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ariate all elem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285" cy="47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14AD" w:rsidRDefault="001314AD" w:rsidP="001314AD">
      <w:pPr>
        <w:rPr>
          <w:rFonts w:asciiTheme="minorHAnsi" w:eastAsia="SimSun" w:hAnsiTheme="minorHAnsi"/>
          <w:kern w:val="0"/>
          <w:sz w:val="20"/>
          <w:szCs w:val="22"/>
          <w:lang w:eastAsia="en-US"/>
        </w:rPr>
      </w:pPr>
      <w:r w:rsidRPr="006D61E0">
        <w:rPr>
          <w:rFonts w:asciiTheme="minorHAnsi" w:eastAsia="SimSun" w:hAnsiTheme="minorHAnsi"/>
          <w:kern w:val="0"/>
          <w:sz w:val="20"/>
          <w:szCs w:val="22"/>
          <w:lang w:eastAsia="en-US"/>
        </w:rPr>
        <w:t>Fig. S</w:t>
      </w:r>
      <w:r>
        <w:rPr>
          <w:rFonts w:asciiTheme="minorHAnsi" w:eastAsia="SimSun" w:hAnsiTheme="minorHAnsi"/>
          <w:kern w:val="0"/>
          <w:sz w:val="20"/>
          <w:szCs w:val="22"/>
          <w:lang w:eastAsia="en-US"/>
        </w:rPr>
        <w:t>2</w:t>
      </w:r>
      <w:r w:rsidRPr="006D61E0">
        <w:rPr>
          <w:rFonts w:asciiTheme="minorHAnsi" w:eastAsia="SimSun" w:hAnsiTheme="minorHAnsi"/>
          <w:kern w:val="0"/>
          <w:sz w:val="20"/>
          <w:szCs w:val="22"/>
          <w:lang w:eastAsia="en-US"/>
        </w:rPr>
        <w:t xml:space="preserve"> Univariate calibration curves for all the nine elements constructed using the 25 multielement samples in the training set. </w:t>
      </w:r>
    </w:p>
    <w:p w:rsidR="001314AD" w:rsidRPr="006D61E0" w:rsidRDefault="001314AD">
      <w:pPr>
        <w:rPr>
          <w:rFonts w:asciiTheme="minorHAnsi" w:eastAsia="SimSun" w:hAnsiTheme="minorHAnsi"/>
          <w:kern w:val="0"/>
          <w:sz w:val="20"/>
          <w:szCs w:val="22"/>
          <w:lang w:eastAsia="en-US"/>
        </w:rPr>
      </w:pPr>
    </w:p>
    <w:sectPr w:rsidR="001314AD" w:rsidRPr="006D61E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PSTim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76F"/>
    <w:rsid w:val="001314AD"/>
    <w:rsid w:val="00302AB6"/>
    <w:rsid w:val="00342602"/>
    <w:rsid w:val="00443DF7"/>
    <w:rsid w:val="004A176F"/>
    <w:rsid w:val="005D6A2F"/>
    <w:rsid w:val="006D61E0"/>
    <w:rsid w:val="008A2043"/>
    <w:rsid w:val="008D7DA6"/>
    <w:rsid w:val="0090162C"/>
    <w:rsid w:val="00A259D9"/>
    <w:rsid w:val="00A5062F"/>
    <w:rsid w:val="00AD0763"/>
    <w:rsid w:val="00C902EE"/>
    <w:rsid w:val="00CB3D07"/>
    <w:rsid w:val="00F5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5C868-3E92-4982-80EF-F7FB5432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2AB6"/>
    <w:pPr>
      <w:spacing w:before="100" w:beforeAutospacing="1" w:after="100" w:afterAutospacing="1" w:line="480" w:lineRule="auto"/>
      <w:jc w:val="center"/>
      <w:outlineLvl w:val="0"/>
    </w:pPr>
    <w:rPr>
      <w:rFonts w:eastAsia="Times New Roman"/>
      <w:b/>
      <w:bCs/>
      <w:kern w:val="36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2AB6"/>
    <w:pPr>
      <w:keepNext/>
      <w:keepLines/>
      <w:widowControl w:val="0"/>
      <w:spacing w:after="0" w:line="48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AB6"/>
    <w:pPr>
      <w:keepNext/>
      <w:keepLines/>
      <w:widowControl w:val="0"/>
      <w:spacing w:after="0" w:line="480" w:lineRule="auto"/>
      <w:outlineLvl w:val="2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AB6"/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02AB6"/>
    <w:rPr>
      <w:rFonts w:ascii="Times New Roman" w:eastAsiaTheme="majorEastAsia" w:hAnsi="Times New Roman" w:cstheme="majorBidi"/>
      <w:b/>
      <w:kern w:val="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AB6"/>
    <w:rPr>
      <w:rFonts w:ascii="Times New Roman" w:eastAsiaTheme="majorEastAsia" w:hAnsi="Times New Roman" w:cstheme="majorBidi"/>
      <w:b/>
      <w:kern w:val="2"/>
      <w:sz w:val="24"/>
      <w:szCs w:val="24"/>
    </w:rPr>
  </w:style>
  <w:style w:type="paragraph" w:styleId="Caption">
    <w:name w:val="caption"/>
    <w:aliases w:val="Figure"/>
    <w:basedOn w:val="Normal"/>
    <w:next w:val="Normal"/>
    <w:uiPriority w:val="35"/>
    <w:unhideWhenUsed/>
    <w:qFormat/>
    <w:rsid w:val="00302AB6"/>
    <w:pPr>
      <w:spacing w:after="0" w:line="480" w:lineRule="auto"/>
    </w:pPr>
    <w:rPr>
      <w:rFonts w:eastAsiaTheme="minorHAnsi"/>
      <w:bCs/>
      <w:szCs w:val="18"/>
      <w:lang w:eastAsia="en-US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6D61E0"/>
    <w:pPr>
      <w:spacing w:after="120" w:line="240" w:lineRule="exact"/>
    </w:pPr>
    <w:rPr>
      <w:rFonts w:asciiTheme="minorHAnsi" w:eastAsia="SimSun" w:hAnsiTheme="minorHAnsi"/>
      <w:kern w:val="0"/>
      <w:sz w:val="20"/>
      <w:szCs w:val="22"/>
      <w:lang w:val="en-GB" w:eastAsia="en-US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6D61E0"/>
    <w:rPr>
      <w:rFonts w:asciiTheme="minorHAnsi" w:eastAsia="SimSun" w:hAnsiTheme="minorHAnsi"/>
      <w:kern w:val="0"/>
      <w:sz w:val="20"/>
      <w:szCs w:val="22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6D61E0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asciiTheme="minorHAnsi" w:eastAsia="SimSun" w:hAnsiTheme="minorHAnsi"/>
      <w:i/>
      <w:w w:val="105"/>
      <w:kern w:val="0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D61E0"/>
    <w:pPr>
      <w:tabs>
        <w:tab w:val="left" w:pos="284"/>
      </w:tabs>
      <w:spacing w:after="0" w:line="240" w:lineRule="auto"/>
      <w:suppressOverlap/>
      <w:jc w:val="both"/>
    </w:pPr>
    <w:rPr>
      <w:rFonts w:asciiTheme="minorHAnsi" w:eastAsia="SimSun" w:hAnsiTheme="minorHAnsi"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D61E0"/>
    <w:rPr>
      <w:rFonts w:asciiTheme="minorHAnsi" w:eastAsia="SimSun" w:hAnsiTheme="minorHAnsi"/>
      <w:i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D61E0"/>
    <w:rPr>
      <w:rFonts w:asciiTheme="minorHAnsi" w:eastAsia="SimSun" w:hAnsiTheme="minorHAnsi"/>
      <w:w w:val="105"/>
      <w:kern w:val="0"/>
      <w:sz w:val="14"/>
      <w:szCs w:val="1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Zheng</dc:creator>
  <cp:keywords/>
  <dc:description/>
  <cp:lastModifiedBy>LINA</cp:lastModifiedBy>
  <cp:revision>8</cp:revision>
  <dcterms:created xsi:type="dcterms:W3CDTF">2017-04-21T19:34:00Z</dcterms:created>
  <dcterms:modified xsi:type="dcterms:W3CDTF">2017-12-03T05:53:00Z</dcterms:modified>
</cp:coreProperties>
</file>